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560" w:lineRule="exact"/>
        <w:rPr>
          <w:rFonts w:hint="eastAsia" w:ascii="宋体" w:hAnsi="宋体" w:eastAsia="方正仿宋_GBK"/>
          <w:sz w:val="32"/>
          <w:szCs w:val="32"/>
        </w:rPr>
      </w:pPr>
    </w:p>
    <w:p>
      <w:pPr>
        <w:pStyle w:val="44"/>
        <w:spacing w:line="560" w:lineRule="exact"/>
        <w:rPr>
          <w:rFonts w:hint="eastAsia" w:ascii="宋体" w:hAnsi="宋体"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方正小标宋_GBK" w:cs="方正小标宋_GBK"/>
          <w:b w:val="0"/>
          <w:bCs w:val="0"/>
          <w:color w:val="auto"/>
          <w:sz w:val="52"/>
          <w:szCs w:val="52"/>
          <w:highlight w:val="none"/>
          <w:lang w:eastAsia="zh-CN"/>
        </w:rPr>
      </w:pPr>
      <w:r>
        <w:rPr>
          <w:rFonts w:hint="eastAsia" w:ascii="宋体" w:hAnsi="宋体" w:eastAsia="方正小标宋_GBK" w:cs="方正小标宋_GBK"/>
          <w:b w:val="0"/>
          <w:bCs w:val="0"/>
          <w:color w:val="auto"/>
          <w:sz w:val="52"/>
          <w:szCs w:val="52"/>
          <w:highlight w:val="none"/>
          <w:lang w:eastAsia="zh-CN"/>
        </w:rPr>
        <w:t>西畴县国民经济和社会发展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方正小标宋_GBK" w:cs="方正小标宋_GBK"/>
          <w:b w:val="0"/>
          <w:bCs w:val="0"/>
          <w:color w:val="auto"/>
          <w:sz w:val="52"/>
          <w:szCs w:val="52"/>
          <w:highlight w:val="none"/>
          <w:lang w:eastAsia="zh-CN"/>
        </w:rPr>
      </w:pPr>
      <w:r>
        <w:rPr>
          <w:rFonts w:hint="eastAsia" w:ascii="宋体" w:hAnsi="宋体" w:eastAsia="方正小标宋_GBK" w:cs="方正小标宋_GBK"/>
          <w:b w:val="0"/>
          <w:bCs w:val="0"/>
          <w:color w:val="auto"/>
          <w:sz w:val="52"/>
          <w:szCs w:val="52"/>
          <w:highlight w:val="none"/>
          <w:lang w:eastAsia="zh-CN"/>
        </w:rPr>
        <w:t>第十</w:t>
      </w:r>
      <w:r>
        <w:rPr>
          <w:rFonts w:hint="eastAsia" w:ascii="宋体" w:hAnsi="宋体" w:eastAsia="方正小标宋_GBK" w:cs="方正小标宋_GBK"/>
          <w:b w:val="0"/>
          <w:bCs w:val="0"/>
          <w:color w:val="auto"/>
          <w:sz w:val="52"/>
          <w:szCs w:val="52"/>
          <w:highlight w:val="none"/>
          <w:lang w:val="en-US" w:eastAsia="zh-CN"/>
        </w:rPr>
        <w:t>四</w:t>
      </w:r>
      <w:r>
        <w:rPr>
          <w:rFonts w:hint="eastAsia" w:ascii="宋体" w:hAnsi="宋体" w:eastAsia="方正小标宋_GBK" w:cs="方正小标宋_GBK"/>
          <w:b w:val="0"/>
          <w:bCs w:val="0"/>
          <w:color w:val="auto"/>
          <w:sz w:val="52"/>
          <w:szCs w:val="52"/>
          <w:highlight w:val="none"/>
          <w:lang w:eastAsia="zh-CN"/>
        </w:rPr>
        <w:t>个五年规划纲要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方正小标宋_GBK" w:cs="方正小标宋_GBK"/>
          <w:b w:val="0"/>
          <w:bCs w:val="0"/>
          <w:color w:val="auto"/>
          <w:sz w:val="52"/>
          <w:szCs w:val="52"/>
          <w:highlight w:val="none"/>
          <w:lang w:eastAsia="zh-CN"/>
        </w:rPr>
      </w:pPr>
      <w:r>
        <w:rPr>
          <w:rFonts w:hint="eastAsia" w:ascii="宋体" w:hAnsi="宋体" w:eastAsia="方正小标宋_GBK" w:cs="方正小标宋_GBK"/>
          <w:b w:val="0"/>
          <w:bCs w:val="0"/>
          <w:color w:val="auto"/>
          <w:sz w:val="52"/>
          <w:szCs w:val="52"/>
          <w:highlight w:val="none"/>
          <w:lang w:eastAsia="zh-CN"/>
        </w:rPr>
        <w:t>（修订稿）</w:t>
      </w:r>
    </w:p>
    <w:p>
      <w:pPr>
        <w:spacing w:line="560" w:lineRule="exact"/>
        <w:jc w:val="center"/>
        <w:rPr>
          <w:rFonts w:hint="eastAsia" w:ascii="宋体" w:hAnsi="宋体" w:eastAsia="方正楷体_GBK" w:cs="方正楷体_GBK"/>
          <w:color w:val="000000"/>
          <w:sz w:val="44"/>
          <w:szCs w:val="44"/>
        </w:rPr>
      </w:pPr>
    </w:p>
    <w:p>
      <w:pPr>
        <w:pStyle w:val="44"/>
        <w:jc w:val="center"/>
        <w:rPr>
          <w:rFonts w:hint="eastAsia" w:ascii="宋体" w:hAnsi="宋体" w:eastAsia="方正楷体_GBK" w:cs="方正楷体_GBK"/>
          <w:color w:val="000000"/>
          <w:sz w:val="32"/>
          <w:szCs w:val="32"/>
        </w:rPr>
      </w:pPr>
    </w:p>
    <w:p>
      <w:pPr>
        <w:spacing w:line="560" w:lineRule="exact"/>
        <w:rPr>
          <w:rFonts w:hint="eastAsia" w:ascii="宋体" w:hAnsi="宋体" w:eastAsia="方正仿宋_GBK"/>
          <w:color w:val="000000"/>
          <w:szCs w:val="32"/>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pStyle w:val="44"/>
        <w:rPr>
          <w:rFonts w:hint="eastAsia" w:ascii="宋体" w:hAnsi="宋体"/>
          <w:color w:val="000000"/>
        </w:rPr>
      </w:pPr>
    </w:p>
    <w:p>
      <w:pPr>
        <w:spacing w:line="560" w:lineRule="exact"/>
        <w:jc w:val="center"/>
        <w:rPr>
          <w:rFonts w:hint="eastAsia" w:ascii="宋体" w:hAnsi="宋体" w:eastAsia="方正楷体_GBK" w:cs="方正楷体_GBK"/>
          <w:color w:val="000000"/>
          <w:sz w:val="36"/>
          <w:szCs w:val="36"/>
        </w:rPr>
      </w:pPr>
      <w:r>
        <w:rPr>
          <w:rFonts w:hint="eastAsia" w:ascii="宋体" w:hAnsi="宋体" w:eastAsia="方正楷体_GBK" w:cs="方正楷体_GBK"/>
          <w:color w:val="000000"/>
          <w:sz w:val="36"/>
          <w:szCs w:val="36"/>
        </w:rPr>
        <w:t>二0二二年四月</w:t>
      </w:r>
    </w:p>
    <w:p>
      <w:pPr>
        <w:pStyle w:val="44"/>
        <w:rPr>
          <w:rFonts w:hint="eastAsia" w:ascii="宋体" w:hAnsi="宋体"/>
        </w:rPr>
      </w:pPr>
    </w:p>
    <w:p>
      <w:pPr>
        <w:pStyle w:val="44"/>
        <w:rPr>
          <w:rFonts w:hint="eastAsia" w:ascii="宋体" w:hAnsi="宋体"/>
        </w:rPr>
      </w:pPr>
    </w:p>
    <w:p>
      <w:pPr>
        <w:pStyle w:val="44"/>
        <w:rPr>
          <w:rFonts w:hint="eastAsia" w:ascii="宋体" w:hAnsi="宋体"/>
        </w:rPr>
      </w:pPr>
    </w:p>
    <w:p>
      <w:pPr>
        <w:pStyle w:val="44"/>
        <w:rPr>
          <w:rFonts w:hint="eastAsia" w:ascii="宋体" w:hAnsi="宋体"/>
        </w:rPr>
      </w:pPr>
    </w:p>
    <w:p>
      <w:pPr>
        <w:pStyle w:val="44"/>
        <w:rPr>
          <w:rFonts w:hint="eastAsia" w:ascii="宋体" w:hAnsi="宋体"/>
        </w:rPr>
      </w:pPr>
    </w:p>
    <w:p>
      <w:pPr>
        <w:jc w:val="center"/>
        <w:outlineLvl w:val="9"/>
        <w:rPr>
          <w:rFonts w:hint="default" w:ascii="宋体" w:hAnsi="宋体" w:eastAsia="楷体" w:cstheme="minorBidi"/>
          <w:b/>
          <w:color w:val="auto"/>
          <w:kern w:val="2"/>
          <w:sz w:val="44"/>
          <w:szCs w:val="44"/>
          <w:highlight w:val="none"/>
          <w:lang w:val="en-US" w:eastAsia="zh-CN" w:bidi="ar-SA"/>
        </w:rPr>
      </w:pPr>
    </w:p>
    <w:p>
      <w:pPr>
        <w:rPr>
          <w:rFonts w:ascii="宋体" w:hAnsi="宋体"/>
          <w:color w:val="auto"/>
          <w:highlight w:val="none"/>
        </w:rPr>
      </w:pPr>
    </w:p>
    <w:p>
      <w:pPr>
        <w:jc w:val="center"/>
        <w:outlineLvl w:val="9"/>
        <w:rPr>
          <w:rFonts w:hint="eastAsia" w:ascii="宋体" w:hAnsi="宋体"/>
          <w:b/>
          <w:bCs/>
          <w:color w:val="auto"/>
          <w:sz w:val="44"/>
          <w:szCs w:val="44"/>
          <w:highlight w:val="none"/>
          <w:lang w:eastAsia="zh-CN"/>
        </w:rPr>
        <w:sectPr>
          <w:pgSz w:w="11906" w:h="16838"/>
          <w:pgMar w:top="2098" w:right="1474" w:bottom="1417" w:left="1587" w:header="851" w:footer="992" w:gutter="0"/>
          <w:pgNumType w:fmt="decimal" w:start="1"/>
          <w:cols w:space="0" w:num="1"/>
          <w:rtlGutter w:val="0"/>
          <w:docGrid w:type="lines" w:linePitch="315" w:charSpace="0"/>
        </w:sectPr>
      </w:pPr>
      <w:bookmarkStart w:id="482" w:name="_GoBack"/>
      <w:bookmarkEnd w:id="482"/>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小标宋_GBK" w:cs="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小标宋_GBK" w:cs="方正小标宋_GBK"/>
          <w:color w:val="000000"/>
          <w:sz w:val="44"/>
          <w:szCs w:val="44"/>
        </w:rPr>
      </w:pPr>
    </w:p>
    <w:p>
      <w:pPr>
        <w:spacing w:line="560" w:lineRule="exact"/>
        <w:jc w:val="center"/>
        <w:rPr>
          <w:rFonts w:hint="eastAsia" w:ascii="宋体" w:hAnsi="宋体" w:eastAsia="方正小标宋_GBK" w:cs="方正小标宋_GBK"/>
          <w:color w:val="000000"/>
          <w:sz w:val="44"/>
          <w:szCs w:val="44"/>
        </w:rPr>
      </w:pPr>
      <w:r>
        <w:rPr>
          <w:rFonts w:hint="eastAsia" w:ascii="宋体" w:hAnsi="宋体" w:eastAsia="方正小标宋_GBK" w:cs="方正小标宋_GBK"/>
          <w:color w:val="000000"/>
          <w:sz w:val="44"/>
          <w:szCs w:val="44"/>
        </w:rPr>
        <w:t>前  言</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color w:val="auto"/>
          <w:sz w:val="32"/>
          <w:szCs w:val="32"/>
          <w:highlight w:val="none"/>
        </w:rPr>
      </w:pPr>
      <w:r>
        <w:rPr>
          <w:rFonts w:hint="eastAsia" w:ascii="宋体" w:hAnsi="宋体" w:eastAsia="方正仿宋简体" w:cs="方正仿宋简体"/>
          <w:color w:val="auto"/>
          <w:sz w:val="32"/>
          <w:szCs w:val="32"/>
          <w:highlight w:val="none"/>
        </w:rPr>
        <w:t>“十四五”时期（2021—2025年）是我国由全面建成小康社会向全面建设社会主义现代化国家迈进的关键时期，也是西畴县</w:t>
      </w:r>
      <w:r>
        <w:rPr>
          <w:rFonts w:hint="eastAsia" w:ascii="宋体" w:hAnsi="宋体" w:eastAsia="方正仿宋简体" w:cs="方正仿宋简体"/>
          <w:color w:val="auto"/>
          <w:sz w:val="32"/>
          <w:szCs w:val="32"/>
          <w:highlight w:val="none"/>
          <w:lang w:eastAsia="zh-CN"/>
        </w:rPr>
        <w:t>进一步改善基础设施条件、弘扬“西畴精神”、巩固拓展脱贫攻坚成果</w:t>
      </w:r>
      <w:r>
        <w:rPr>
          <w:rFonts w:hint="eastAsia" w:ascii="宋体" w:hAnsi="宋体" w:eastAsia="方正仿宋简体" w:cs="方正仿宋简体"/>
          <w:color w:val="auto"/>
          <w:sz w:val="32"/>
          <w:szCs w:val="32"/>
          <w:highlight w:val="none"/>
        </w:rPr>
        <w:t>、推动高质量</w:t>
      </w:r>
      <w:r>
        <w:rPr>
          <w:rFonts w:hint="eastAsia" w:ascii="宋体" w:hAnsi="宋体" w:eastAsia="方正仿宋简体" w:cs="方正仿宋简体"/>
          <w:color w:val="auto"/>
          <w:sz w:val="32"/>
          <w:szCs w:val="32"/>
          <w:highlight w:val="none"/>
          <w:lang w:eastAsia="zh-CN"/>
        </w:rPr>
        <w:t>跨越式</w:t>
      </w:r>
      <w:r>
        <w:rPr>
          <w:rFonts w:hint="eastAsia" w:ascii="宋体" w:hAnsi="宋体" w:eastAsia="方正仿宋简体" w:cs="方正仿宋简体"/>
          <w:color w:val="auto"/>
          <w:sz w:val="32"/>
          <w:szCs w:val="32"/>
          <w:highlight w:val="none"/>
        </w:rPr>
        <w:t>发展、</w:t>
      </w:r>
      <w:r>
        <w:rPr>
          <w:rFonts w:hint="eastAsia" w:ascii="宋体" w:hAnsi="宋体" w:eastAsia="方正仿宋简体" w:cs="方正仿宋简体"/>
          <w:color w:val="auto"/>
          <w:sz w:val="32"/>
          <w:szCs w:val="32"/>
          <w:highlight w:val="none"/>
          <w:lang w:eastAsia="zh-CN"/>
        </w:rPr>
        <w:t>开展</w:t>
      </w:r>
      <w:r>
        <w:rPr>
          <w:rFonts w:hint="eastAsia" w:ascii="宋体" w:hAnsi="宋体" w:eastAsia="方正仿宋简体" w:cs="方正仿宋简体"/>
          <w:color w:val="auto"/>
          <w:sz w:val="32"/>
          <w:szCs w:val="32"/>
          <w:highlight w:val="none"/>
        </w:rPr>
        <w:t>高效社会治理、</w:t>
      </w:r>
      <w:r>
        <w:rPr>
          <w:rFonts w:hint="eastAsia" w:ascii="宋体" w:hAnsi="宋体" w:eastAsia="方正仿宋简体" w:cs="方正仿宋简体"/>
          <w:color w:val="auto"/>
          <w:sz w:val="32"/>
          <w:szCs w:val="32"/>
          <w:highlight w:val="none"/>
          <w:lang w:eastAsia="zh-CN"/>
        </w:rPr>
        <w:t>提升人民</w:t>
      </w:r>
      <w:r>
        <w:rPr>
          <w:rFonts w:hint="eastAsia" w:ascii="宋体" w:hAnsi="宋体" w:eastAsia="方正仿宋简体" w:cs="方正仿宋简体"/>
          <w:color w:val="auto"/>
          <w:sz w:val="32"/>
          <w:szCs w:val="32"/>
          <w:highlight w:val="none"/>
        </w:rPr>
        <w:t>生活品质的关键时期。</w:t>
      </w:r>
      <w:r>
        <w:rPr>
          <w:rFonts w:hint="eastAsia" w:ascii="宋体" w:hAnsi="宋体" w:eastAsia="方正仿宋简体" w:cs="方正仿宋简体"/>
          <w:color w:val="auto"/>
          <w:sz w:val="32"/>
          <w:szCs w:val="32"/>
          <w:highlight w:val="none"/>
          <w:lang w:eastAsia="zh-CN"/>
        </w:rPr>
        <w:t>为</w:t>
      </w:r>
      <w:r>
        <w:rPr>
          <w:rFonts w:hint="eastAsia" w:ascii="宋体" w:hAnsi="宋体" w:eastAsia="方正仿宋简体" w:cs="方正仿宋简体"/>
          <w:color w:val="auto"/>
          <w:sz w:val="32"/>
          <w:szCs w:val="32"/>
          <w:highlight w:val="none"/>
        </w:rPr>
        <w:t>准确把握“十四五”时期国内外宏观环境变化趋势，正确认识西畴县发展的阶段性特征，</w:t>
      </w:r>
      <w:r>
        <w:rPr>
          <w:rFonts w:hint="eastAsia" w:ascii="宋体" w:hAnsi="宋体" w:eastAsia="方正仿宋简体" w:cs="方正仿宋简体"/>
          <w:color w:val="auto"/>
          <w:sz w:val="32"/>
          <w:szCs w:val="32"/>
          <w:highlight w:val="none"/>
          <w:lang w:eastAsia="zh-CN"/>
        </w:rPr>
        <w:t>结合人民对发展的需求及可能，按</w:t>
      </w:r>
      <w:r>
        <w:rPr>
          <w:rFonts w:hint="eastAsia" w:ascii="宋体" w:hAnsi="宋体" w:eastAsia="方正仿宋简体" w:cs="方正仿宋简体"/>
          <w:color w:val="auto"/>
          <w:sz w:val="32"/>
          <w:szCs w:val="32"/>
          <w:highlight w:val="none"/>
        </w:rPr>
        <w:t>中共中央、云南省委、文山州委、西畴县委关于制定国民经济和社会发展第十</w:t>
      </w:r>
      <w:r>
        <w:rPr>
          <w:rFonts w:hint="eastAsia" w:ascii="宋体" w:hAnsi="宋体" w:eastAsia="方正仿宋简体" w:cs="方正仿宋简体"/>
          <w:color w:val="auto"/>
          <w:sz w:val="32"/>
          <w:szCs w:val="32"/>
          <w:highlight w:val="none"/>
          <w:lang w:eastAsia="zh-CN"/>
        </w:rPr>
        <w:t>四</w:t>
      </w:r>
      <w:r>
        <w:rPr>
          <w:rFonts w:hint="eastAsia" w:ascii="宋体" w:hAnsi="宋体" w:eastAsia="方正仿宋简体" w:cs="方正仿宋简体"/>
          <w:color w:val="auto"/>
          <w:sz w:val="32"/>
          <w:szCs w:val="32"/>
          <w:highlight w:val="none"/>
        </w:rPr>
        <w:t>个五年规划的建议</w:t>
      </w:r>
      <w:r>
        <w:rPr>
          <w:rFonts w:hint="eastAsia" w:ascii="宋体" w:hAnsi="宋体" w:eastAsia="方正仿宋简体" w:cs="方正仿宋简体"/>
          <w:color w:val="auto"/>
          <w:sz w:val="32"/>
          <w:szCs w:val="32"/>
          <w:highlight w:val="none"/>
          <w:lang w:eastAsia="zh-CN"/>
        </w:rPr>
        <w:t>要求和省委省政府文山现场办公会</w:t>
      </w:r>
      <w:r>
        <w:rPr>
          <w:rFonts w:hint="eastAsia" w:ascii="宋体" w:hAnsi="宋体" w:eastAsia="方正仿宋简体" w:cs="方正仿宋简体"/>
          <w:color w:val="auto"/>
          <w:sz w:val="32"/>
          <w:szCs w:val="32"/>
          <w:highlight w:val="none"/>
          <w:lang w:val="en-US" w:eastAsia="zh-CN"/>
        </w:rPr>
        <w:t>7县专题会议要求</w:t>
      </w:r>
      <w:r>
        <w:rPr>
          <w:rFonts w:hint="eastAsia" w:ascii="宋体" w:hAnsi="宋体" w:eastAsia="方正仿宋简体" w:cs="方正仿宋简体"/>
          <w:color w:val="auto"/>
          <w:sz w:val="32"/>
          <w:szCs w:val="32"/>
          <w:highlight w:val="none"/>
          <w:lang w:eastAsia="zh-CN"/>
        </w:rPr>
        <w:t>，</w:t>
      </w:r>
      <w:r>
        <w:rPr>
          <w:rFonts w:hint="eastAsia" w:ascii="宋体" w:hAnsi="宋体" w:eastAsia="方正仿宋简体" w:cs="方正仿宋简体"/>
          <w:color w:val="auto"/>
          <w:sz w:val="32"/>
          <w:szCs w:val="32"/>
          <w:highlight w:val="none"/>
        </w:rPr>
        <w:t>编制</w:t>
      </w:r>
      <w:r>
        <w:rPr>
          <w:rFonts w:hint="eastAsia" w:ascii="宋体" w:hAnsi="宋体" w:eastAsia="方正仿宋简体" w:cs="方正仿宋简体"/>
          <w:color w:val="auto"/>
          <w:sz w:val="32"/>
          <w:szCs w:val="32"/>
          <w:highlight w:val="none"/>
          <w:lang w:eastAsia="zh-CN"/>
        </w:rPr>
        <w:t>修订了</w:t>
      </w:r>
      <w:r>
        <w:rPr>
          <w:rFonts w:hint="eastAsia" w:ascii="宋体" w:hAnsi="宋体" w:eastAsia="方正仿宋简体" w:cs="方正仿宋简体"/>
          <w:color w:val="auto"/>
          <w:kern w:val="0"/>
          <w:sz w:val="32"/>
          <w:szCs w:val="32"/>
          <w:highlight w:val="none"/>
        </w:rPr>
        <w:t>《</w:t>
      </w:r>
      <w:r>
        <w:rPr>
          <w:rFonts w:hint="eastAsia" w:ascii="宋体" w:hAnsi="宋体" w:eastAsia="方正仿宋简体" w:cs="方正仿宋简体"/>
          <w:color w:val="auto"/>
          <w:sz w:val="32"/>
          <w:szCs w:val="32"/>
          <w:highlight w:val="none"/>
        </w:rPr>
        <w:t>西畴县国民经济和社会发展第十</w:t>
      </w:r>
      <w:r>
        <w:rPr>
          <w:rFonts w:hint="eastAsia" w:ascii="宋体" w:hAnsi="宋体" w:eastAsia="方正仿宋简体" w:cs="方正仿宋简体"/>
          <w:color w:val="auto"/>
          <w:sz w:val="32"/>
          <w:szCs w:val="32"/>
          <w:highlight w:val="none"/>
          <w:lang w:eastAsia="zh-CN"/>
        </w:rPr>
        <w:t>四</w:t>
      </w:r>
      <w:r>
        <w:rPr>
          <w:rFonts w:hint="eastAsia" w:ascii="宋体" w:hAnsi="宋体" w:eastAsia="方正仿宋简体" w:cs="方正仿宋简体"/>
          <w:color w:val="auto"/>
          <w:sz w:val="32"/>
          <w:szCs w:val="32"/>
          <w:highlight w:val="none"/>
        </w:rPr>
        <w:t>个五年规划纲要（</w:t>
      </w:r>
      <w:r>
        <w:rPr>
          <w:rFonts w:hint="eastAsia" w:ascii="宋体" w:hAnsi="宋体" w:eastAsia="方正仿宋简体" w:cs="方正仿宋简体"/>
          <w:color w:val="auto"/>
          <w:sz w:val="32"/>
          <w:szCs w:val="32"/>
          <w:highlight w:val="none"/>
          <w:lang w:eastAsia="zh-CN"/>
        </w:rPr>
        <w:t>修订</w:t>
      </w:r>
      <w:r>
        <w:rPr>
          <w:rFonts w:hint="eastAsia" w:ascii="宋体" w:hAnsi="宋体" w:eastAsia="方正仿宋简体" w:cs="方正仿宋简体"/>
          <w:color w:val="auto"/>
          <w:sz w:val="32"/>
          <w:szCs w:val="32"/>
          <w:highlight w:val="none"/>
        </w:rPr>
        <w:t>草案）》（以下简称《</w:t>
      </w:r>
      <w:r>
        <w:rPr>
          <w:rFonts w:hint="eastAsia" w:ascii="宋体" w:hAnsi="宋体" w:eastAsia="方正仿宋简体" w:cs="方正仿宋简体"/>
          <w:color w:val="auto"/>
          <w:sz w:val="32"/>
          <w:szCs w:val="32"/>
          <w:highlight w:val="none"/>
          <w:lang w:eastAsia="zh-CN"/>
        </w:rPr>
        <w:t>规划</w:t>
      </w:r>
      <w:r>
        <w:rPr>
          <w:rFonts w:hint="eastAsia" w:ascii="宋体" w:hAnsi="宋体" w:eastAsia="方正仿宋简体" w:cs="方正仿宋简体"/>
          <w:color w:val="auto"/>
          <w:sz w:val="32"/>
          <w:szCs w:val="32"/>
          <w:highlight w:val="none"/>
        </w:rPr>
        <w:t>纲要》）。</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color w:val="auto"/>
          <w:highlight w:val="none"/>
        </w:rPr>
      </w:pPr>
      <w:r>
        <w:rPr>
          <w:rFonts w:hint="eastAsia" w:ascii="宋体" w:hAnsi="宋体" w:eastAsia="方正仿宋简体" w:cs="方正仿宋简体"/>
          <w:color w:val="auto"/>
          <w:sz w:val="32"/>
          <w:szCs w:val="32"/>
          <w:highlight w:val="none"/>
        </w:rPr>
        <w:t>《</w:t>
      </w:r>
      <w:r>
        <w:rPr>
          <w:rFonts w:hint="eastAsia" w:ascii="宋体" w:hAnsi="宋体" w:eastAsia="方正仿宋简体" w:cs="方正仿宋简体"/>
          <w:color w:val="auto"/>
          <w:sz w:val="32"/>
          <w:szCs w:val="32"/>
          <w:highlight w:val="none"/>
          <w:lang w:eastAsia="zh-CN"/>
        </w:rPr>
        <w:t>规划</w:t>
      </w:r>
      <w:r>
        <w:rPr>
          <w:rFonts w:hint="eastAsia" w:ascii="宋体" w:hAnsi="宋体" w:eastAsia="方正仿宋简体" w:cs="方正仿宋简体"/>
          <w:color w:val="auto"/>
          <w:sz w:val="32"/>
          <w:szCs w:val="32"/>
          <w:highlight w:val="none"/>
        </w:rPr>
        <w:t>纲要》对于深入贯彻落实习近平总书记考察云南重要讲话精神，闯出一条具有西畴县特色的高质量跨越式发展路子，具有重大现实意义和深远历史意义。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color w:val="auto"/>
          <w:sz w:val="32"/>
          <w:szCs w:val="32"/>
          <w:highlight w:val="none"/>
        </w:rPr>
      </w:pPr>
      <w:r>
        <w:rPr>
          <w:rFonts w:hint="eastAsia" w:ascii="宋体" w:hAnsi="宋体" w:eastAsia="方正仿宋简体" w:cs="方正仿宋简体"/>
          <w:color w:val="auto"/>
          <w:sz w:val="32"/>
          <w:szCs w:val="32"/>
          <w:highlight w:val="none"/>
        </w:rPr>
        <w:t>《</w:t>
      </w:r>
      <w:r>
        <w:rPr>
          <w:rFonts w:hint="eastAsia" w:ascii="宋体" w:hAnsi="宋体" w:eastAsia="方正仿宋简体" w:cs="方正仿宋简体"/>
          <w:color w:val="auto"/>
          <w:sz w:val="32"/>
          <w:szCs w:val="32"/>
          <w:highlight w:val="none"/>
          <w:lang w:eastAsia="zh-CN"/>
        </w:rPr>
        <w:t>规划</w:t>
      </w:r>
      <w:r>
        <w:rPr>
          <w:rFonts w:hint="eastAsia" w:ascii="宋体" w:hAnsi="宋体" w:eastAsia="方正仿宋简体" w:cs="方正仿宋简体"/>
          <w:color w:val="auto"/>
          <w:sz w:val="32"/>
          <w:szCs w:val="32"/>
          <w:highlight w:val="none"/>
        </w:rPr>
        <w:t>纲要》</w:t>
      </w:r>
      <w:r>
        <w:rPr>
          <w:rFonts w:hint="eastAsia" w:ascii="宋体" w:hAnsi="宋体" w:eastAsia="方正仿宋简体" w:cs="方正仿宋简体"/>
          <w:color w:val="auto"/>
          <w:sz w:val="32"/>
          <w:szCs w:val="32"/>
          <w:highlight w:val="none"/>
          <w:lang w:eastAsia="zh-CN"/>
        </w:rPr>
        <w:t>立足县情实际，</w:t>
      </w:r>
      <w:r>
        <w:rPr>
          <w:rFonts w:hint="eastAsia" w:ascii="宋体" w:hAnsi="宋体" w:eastAsia="方正仿宋简体" w:cs="方正仿宋简体"/>
          <w:color w:val="auto"/>
          <w:sz w:val="32"/>
          <w:szCs w:val="32"/>
          <w:highlight w:val="none"/>
        </w:rPr>
        <w:t>提出“十四五”发展思路目标和任务举措，</w:t>
      </w:r>
      <w:r>
        <w:rPr>
          <w:rFonts w:hint="eastAsia" w:ascii="宋体" w:hAnsi="宋体" w:eastAsia="方正仿宋简体" w:cs="方正仿宋简体"/>
          <w:color w:val="auto"/>
          <w:sz w:val="32"/>
          <w:szCs w:val="32"/>
          <w:highlight w:val="none"/>
          <w:lang w:eastAsia="zh-CN"/>
        </w:rPr>
        <w:t>并对</w:t>
      </w:r>
      <w:r>
        <w:rPr>
          <w:rFonts w:hint="eastAsia" w:ascii="宋体" w:hAnsi="宋体" w:eastAsia="方正仿宋简体" w:cs="方正仿宋简体"/>
          <w:color w:val="auto"/>
          <w:sz w:val="32"/>
          <w:szCs w:val="32"/>
          <w:highlight w:val="none"/>
          <w:lang w:val="en-US" w:eastAsia="zh-CN"/>
        </w:rPr>
        <w:t>2035年进行</w:t>
      </w:r>
      <w:r>
        <w:rPr>
          <w:rFonts w:hint="eastAsia" w:ascii="宋体" w:hAnsi="宋体" w:eastAsia="方正仿宋简体" w:cs="方正仿宋简体"/>
          <w:color w:val="auto"/>
          <w:sz w:val="32"/>
          <w:szCs w:val="32"/>
          <w:highlight w:val="none"/>
          <w:lang w:eastAsia="zh-CN"/>
        </w:rPr>
        <w:t>展望。</w:t>
      </w:r>
      <w:r>
        <w:rPr>
          <w:rFonts w:hint="eastAsia" w:ascii="宋体" w:hAnsi="宋体" w:eastAsia="方正仿宋简体" w:cs="方正仿宋简体"/>
          <w:color w:val="auto"/>
          <w:sz w:val="32"/>
          <w:szCs w:val="32"/>
          <w:highlight w:val="none"/>
        </w:rPr>
        <w:t>是未来五年西畴经济社会发展的宏伟蓝图，是</w:t>
      </w:r>
      <w:r>
        <w:rPr>
          <w:rFonts w:hint="eastAsia" w:ascii="宋体" w:hAnsi="宋体" w:eastAsia="方正仿宋简体" w:cs="方正仿宋简体"/>
          <w:color w:val="auto"/>
          <w:sz w:val="32"/>
          <w:szCs w:val="32"/>
          <w:highlight w:val="none"/>
          <w:lang w:eastAsia="zh-CN"/>
        </w:rPr>
        <w:t>县乡党委</w:t>
      </w:r>
      <w:r>
        <w:rPr>
          <w:rFonts w:hint="eastAsia" w:ascii="宋体" w:hAnsi="宋体" w:eastAsia="方正仿宋简体" w:cs="方正仿宋简体"/>
          <w:color w:val="auto"/>
          <w:sz w:val="32"/>
          <w:szCs w:val="32"/>
          <w:highlight w:val="none"/>
        </w:rPr>
        <w:t>政府</w:t>
      </w:r>
      <w:r>
        <w:rPr>
          <w:rFonts w:hint="eastAsia" w:ascii="宋体" w:hAnsi="宋体" w:eastAsia="方正仿宋简体" w:cs="方正仿宋简体"/>
          <w:color w:val="auto"/>
          <w:sz w:val="32"/>
          <w:szCs w:val="32"/>
          <w:highlight w:val="none"/>
          <w:lang w:eastAsia="zh-CN"/>
        </w:rPr>
        <w:t>推动发展</w:t>
      </w:r>
      <w:r>
        <w:rPr>
          <w:rFonts w:hint="eastAsia" w:ascii="宋体" w:hAnsi="宋体" w:eastAsia="方正仿宋简体" w:cs="方正仿宋简体"/>
          <w:color w:val="auto"/>
          <w:sz w:val="32"/>
          <w:szCs w:val="32"/>
          <w:highlight w:val="none"/>
        </w:rPr>
        <w:t>的重要依据，是</w:t>
      </w:r>
      <w:r>
        <w:rPr>
          <w:rFonts w:hint="eastAsia" w:ascii="宋体" w:hAnsi="宋体" w:eastAsia="方正仿宋简体" w:cs="方正仿宋简体"/>
          <w:color w:val="auto"/>
          <w:sz w:val="32"/>
          <w:szCs w:val="32"/>
          <w:highlight w:val="none"/>
          <w:lang w:eastAsia="zh-CN"/>
        </w:rPr>
        <w:t>开启现代化建设</w:t>
      </w:r>
      <w:r>
        <w:rPr>
          <w:rFonts w:hint="eastAsia" w:ascii="宋体" w:hAnsi="宋体" w:eastAsia="方正仿宋简体" w:cs="方正仿宋简体"/>
          <w:color w:val="auto"/>
          <w:sz w:val="32"/>
          <w:szCs w:val="32"/>
          <w:highlight w:val="none"/>
        </w:rPr>
        <w:t>的行动纲领。</w:t>
      </w:r>
    </w:p>
    <w:p>
      <w:pPr>
        <w:rPr>
          <w:rFonts w:hint="eastAsia" w:ascii="宋体" w:hAnsi="宋体" w:eastAsia="方正仿宋_GBK" w:cs="方正仿宋_GBK"/>
          <w:color w:val="auto"/>
          <w:sz w:val="32"/>
          <w:szCs w:val="32"/>
          <w:highlight w:val="none"/>
          <w:lang w:eastAsia="zh-CN"/>
        </w:rPr>
      </w:pPr>
    </w:p>
    <w:p>
      <w:pPr>
        <w:rPr>
          <w:rFonts w:hint="eastAsia" w:ascii="宋体" w:hAnsi="宋体" w:eastAsia="方正小标宋_GBK" w:cs="方正小标宋_GBK"/>
          <w:color w:val="auto"/>
          <w:sz w:val="36"/>
          <w:szCs w:val="36"/>
          <w:highlight w:val="none"/>
          <w:lang w:eastAsia="zh-CN"/>
        </w:rPr>
      </w:pPr>
      <w:bookmarkStart w:id="0" w:name="_Toc12405"/>
      <w:bookmarkStart w:id="1" w:name="_Toc19405_WPSOffice_Level1"/>
      <w:bookmarkStart w:id="2" w:name="_Toc29807_WPSOffice_Level1"/>
      <w:bookmarkStart w:id="3" w:name="_Toc4085_WPSOffice_Level1"/>
      <w:bookmarkStart w:id="4" w:name="_Toc31120_WPSOffice_Level1"/>
      <w:bookmarkStart w:id="5" w:name="_Toc26173_WPSOffice_Level1"/>
      <w:bookmarkStart w:id="6" w:name="_Toc7398_WPSOffice_Level1"/>
      <w:r>
        <w:rPr>
          <w:rFonts w:hint="eastAsia" w:ascii="宋体" w:hAnsi="宋体" w:eastAsia="方正小标宋_GBK" w:cs="方正小标宋_GBK"/>
          <w:color w:val="auto"/>
          <w:sz w:val="36"/>
          <w:szCs w:val="36"/>
          <w:highlight w:val="none"/>
          <w:lang w:eastAsia="zh-CN"/>
        </w:rPr>
        <w:br w:type="page"/>
      </w:r>
    </w:p>
    <w:p>
      <w:pPr>
        <w:rPr>
          <w:rFonts w:hint="eastAsia" w:ascii="宋体" w:hAnsi="宋体"/>
          <w:lang w:eastAsia="zh-CN"/>
        </w:rPr>
      </w:pPr>
    </w:p>
    <w:p>
      <w:pPr>
        <w:pStyle w:val="2"/>
        <w:jc w:val="both"/>
        <w:rPr>
          <w:rFonts w:hint="eastAsia" w:ascii="宋体" w:hAnsi="宋体" w:eastAsia="方正小标宋简体" w:cs="方正小标宋简体"/>
          <w:color w:val="auto"/>
          <w:sz w:val="44"/>
          <w:szCs w:val="44"/>
          <w:highlight w:val="none"/>
          <w:lang w:eastAsia="zh-CN"/>
        </w:rPr>
        <w:sectPr>
          <w:footerReference r:id="rId3" w:type="default"/>
          <w:pgSz w:w="11906" w:h="16838"/>
          <w:pgMar w:top="1531" w:right="1587" w:bottom="1417" w:left="1474" w:header="851" w:footer="992" w:gutter="0"/>
          <w:pgNumType w:fmt="decimal" w:start="1"/>
          <w:cols w:space="0" w:num="1"/>
          <w:rtlGutter w:val="0"/>
          <w:docGrid w:type="lines" w:linePitch="315" w:charSpace="0"/>
        </w:sectPr>
      </w:pPr>
    </w:p>
    <w:p>
      <w:pPr>
        <w:pStyle w:val="2"/>
        <w:keepNext w:val="0"/>
        <w:keepLines w:val="0"/>
        <w:pageBreakBefore w:val="0"/>
        <w:widowControl w:val="0"/>
        <w:kinsoku/>
        <w:wordWrap/>
        <w:overflowPunct/>
        <w:topLinePunct w:val="0"/>
        <w:autoSpaceDE/>
        <w:autoSpaceDN/>
        <w:bidi w:val="0"/>
        <w:adjustRightInd/>
        <w:snapToGrid/>
        <w:spacing w:before="0" w:line="560" w:lineRule="exact"/>
        <w:ind w:right="0" w:rightChars="0" w:firstLine="0" w:firstLineChars="0"/>
        <w:jc w:val="center"/>
        <w:textAlignment w:val="auto"/>
        <w:rPr>
          <w:rFonts w:hint="eastAsia" w:ascii="宋体" w:hAnsi="宋体" w:eastAsia="方正小标宋简体" w:cs="方正小标宋简体"/>
          <w:color w:val="auto"/>
          <w:sz w:val="44"/>
          <w:szCs w:val="44"/>
          <w:highlight w:val="none"/>
          <w:lang w:eastAsia="zh-CN"/>
        </w:rPr>
      </w:pPr>
      <w:r>
        <w:rPr>
          <w:rFonts w:hint="eastAsia" w:ascii="宋体" w:hAnsi="宋体" w:eastAsia="方正小标宋简体" w:cs="方正小标宋简体"/>
          <w:color w:val="auto"/>
          <w:sz w:val="44"/>
          <w:szCs w:val="44"/>
          <w:highlight w:val="none"/>
          <w:lang w:eastAsia="zh-CN"/>
        </w:rPr>
        <w:t>目</w:t>
      </w:r>
      <w:r>
        <w:rPr>
          <w:rFonts w:hint="eastAsia" w:ascii="宋体" w:hAnsi="宋体" w:eastAsia="方正小标宋简体" w:cs="方正小标宋简体"/>
          <w:color w:val="auto"/>
          <w:sz w:val="44"/>
          <w:szCs w:val="44"/>
          <w:highlight w:val="none"/>
          <w:lang w:val="en-US" w:eastAsia="zh-CN"/>
        </w:rPr>
        <w:t xml:space="preserve">  </w:t>
      </w:r>
      <w:r>
        <w:rPr>
          <w:rFonts w:hint="eastAsia" w:ascii="宋体" w:hAnsi="宋体" w:eastAsia="方正小标宋简体" w:cs="方正小标宋简体"/>
          <w:color w:val="auto"/>
          <w:sz w:val="44"/>
          <w:szCs w:val="44"/>
          <w:highlight w:val="none"/>
          <w:lang w:eastAsia="zh-CN"/>
        </w:rPr>
        <w:t>录</w:t>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eastAsia" w:ascii="宋体" w:hAnsi="宋体" w:eastAsia="方正小标宋_GBK" w:cs="方正小标宋_GBK"/>
          <w:color w:val="auto"/>
          <w:sz w:val="32"/>
          <w:szCs w:val="32"/>
          <w:highlight w:val="none"/>
          <w:lang w:eastAsia="zh-CN"/>
        </w:rPr>
      </w:pP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小标宋_GBK" w:cs="方正小标宋_GBK"/>
          <w:color w:val="auto"/>
          <w:sz w:val="32"/>
          <w:szCs w:val="32"/>
          <w:highlight w:val="none"/>
          <w:lang w:eastAsia="zh-CN"/>
        </w:rPr>
        <w:fldChar w:fldCharType="begin"/>
      </w:r>
      <w:r>
        <w:rPr>
          <w:rFonts w:hint="eastAsia" w:ascii="宋体" w:hAnsi="宋体" w:eastAsia="方正小标宋_GBK" w:cs="方正小标宋_GBK"/>
          <w:color w:val="auto"/>
          <w:sz w:val="32"/>
          <w:szCs w:val="32"/>
          <w:highlight w:val="none"/>
          <w:lang w:eastAsia="zh-CN"/>
        </w:rPr>
        <w:instrText xml:space="preserve">TOC \o "1-3" \h \u </w:instrText>
      </w:r>
      <w:r>
        <w:rPr>
          <w:rFonts w:hint="eastAsia" w:ascii="宋体" w:hAnsi="宋体" w:eastAsia="方正小标宋_GBK" w:cs="方正小标宋_GBK"/>
          <w:color w:val="auto"/>
          <w:sz w:val="32"/>
          <w:szCs w:val="32"/>
          <w:highlight w:val="none"/>
          <w:lang w:eastAsia="zh-CN"/>
        </w:rPr>
        <w:fldChar w:fldCharType="separate"/>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_Toc31738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第一篇  科学总结成绩 正确分析形势 奋力开启全面建设社会主义现代化国家新征程</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_Toc31738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1</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_Toc31290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bCs/>
          <w:color w:val="auto"/>
          <w:kern w:val="44"/>
          <w:sz w:val="32"/>
          <w:szCs w:val="32"/>
          <w:highlight w:val="none"/>
          <w:lang w:val="en-US" w:eastAsia="zh-CN" w:bidi="ar"/>
        </w:rPr>
        <w:t>第一章　发展环境</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_Toc31290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1</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_Toc18772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bCs/>
          <w:color w:val="auto"/>
          <w:kern w:val="44"/>
          <w:sz w:val="32"/>
          <w:szCs w:val="32"/>
          <w:highlight w:val="none"/>
          <w:lang w:val="en-US" w:eastAsia="zh-CN" w:bidi="ar"/>
        </w:rPr>
        <w:t>第二章　“十四五”时期发展面临的机遇挑战</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cs="方正楷体简体"/>
          <w:color w:val="auto"/>
          <w:kern w:val="44"/>
          <w:sz w:val="32"/>
          <w:szCs w:val="32"/>
          <w:highlight w:val="none"/>
          <w:lang w:val="en-US" w:eastAsia="zh-CN" w:bidi="ar"/>
        </w:rPr>
        <w:t>1</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cs="方正楷体简体"/>
          <w:color w:val="auto"/>
          <w:kern w:val="44"/>
          <w:sz w:val="32"/>
          <w:szCs w:val="32"/>
          <w:highlight w:val="none"/>
          <w:lang w:val="en-US" w:eastAsia="zh-CN" w:bidi="ar"/>
        </w:rPr>
        <w:t>0</w:t>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_Toc6881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“十四五”时期发展面临的重要机遇</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_Toc6881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10</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_Toc21595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“十四五”时期发展面临的严峻挑战</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_Toc21595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12</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_Toc7549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二О三五年基本实现社会主义现代化远景目标</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_Toc7549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14</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_Toc8593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第二篇  把握指导方针 描绘发展蓝图 谱写“十四五”经济社会发展新篇章</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_Toc8593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15</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_Toc30300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指导思想</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_Toc30300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15</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_Toc5789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基本原则</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_Toc5789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16</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_Toc21731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发展目标</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_Toc21731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17</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小标宋_GBK" w:cs="方正小标宋_GBK"/>
          <w:color w:val="auto"/>
          <w:kern w:val="44"/>
          <w:sz w:val="32"/>
          <w:szCs w:val="32"/>
          <w:highlight w:val="none"/>
          <w:lang w:val="en-US" w:eastAsia="zh-CN" w:bidi="ar"/>
        </w:rPr>
        <w:fldChar w:fldCharType="begin"/>
      </w:r>
      <w:r>
        <w:rPr>
          <w:rFonts w:hint="eastAsia" w:ascii="宋体" w:hAnsi="宋体" w:eastAsia="方正小标宋_GBK" w:cs="方正小标宋_GBK"/>
          <w:color w:val="auto"/>
          <w:kern w:val="44"/>
          <w:sz w:val="32"/>
          <w:szCs w:val="32"/>
          <w:highlight w:val="none"/>
          <w:lang w:val="en-US" w:eastAsia="zh-CN" w:bidi="ar"/>
        </w:rPr>
        <w:instrText xml:space="preserve"> HYPERLINK \l _Toc3106 </w:instrText>
      </w:r>
      <w:r>
        <w:rPr>
          <w:rFonts w:hint="eastAsia" w:ascii="宋体" w:hAnsi="宋体" w:eastAsia="方正小标宋_GBK" w:cs="方正小标宋_GBK"/>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第三篇　优化空间布局</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宋体" w:cs="宋体"/>
          <w:color w:val="auto"/>
          <w:kern w:val="44"/>
          <w:sz w:val="32"/>
          <w:szCs w:val="32"/>
          <w:highlight w:val="none"/>
          <w:lang w:val="en-US" w:eastAsia="zh-CN" w:bidi="ar"/>
        </w:rPr>
        <w:fldChar w:fldCharType="begin"/>
      </w:r>
      <w:r>
        <w:rPr>
          <w:rFonts w:hint="eastAsia" w:ascii="宋体" w:hAnsi="宋体" w:eastAsia="宋体" w:cs="宋体"/>
          <w:color w:val="auto"/>
          <w:kern w:val="44"/>
          <w:sz w:val="32"/>
          <w:szCs w:val="32"/>
          <w:highlight w:val="none"/>
          <w:lang w:val="en-US" w:eastAsia="zh-CN" w:bidi="ar"/>
        </w:rPr>
        <w:instrText xml:space="preserve"> PAGEREF _Toc3106 </w:instrText>
      </w:r>
      <w:r>
        <w:rPr>
          <w:rFonts w:hint="eastAsia" w:ascii="宋体" w:hAnsi="宋体" w:eastAsia="宋体" w:cs="宋体"/>
          <w:color w:val="auto"/>
          <w:kern w:val="44"/>
          <w:sz w:val="32"/>
          <w:szCs w:val="32"/>
          <w:highlight w:val="none"/>
          <w:lang w:val="en-US" w:eastAsia="zh-CN" w:bidi="ar"/>
        </w:rPr>
        <w:fldChar w:fldCharType="separate"/>
      </w:r>
      <w:r>
        <w:rPr>
          <w:rFonts w:hint="eastAsia" w:ascii="宋体" w:hAnsi="宋体" w:eastAsia="宋体" w:cs="宋体"/>
          <w:color w:val="auto"/>
          <w:kern w:val="44"/>
          <w:sz w:val="32"/>
          <w:szCs w:val="32"/>
          <w:highlight w:val="none"/>
          <w:lang w:val="en-US" w:eastAsia="zh-CN" w:bidi="ar"/>
        </w:rPr>
        <w:t>21</w:t>
      </w:r>
      <w:r>
        <w:rPr>
          <w:rFonts w:hint="eastAsia" w:ascii="宋体" w:hAnsi="宋体" w:eastAsia="宋体" w:cs="宋体"/>
          <w:color w:val="auto"/>
          <w:kern w:val="44"/>
          <w:sz w:val="32"/>
          <w:szCs w:val="32"/>
          <w:highlight w:val="none"/>
          <w:lang w:val="en-US" w:eastAsia="zh-CN" w:bidi="ar"/>
        </w:rPr>
        <w:fldChar w:fldCharType="end"/>
      </w:r>
      <w:r>
        <w:rPr>
          <w:rFonts w:hint="eastAsia" w:ascii="宋体" w:hAnsi="宋体" w:eastAsia="方正小标宋_GBK" w:cs="方正小标宋_GBK"/>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_Toc25247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第四篇　打造“西畴精神”实践创新高地</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_Toc25247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26</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_Toc13096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全面弘扬“西畴精神”</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_Toc13096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26</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_Toc11131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完整“刻录”不同时期“西畴精神”轨迹</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_Toc11131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26</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_Toc4842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完善“西畴精神”教育基地功能</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_Toc4842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26</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_Toc216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做好</w:t>
      </w:r>
      <w:r>
        <w:rPr>
          <w:rFonts w:hint="eastAsia" w:ascii="宋体" w:hAnsi="宋体" w:cs="方正楷体简体"/>
          <w:color w:val="auto"/>
          <w:kern w:val="44"/>
          <w:sz w:val="32"/>
          <w:szCs w:val="32"/>
          <w:highlight w:val="none"/>
          <w:lang w:val="en-US" w:eastAsia="zh-CN" w:bidi="ar"/>
        </w:rPr>
        <w:t>“西畴精神”</w:t>
      </w:r>
      <w:r>
        <w:rPr>
          <w:rFonts w:hint="eastAsia" w:ascii="宋体" w:hAnsi="宋体" w:eastAsia="方正楷体简体" w:cs="方正楷体简体"/>
          <w:color w:val="auto"/>
          <w:kern w:val="44"/>
          <w:sz w:val="32"/>
          <w:szCs w:val="32"/>
          <w:highlight w:val="none"/>
          <w:lang w:val="en-US" w:eastAsia="zh-CN" w:bidi="ar"/>
        </w:rPr>
        <w:t>动能转换</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_Toc216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28</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_Toc18956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奏响</w:t>
      </w:r>
      <w:r>
        <w:rPr>
          <w:rFonts w:hint="eastAsia" w:ascii="宋体" w:hAnsi="宋体" w:cs="方正仿宋简体"/>
          <w:color w:val="auto"/>
          <w:kern w:val="44"/>
          <w:sz w:val="32"/>
          <w:szCs w:val="32"/>
          <w:highlight w:val="none"/>
          <w:lang w:val="en-US" w:eastAsia="zh-CN" w:bidi="ar"/>
        </w:rPr>
        <w:t>“西畴精神”</w:t>
      </w:r>
      <w:r>
        <w:rPr>
          <w:rFonts w:hint="eastAsia" w:ascii="宋体" w:hAnsi="宋体" w:eastAsia="方正仿宋简体" w:cs="方正仿宋简体"/>
          <w:color w:val="auto"/>
          <w:kern w:val="44"/>
          <w:sz w:val="32"/>
          <w:szCs w:val="32"/>
          <w:highlight w:val="none"/>
          <w:lang w:val="en-US" w:eastAsia="zh-CN" w:bidi="ar"/>
        </w:rPr>
        <w:t>主旋律</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_Toc18956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28</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_Toc30317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切实开展</w:t>
      </w:r>
      <w:r>
        <w:rPr>
          <w:rFonts w:hint="eastAsia" w:ascii="宋体" w:hAnsi="宋体" w:cs="方正仿宋简体"/>
          <w:color w:val="auto"/>
          <w:kern w:val="44"/>
          <w:sz w:val="32"/>
          <w:szCs w:val="32"/>
          <w:highlight w:val="none"/>
          <w:lang w:val="en-US" w:eastAsia="zh-CN" w:bidi="ar"/>
        </w:rPr>
        <w:t>“西畴精神”</w:t>
      </w:r>
      <w:r>
        <w:rPr>
          <w:rFonts w:hint="eastAsia" w:ascii="宋体" w:hAnsi="宋体" w:eastAsia="方正仿宋简体" w:cs="方正仿宋简体"/>
          <w:color w:val="auto"/>
          <w:kern w:val="44"/>
          <w:sz w:val="32"/>
          <w:szCs w:val="32"/>
          <w:highlight w:val="none"/>
          <w:lang w:val="en-US" w:eastAsia="zh-CN" w:bidi="ar"/>
        </w:rPr>
        <w:t>实践行动</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_Toc30317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29</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_Toc22143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第五篇  打造“绿水青山就是金山银山”实践创新基地</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_Toc22143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31</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_Toc20243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持续推进主体功能区战略落实</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_Toc20243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31</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_Toc425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严格发展空间管控</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_Toc425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31</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_Toc8417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突出生态工程建设</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_Toc8417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32</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_Toc14975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第三节  创新</w:t>
      </w:r>
      <w:r>
        <w:rPr>
          <w:rFonts w:hint="default" w:ascii="宋体" w:hAnsi="宋体" w:eastAsia="方正仿宋简体" w:cs="方正仿宋简体"/>
          <w:color w:val="auto"/>
          <w:kern w:val="44"/>
          <w:sz w:val="32"/>
          <w:szCs w:val="32"/>
          <w:highlight w:val="none"/>
          <w:lang w:val="en-US" w:eastAsia="zh-CN" w:bidi="ar"/>
        </w:rPr>
        <w:t>生态环境治理</w:t>
      </w:r>
      <w:r>
        <w:rPr>
          <w:rFonts w:hint="eastAsia" w:ascii="宋体" w:hAnsi="宋体" w:eastAsia="方正仿宋简体" w:cs="方正仿宋简体"/>
          <w:color w:val="auto"/>
          <w:kern w:val="44"/>
          <w:sz w:val="32"/>
          <w:szCs w:val="32"/>
          <w:highlight w:val="none"/>
          <w:lang w:val="en-US" w:eastAsia="zh-CN" w:bidi="ar"/>
        </w:rPr>
        <w:t>模式</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_Toc14975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33</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_Toc29513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改善与提升城乡人居环境质量</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_Toc29513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34</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_Toc13743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全面提高资源利用效率</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_Toc13743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34</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_Toc28444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全面推动绿色低碳发展</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_Toc28444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35</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_Toc11299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第三节　完善生态文明制度体系建设</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_Toc11299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35</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_Toc14233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争当生态文明建设排头兵</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_Toc14233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36</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_Toc4682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第六篇  打造石漠化地区高质量发展创新示范区</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_Toc4682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38</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_Toc31980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高质量建设立体基础设施网络</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_Toc31980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38</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_Toc14102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推动安全高效公路服务网络建设</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_Toc14102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38</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_Toc7125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建设综合给水网络</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_Toc7125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39</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_Toc28566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第三节　构建安全高效信息网</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_Toc28566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40</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_Toc31559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第四节　健全综合能源网</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_Toc31559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41</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_Toc23687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推动产业转型升级 加快构建现代产业体系</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_Toc23687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42</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_Toc8256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优化产业发展布局</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_Toc8256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42</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_Toc345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加快产业体系构建</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_Toc345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43</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_Toc28975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第三节  做优做特现代农业</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_Toc28975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45</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_Toc24701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第四节  做强做大现代工业</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_Toc24701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47</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_Toc11670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第五节  做活做旺现代服务业</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_Toc11670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49</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_Toc12017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第六节  提升产业链供应链现代化水平</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_Toc12017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50</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_Toc984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第七节　积极推进产业数字化发展</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_Toc984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50</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_Toc362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第八节　推动产业发展上台阶</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_Toc362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51</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_Toc15949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加快推进石漠化综合治理研教示范区建设</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_Toc15949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52</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_Toc10123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第四章　加快推进医养康旅一体化发展示范区建设</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_Toc10123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53</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_Toc2573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第五章　加快推进道地药材繁育种植示范区建设</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_Toc2573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54</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_Toc19972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第七篇  打造通往越南连接粤港澳大湾区重要通道</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_Toc19972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55</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_Toc11547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坚持一张蓝图管终身</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_Toc11547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55</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_Toc1686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高质量打好通道经济基础设施建设翻身仗</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_Toc1686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56</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_Toc28368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提升通道经济发展成效</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_Toc28368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57</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_Toc3408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第四章　加快通道经济建设</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_Toc3408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59</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_Toc19640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加快布局文山经西畴到越南通道经济建设</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_Toc19640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59</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_Toc7288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加快布局河口经西畴到粤港澳大湾区通道经济建设</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_Toc7288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59</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_Toc10049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第三节　加快县城兴街同城化进程</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_Toc10049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60</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_Toc27903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第八篇  坚持创新驱动发展 切实增强发展内生动力</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_Toc27903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62</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_Toc11493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创新绿色发展</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_Toc11493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62</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_Toc12159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全面激发人才创新活力</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_Toc12159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63</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_Toc16321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强化企业创新主体地位</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_Toc16321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64</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_Toc27134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第四章  加强创新驱动系统集成</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_Toc27134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64</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_Toc12461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第五章  提升科技创新能力</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_Toc12461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65</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_Toc18714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第九篇　巩固和拓展脱贫攻坚成果 加快推进乡村振兴</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_Toc18714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66</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_Toc17494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全力巩固脱贫成果</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_Toc17494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66</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_Toc10057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推进城乡融合发展</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_Toc10057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67</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_Toc23019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优化城乡要素合理配置</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_Toc23019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67</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_Toc25417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保障城乡建设用地</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_Toc25417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68</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_Toc2129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第三节  促进城乡经济多元化发展</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_Toc2129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69</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_Toc9984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深入推进农村改革</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_Toc9984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70</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_Toc28172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第四章　实施乡村振兴行动</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_Toc28172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70</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_Toc2642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第十篇　全面深化改革 全面增强发展动力</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_Toc2642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72</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_Toc4399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深化供给侧结构性改革</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_Toc4399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72</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_Toc6588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推进政府职能转变</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_Toc6588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73</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_Toc22550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构建新型政务服务管理体系</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_Toc22550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73</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_Toc18102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推进“互联网+政务服务”</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_Toc18102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73</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_Toc10430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第三节　规范公共资源电子化交易</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_Toc10430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74</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_Toc14371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第四节　提供更优质的政务服务</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_Toc14371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74</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_Toc27625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第五节　优化营商环境</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_Toc27625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75</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_Toc25443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深化投资体制改革</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_Toc25443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76</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_Toc23169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投资促进</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_Toc23169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76</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_Toc23226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提高对外开放程度与水平</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_Toc23226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78</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_Toc28358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第十一篇  补齐民生福祉短板 加快构筑共建治共享美好家园</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_Toc28358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80</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_Toc25643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推进社会事业体系建设</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_Toc25643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80</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_Toc24660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增强教育(美育)体育服务能力</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_Toc24660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80</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_Toc17403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提高卫生与健康幸福指数</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_Toc17403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81</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_Toc2317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第三节  提升群众文化水平</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_Toc2317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82</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_Toc16501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第四节  推进养老服务上台阶</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_Toc16501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83</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_Toc16979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第五节  促进社会保障更加公平公正</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_Toc16979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83</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_Toc20648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第六节  提高就业水平</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_Toc20648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84</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_Toc1355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提高标准化配置水平</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_Toc1355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84</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_Toc13874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标准化配置设施设备</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_Toc13874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84</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_Toc11769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标准化配置相关人员</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_Toc11769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85</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_Toc606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第三节  抓好信息运用</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_Toc606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85</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_Toc115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提高社会事业建设水平</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_Toc115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86</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_Toc18707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第四章  健全社会融合管理</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_Toc18707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87</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_Toc18565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第五章  提高防灾减灾与应急管理能力</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_Toc18565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87</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_Toc6253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第十二篇  推动社会治理体系和治理能力现代化 建设更高水平平安西畴</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_Toc6253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89</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_Toc28524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健全和完善社会矛盾调处体系</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_Toc28524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89</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_Toc16889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完善社会治安防控体系</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_Toc16889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90</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_Toc162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完善公共安全管理体系</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_Toc162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90</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_Toc10983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第四章  完善城乡基层治理体系</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_Toc10983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91</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_Toc7628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第五章  完善重大风险防范体系</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_Toc7628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91</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_Toc17070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第六章　全力服务国防和军队现代化建设</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_Toc17070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91</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_Toc9030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第七章　健全社会信用管理与应用</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_Toc9030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94</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kern w:val="44"/>
          <w:sz w:val="32"/>
          <w:szCs w:val="32"/>
          <w:highlight w:val="none"/>
          <w:lang w:val="en-US" w:eastAsia="zh-CN" w:bidi="ar"/>
        </w:rPr>
      </w:pP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HYPERLINK \l _Toc31735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第十三篇　打造民族团结进步示范县样板</w:t>
      </w:r>
      <w:r>
        <w:rPr>
          <w:rFonts w:hint="eastAsia" w:ascii="宋体" w:hAnsi="宋体" w:eastAsia="方正黑体简体" w:cs="方正黑体简体"/>
          <w:color w:val="auto"/>
          <w:kern w:val="44"/>
          <w:sz w:val="32"/>
          <w:szCs w:val="32"/>
          <w:highlight w:val="none"/>
          <w:lang w:val="en-US" w:eastAsia="zh-CN" w:bidi="ar"/>
        </w:rPr>
        <w:tab/>
      </w:r>
      <w:r>
        <w:rPr>
          <w:rFonts w:hint="eastAsia" w:ascii="宋体" w:hAnsi="宋体" w:eastAsia="方正黑体简体" w:cs="方正黑体简体"/>
          <w:color w:val="auto"/>
          <w:kern w:val="44"/>
          <w:sz w:val="32"/>
          <w:szCs w:val="32"/>
          <w:highlight w:val="none"/>
          <w:lang w:val="en-US" w:eastAsia="zh-CN" w:bidi="ar"/>
        </w:rPr>
        <w:fldChar w:fldCharType="begin"/>
      </w:r>
      <w:r>
        <w:rPr>
          <w:rFonts w:hint="eastAsia" w:ascii="宋体" w:hAnsi="宋体" w:eastAsia="方正黑体简体" w:cs="方正黑体简体"/>
          <w:color w:val="auto"/>
          <w:kern w:val="44"/>
          <w:sz w:val="32"/>
          <w:szCs w:val="32"/>
          <w:highlight w:val="none"/>
          <w:lang w:val="en-US" w:eastAsia="zh-CN" w:bidi="ar"/>
        </w:rPr>
        <w:instrText xml:space="preserve"> PAGEREF _Toc31735 </w:instrText>
      </w:r>
      <w:r>
        <w:rPr>
          <w:rFonts w:hint="eastAsia" w:ascii="宋体" w:hAnsi="宋体" w:eastAsia="方正黑体简体" w:cs="方正黑体简体"/>
          <w:color w:val="auto"/>
          <w:kern w:val="44"/>
          <w:sz w:val="32"/>
          <w:szCs w:val="32"/>
          <w:highlight w:val="none"/>
          <w:lang w:val="en-US" w:eastAsia="zh-CN" w:bidi="ar"/>
        </w:rPr>
        <w:fldChar w:fldCharType="separate"/>
      </w:r>
      <w:r>
        <w:rPr>
          <w:rFonts w:hint="eastAsia" w:ascii="宋体" w:hAnsi="宋体" w:eastAsia="方正黑体简体" w:cs="方正黑体简体"/>
          <w:color w:val="auto"/>
          <w:kern w:val="44"/>
          <w:sz w:val="32"/>
          <w:szCs w:val="32"/>
          <w:highlight w:val="none"/>
          <w:lang w:val="en-US" w:eastAsia="zh-CN" w:bidi="ar"/>
        </w:rPr>
        <w:t>96</w:t>
      </w:r>
      <w:r>
        <w:rPr>
          <w:rFonts w:hint="eastAsia" w:ascii="宋体" w:hAnsi="宋体" w:eastAsia="方正黑体简体" w:cs="方正黑体简体"/>
          <w:color w:val="auto"/>
          <w:kern w:val="44"/>
          <w:sz w:val="32"/>
          <w:szCs w:val="32"/>
          <w:highlight w:val="none"/>
          <w:lang w:val="en-US" w:eastAsia="zh-CN" w:bidi="ar"/>
        </w:rPr>
        <w:fldChar w:fldCharType="end"/>
      </w:r>
      <w:r>
        <w:rPr>
          <w:rFonts w:hint="eastAsia" w:ascii="宋体" w:hAnsi="宋体" w:eastAsia="方正黑体简体" w:cs="方正黑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_Toc2532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铸牢中华民族共同体意识</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_Toc2532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96</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_Toc16850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全面增进民族团结进步示范成果</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_Toc16850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96</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_Toc14299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第一节　全力共建精神家园</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_Toc14299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96</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_Toc29556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第二节　建立民族团结进步示范巩固长效机制</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_Toc29556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97</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_Toc16892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第三章　提升民族地区发展水平</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_Toc16892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97</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3"/>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黑体简体" w:cs="方正黑体简体"/>
          <w:color w:val="auto"/>
          <w:w w:val="95"/>
          <w:kern w:val="44"/>
          <w:sz w:val="32"/>
          <w:szCs w:val="32"/>
          <w:highlight w:val="none"/>
          <w:lang w:val="en-US" w:eastAsia="zh-CN" w:bidi="ar"/>
        </w:rPr>
      </w:pPr>
      <w:r>
        <w:rPr>
          <w:rFonts w:hint="eastAsia" w:ascii="宋体" w:hAnsi="宋体" w:eastAsia="方正黑体简体" w:cs="方正黑体简体"/>
          <w:color w:val="auto"/>
          <w:w w:val="95"/>
          <w:kern w:val="44"/>
          <w:sz w:val="32"/>
          <w:szCs w:val="32"/>
          <w:highlight w:val="none"/>
          <w:lang w:val="en-US" w:eastAsia="zh-CN" w:bidi="ar"/>
        </w:rPr>
        <w:fldChar w:fldCharType="begin"/>
      </w:r>
      <w:r>
        <w:rPr>
          <w:rFonts w:hint="eastAsia" w:ascii="宋体" w:hAnsi="宋体" w:eastAsia="方正黑体简体" w:cs="方正黑体简体"/>
          <w:color w:val="auto"/>
          <w:w w:val="95"/>
          <w:kern w:val="44"/>
          <w:sz w:val="32"/>
          <w:szCs w:val="32"/>
          <w:highlight w:val="none"/>
          <w:lang w:val="en-US" w:eastAsia="zh-CN" w:bidi="ar"/>
        </w:rPr>
        <w:instrText xml:space="preserve"> HYPERLINK \l _Toc792 </w:instrText>
      </w:r>
      <w:r>
        <w:rPr>
          <w:rFonts w:hint="eastAsia" w:ascii="宋体" w:hAnsi="宋体" w:eastAsia="方正黑体简体" w:cs="方正黑体简体"/>
          <w:color w:val="auto"/>
          <w:w w:val="95"/>
          <w:kern w:val="44"/>
          <w:sz w:val="32"/>
          <w:szCs w:val="32"/>
          <w:highlight w:val="none"/>
          <w:lang w:val="en-US" w:eastAsia="zh-CN" w:bidi="ar"/>
        </w:rPr>
        <w:fldChar w:fldCharType="separate"/>
      </w:r>
      <w:r>
        <w:rPr>
          <w:rFonts w:hint="eastAsia" w:ascii="宋体" w:hAnsi="宋体" w:eastAsia="方正黑体简体" w:cs="方正黑体简体"/>
          <w:color w:val="auto"/>
          <w:w w:val="95"/>
          <w:kern w:val="44"/>
          <w:sz w:val="32"/>
          <w:szCs w:val="32"/>
          <w:highlight w:val="none"/>
          <w:lang w:val="en-US" w:eastAsia="zh-CN" w:bidi="ar"/>
        </w:rPr>
        <w:t>第十四篇　加强和改善党的领导 为全面完成“十四五”规划目标任务提供坚强保证</w:t>
      </w:r>
      <w:r>
        <w:rPr>
          <w:rFonts w:hint="eastAsia" w:ascii="宋体" w:hAnsi="宋体" w:eastAsia="方正黑体简体" w:cs="方正黑体简体"/>
          <w:color w:val="auto"/>
          <w:w w:val="95"/>
          <w:kern w:val="44"/>
          <w:sz w:val="32"/>
          <w:szCs w:val="32"/>
          <w:highlight w:val="none"/>
          <w:lang w:val="en-US" w:eastAsia="zh-CN" w:bidi="ar"/>
        </w:rPr>
        <w:tab/>
      </w:r>
      <w:r>
        <w:rPr>
          <w:rFonts w:hint="eastAsia" w:ascii="宋体" w:hAnsi="宋体" w:eastAsia="方正黑体简体" w:cs="方正黑体简体"/>
          <w:color w:val="auto"/>
          <w:w w:val="95"/>
          <w:kern w:val="44"/>
          <w:sz w:val="32"/>
          <w:szCs w:val="32"/>
          <w:highlight w:val="none"/>
          <w:lang w:val="en-US" w:eastAsia="zh-CN" w:bidi="ar"/>
        </w:rPr>
        <w:fldChar w:fldCharType="begin"/>
      </w:r>
      <w:r>
        <w:rPr>
          <w:rFonts w:hint="eastAsia" w:ascii="宋体" w:hAnsi="宋体" w:eastAsia="方正黑体简体" w:cs="方正黑体简体"/>
          <w:color w:val="auto"/>
          <w:w w:val="95"/>
          <w:kern w:val="44"/>
          <w:sz w:val="32"/>
          <w:szCs w:val="32"/>
          <w:highlight w:val="none"/>
          <w:lang w:val="en-US" w:eastAsia="zh-CN" w:bidi="ar"/>
        </w:rPr>
        <w:instrText xml:space="preserve"> PAGEREF _Toc792 </w:instrText>
      </w:r>
      <w:r>
        <w:rPr>
          <w:rFonts w:hint="eastAsia" w:ascii="宋体" w:hAnsi="宋体" w:eastAsia="方正黑体简体" w:cs="方正黑体简体"/>
          <w:color w:val="auto"/>
          <w:w w:val="95"/>
          <w:kern w:val="44"/>
          <w:sz w:val="32"/>
          <w:szCs w:val="32"/>
          <w:highlight w:val="none"/>
          <w:lang w:val="en-US" w:eastAsia="zh-CN" w:bidi="ar"/>
        </w:rPr>
        <w:fldChar w:fldCharType="separate"/>
      </w:r>
      <w:r>
        <w:rPr>
          <w:rFonts w:hint="eastAsia" w:ascii="宋体" w:hAnsi="宋体" w:eastAsia="方正黑体简体" w:cs="方正黑体简体"/>
          <w:color w:val="auto"/>
          <w:w w:val="95"/>
          <w:kern w:val="44"/>
          <w:sz w:val="32"/>
          <w:szCs w:val="32"/>
          <w:highlight w:val="none"/>
          <w:lang w:val="en-US" w:eastAsia="zh-CN" w:bidi="ar"/>
        </w:rPr>
        <w:t>99</w:t>
      </w:r>
      <w:r>
        <w:rPr>
          <w:rFonts w:hint="eastAsia" w:ascii="宋体" w:hAnsi="宋体" w:eastAsia="方正黑体简体" w:cs="方正黑体简体"/>
          <w:color w:val="auto"/>
          <w:w w:val="95"/>
          <w:kern w:val="44"/>
          <w:sz w:val="32"/>
          <w:szCs w:val="32"/>
          <w:highlight w:val="none"/>
          <w:lang w:val="en-US" w:eastAsia="zh-CN" w:bidi="ar"/>
        </w:rPr>
        <w:fldChar w:fldCharType="end"/>
      </w:r>
      <w:r>
        <w:rPr>
          <w:rFonts w:hint="eastAsia" w:ascii="宋体" w:hAnsi="宋体" w:eastAsia="方正黑体简体" w:cs="方正黑体简体"/>
          <w:color w:val="auto"/>
          <w:w w:val="95"/>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楷体简体" w:cs="方正楷体简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_Toc26525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第一章　全面加强党的领导</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_Toc26525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99</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auto"/>
          <w:kern w:val="44"/>
          <w:sz w:val="32"/>
          <w:szCs w:val="32"/>
          <w:highlight w:val="none"/>
          <w:lang w:val="en-US" w:eastAsia="zh-CN" w:bidi="ar"/>
        </w:rPr>
      </w:pP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HYPERLINK \l _Toc30902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第二章　健全规划落实制度保障</w:t>
      </w:r>
      <w:r>
        <w:rPr>
          <w:rFonts w:hint="eastAsia" w:ascii="宋体" w:hAnsi="宋体" w:eastAsia="方正楷体简体" w:cs="方正楷体简体"/>
          <w:color w:val="auto"/>
          <w:kern w:val="44"/>
          <w:sz w:val="32"/>
          <w:szCs w:val="32"/>
          <w:highlight w:val="none"/>
          <w:lang w:val="en-US" w:eastAsia="zh-CN" w:bidi="ar"/>
        </w:rPr>
        <w:tab/>
      </w:r>
      <w:r>
        <w:rPr>
          <w:rFonts w:hint="eastAsia" w:ascii="宋体" w:hAnsi="宋体" w:eastAsia="方正楷体简体" w:cs="方正楷体简体"/>
          <w:color w:val="auto"/>
          <w:kern w:val="44"/>
          <w:sz w:val="32"/>
          <w:szCs w:val="32"/>
          <w:highlight w:val="none"/>
          <w:lang w:val="en-US" w:eastAsia="zh-CN" w:bidi="ar"/>
        </w:rPr>
        <w:fldChar w:fldCharType="begin"/>
      </w:r>
      <w:r>
        <w:rPr>
          <w:rFonts w:hint="eastAsia" w:ascii="宋体" w:hAnsi="宋体" w:eastAsia="方正楷体简体" w:cs="方正楷体简体"/>
          <w:color w:val="auto"/>
          <w:kern w:val="44"/>
          <w:sz w:val="32"/>
          <w:szCs w:val="32"/>
          <w:highlight w:val="none"/>
          <w:lang w:val="en-US" w:eastAsia="zh-CN" w:bidi="ar"/>
        </w:rPr>
        <w:instrText xml:space="preserve"> PAGEREF _Toc30902 </w:instrText>
      </w:r>
      <w:r>
        <w:rPr>
          <w:rFonts w:hint="eastAsia" w:ascii="宋体" w:hAnsi="宋体" w:eastAsia="方正楷体简体" w:cs="方正楷体简体"/>
          <w:color w:val="auto"/>
          <w:kern w:val="44"/>
          <w:sz w:val="32"/>
          <w:szCs w:val="32"/>
          <w:highlight w:val="none"/>
          <w:lang w:val="en-US" w:eastAsia="zh-CN" w:bidi="ar"/>
        </w:rPr>
        <w:fldChar w:fldCharType="separate"/>
      </w:r>
      <w:r>
        <w:rPr>
          <w:rFonts w:hint="eastAsia" w:ascii="宋体" w:hAnsi="宋体" w:eastAsia="方正楷体简体" w:cs="方正楷体简体"/>
          <w:color w:val="auto"/>
          <w:kern w:val="44"/>
          <w:sz w:val="32"/>
          <w:szCs w:val="32"/>
          <w:highlight w:val="none"/>
          <w:lang w:val="en-US" w:eastAsia="zh-CN" w:bidi="ar"/>
        </w:rPr>
        <w:t>101</w:t>
      </w:r>
      <w:r>
        <w:rPr>
          <w:rFonts w:hint="eastAsia" w:ascii="宋体" w:hAnsi="宋体" w:eastAsia="方正楷体简体" w:cs="方正楷体简体"/>
          <w:color w:val="auto"/>
          <w:kern w:val="44"/>
          <w:sz w:val="32"/>
          <w:szCs w:val="32"/>
          <w:highlight w:val="none"/>
          <w:lang w:val="en-US" w:eastAsia="zh-CN" w:bidi="ar"/>
        </w:rPr>
        <w:fldChar w:fldCharType="end"/>
      </w:r>
      <w:r>
        <w:rPr>
          <w:rFonts w:hint="eastAsia" w:ascii="宋体" w:hAnsi="宋体" w:eastAsia="方正楷体简体" w:cs="方正楷体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_Toc9951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bCs w:val="0"/>
          <w:color w:val="auto"/>
          <w:kern w:val="44"/>
          <w:sz w:val="32"/>
          <w:szCs w:val="32"/>
          <w:highlight w:val="none"/>
          <w:lang w:val="en-US" w:eastAsia="zh-CN" w:bidi="ar"/>
        </w:rPr>
        <w:t>第一节　健全规划落实机制</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_Toc9951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101</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_Toc24498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bCs w:val="0"/>
          <w:color w:val="auto"/>
          <w:kern w:val="44"/>
          <w:sz w:val="32"/>
          <w:szCs w:val="32"/>
          <w:highlight w:val="none"/>
          <w:lang w:val="en-US" w:eastAsia="zh-CN" w:bidi="ar"/>
        </w:rPr>
        <w:t>第二节　责任落实</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_Toc24498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101</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_Toc29763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bCs w:val="0"/>
          <w:color w:val="auto"/>
          <w:kern w:val="44"/>
          <w:sz w:val="32"/>
          <w:szCs w:val="32"/>
          <w:highlight w:val="none"/>
          <w:lang w:val="en-US" w:eastAsia="zh-CN" w:bidi="ar"/>
        </w:rPr>
        <w:t>第三节　增强规划参与能力</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_Toc29763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102</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方正小标宋_GBK" w:cs="方正小标宋_GBK"/>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HYPERLINK \l _Toc7849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bCs w:val="0"/>
          <w:color w:val="auto"/>
          <w:kern w:val="44"/>
          <w:sz w:val="32"/>
          <w:szCs w:val="32"/>
          <w:highlight w:val="none"/>
          <w:lang w:val="en-US" w:eastAsia="zh-CN" w:bidi="ar"/>
        </w:rPr>
        <w:t>第四节　定期评估</w:t>
      </w:r>
      <w:r>
        <w:rPr>
          <w:rFonts w:hint="eastAsia" w:ascii="宋体" w:hAnsi="宋体" w:eastAsia="方正仿宋简体" w:cs="方正仿宋简体"/>
          <w:color w:val="auto"/>
          <w:kern w:val="44"/>
          <w:sz w:val="32"/>
          <w:szCs w:val="32"/>
          <w:highlight w:val="none"/>
          <w:lang w:val="en-US" w:eastAsia="zh-CN" w:bidi="ar"/>
        </w:rPr>
        <w:tab/>
      </w:r>
      <w:r>
        <w:rPr>
          <w:rFonts w:hint="eastAsia" w:ascii="宋体" w:hAnsi="宋体" w:eastAsia="方正仿宋简体" w:cs="方正仿宋简体"/>
          <w:color w:val="auto"/>
          <w:kern w:val="44"/>
          <w:sz w:val="32"/>
          <w:szCs w:val="32"/>
          <w:highlight w:val="none"/>
          <w:lang w:val="en-US" w:eastAsia="zh-CN" w:bidi="ar"/>
        </w:rPr>
        <w:fldChar w:fldCharType="begin"/>
      </w:r>
      <w:r>
        <w:rPr>
          <w:rFonts w:hint="eastAsia" w:ascii="宋体" w:hAnsi="宋体" w:eastAsia="方正仿宋简体" w:cs="方正仿宋简体"/>
          <w:color w:val="auto"/>
          <w:kern w:val="44"/>
          <w:sz w:val="32"/>
          <w:szCs w:val="32"/>
          <w:highlight w:val="none"/>
          <w:lang w:val="en-US" w:eastAsia="zh-CN" w:bidi="ar"/>
        </w:rPr>
        <w:instrText xml:space="preserve"> PAGEREF _Toc7849 </w:instrText>
      </w:r>
      <w:r>
        <w:rPr>
          <w:rFonts w:hint="eastAsia" w:ascii="宋体" w:hAnsi="宋体" w:eastAsia="方正仿宋简体" w:cs="方正仿宋简体"/>
          <w:color w:val="auto"/>
          <w:kern w:val="44"/>
          <w:sz w:val="32"/>
          <w:szCs w:val="32"/>
          <w:highlight w:val="none"/>
          <w:lang w:val="en-US" w:eastAsia="zh-CN" w:bidi="ar"/>
        </w:rPr>
        <w:fldChar w:fldCharType="separate"/>
      </w:r>
      <w:r>
        <w:rPr>
          <w:rFonts w:hint="eastAsia" w:ascii="宋体" w:hAnsi="宋体" w:eastAsia="方正仿宋简体" w:cs="方正仿宋简体"/>
          <w:color w:val="auto"/>
          <w:kern w:val="44"/>
          <w:sz w:val="32"/>
          <w:szCs w:val="32"/>
          <w:highlight w:val="none"/>
          <w:lang w:val="en-US" w:eastAsia="zh-CN" w:bidi="ar"/>
        </w:rPr>
        <w:t>102</w:t>
      </w:r>
      <w:r>
        <w:rPr>
          <w:rFonts w:hint="eastAsia" w:ascii="宋体" w:hAnsi="宋体" w:eastAsia="方正仿宋简体" w:cs="方正仿宋简体"/>
          <w:color w:val="auto"/>
          <w:kern w:val="44"/>
          <w:sz w:val="32"/>
          <w:szCs w:val="32"/>
          <w:highlight w:val="none"/>
          <w:lang w:val="en-US" w:eastAsia="zh-CN" w:bidi="ar"/>
        </w:rPr>
        <w:fldChar w:fldCharType="end"/>
      </w:r>
      <w:r>
        <w:rPr>
          <w:rFonts w:hint="eastAsia" w:ascii="宋体" w:hAnsi="宋体" w:eastAsia="方正仿宋简体" w:cs="方正仿宋简体"/>
          <w:color w:val="auto"/>
          <w:kern w:val="44"/>
          <w:sz w:val="32"/>
          <w:szCs w:val="32"/>
          <w:highlight w:val="none"/>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hAnsi="宋体" w:eastAsia="方正小标宋_GBK" w:cs="方正小标宋_GBK"/>
          <w:color w:val="auto"/>
          <w:kern w:val="44"/>
          <w:sz w:val="32"/>
          <w:szCs w:val="32"/>
          <w:highlight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textAlignment w:val="auto"/>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方正仿宋简体" w:cs="方正仿宋简体"/>
          <w:color w:val="auto"/>
          <w:kern w:val="44"/>
          <w:sz w:val="32"/>
          <w:szCs w:val="32"/>
          <w:highlight w:val="none"/>
          <w:lang w:val="en-US" w:eastAsia="zh-CN" w:bidi="ar"/>
        </w:rPr>
        <w:t>附件：</w:t>
      </w:r>
      <w:r>
        <w:rPr>
          <w:rFonts w:hint="eastAsia" w:ascii="宋体" w:hAnsi="宋体" w:eastAsiaTheme="minorEastAsia" w:cstheme="minorEastAsia"/>
          <w:color w:val="auto"/>
          <w:kern w:val="44"/>
          <w:sz w:val="32"/>
          <w:szCs w:val="32"/>
          <w:highlight w:val="none"/>
          <w:lang w:val="en-US" w:eastAsia="zh-CN" w:bidi="ar"/>
        </w:rPr>
        <w:t>1.</w:t>
      </w:r>
      <w:r>
        <w:rPr>
          <w:rFonts w:hint="eastAsia" w:ascii="宋体" w:hAnsi="宋体" w:eastAsia="方正仿宋简体" w:cs="方正仿宋简体"/>
          <w:color w:val="auto"/>
          <w:kern w:val="44"/>
          <w:sz w:val="32"/>
          <w:szCs w:val="32"/>
          <w:highlight w:val="none"/>
          <w:lang w:val="en-US" w:eastAsia="zh-CN" w:bidi="ar"/>
        </w:rPr>
        <w:t>西畴县“十四五”规划纲要部分名词解释</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0" w:leftChars="0" w:firstLine="1600" w:firstLineChars="500"/>
        <w:textAlignment w:val="auto"/>
        <w:rPr>
          <w:rFonts w:hint="eastAsia" w:ascii="宋体" w:hAnsi="宋体" w:eastAsia="方正仿宋简体" w:cs="方正仿宋简体"/>
          <w:color w:val="auto"/>
          <w:kern w:val="44"/>
          <w:sz w:val="32"/>
          <w:szCs w:val="32"/>
          <w:highlight w:val="none"/>
          <w:lang w:val="en-US" w:eastAsia="zh-CN" w:bidi="ar"/>
        </w:rPr>
      </w:pPr>
      <w:r>
        <w:rPr>
          <w:rFonts w:hint="eastAsia" w:ascii="宋体" w:hAnsi="宋体" w:eastAsiaTheme="minorEastAsia" w:cstheme="minorEastAsia"/>
          <w:color w:val="auto"/>
          <w:kern w:val="44"/>
          <w:sz w:val="32"/>
          <w:szCs w:val="32"/>
          <w:highlight w:val="none"/>
          <w:lang w:val="en-US" w:eastAsia="zh-CN" w:bidi="ar"/>
        </w:rPr>
        <w:t>2.</w:t>
      </w:r>
      <w:r>
        <w:rPr>
          <w:rFonts w:hint="eastAsia" w:ascii="宋体" w:hAnsi="宋体" w:eastAsia="方正仿宋简体" w:cs="方正仿宋简体"/>
          <w:color w:val="auto"/>
          <w:kern w:val="44"/>
          <w:sz w:val="32"/>
          <w:szCs w:val="32"/>
          <w:highlight w:val="none"/>
          <w:lang w:val="en-US" w:eastAsia="zh-CN" w:bidi="ar"/>
        </w:rPr>
        <w:t>西畴县“十四五”规划项目储备清单</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1600" w:firstLineChars="500"/>
        <w:textAlignment w:val="auto"/>
        <w:rPr>
          <w:rFonts w:hint="eastAsia" w:ascii="宋体" w:hAnsi="宋体" w:eastAsia="方正仿宋简体" w:cs="方正仿宋简体"/>
          <w:sz w:val="32"/>
          <w:szCs w:val="32"/>
          <w:lang w:val="en-US" w:eastAsia="zh-CN"/>
        </w:rPr>
        <w:sectPr>
          <w:footerReference r:id="rId4" w:type="default"/>
          <w:pgSz w:w="11906" w:h="16838"/>
          <w:pgMar w:top="2098" w:right="1474" w:bottom="1417" w:left="1587" w:header="851" w:footer="1191" w:gutter="0"/>
          <w:pgNumType w:fmt="decimal" w:start="1"/>
          <w:cols w:space="0" w:num="1"/>
          <w:rtlGutter w:val="0"/>
          <w:docGrid w:type="lines" w:linePitch="317" w:charSpace="0"/>
        </w:sect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宋体" w:hAnsi="宋体" w:eastAsia="方正小标宋_GBK" w:cs="方正小标宋_GBK"/>
          <w:b w:val="0"/>
          <w:bCs/>
          <w:color w:val="auto"/>
          <w:sz w:val="44"/>
          <w:szCs w:val="44"/>
          <w:highlight w:val="none"/>
          <w:lang w:eastAsia="zh-CN"/>
        </w:rPr>
      </w:pPr>
      <w:bookmarkStart w:id="7" w:name="_Toc31738"/>
      <w:r>
        <w:rPr>
          <w:rFonts w:hint="eastAsia" w:ascii="宋体" w:hAnsi="宋体" w:eastAsia="方正小标宋_GBK" w:cs="方正小标宋_GBK"/>
          <w:b w:val="0"/>
          <w:bCs/>
          <w:color w:val="auto"/>
          <w:sz w:val="44"/>
          <w:szCs w:val="44"/>
          <w:highlight w:val="none"/>
          <w:lang w:eastAsia="zh-CN"/>
        </w:rPr>
        <w:t>第一篇</w:t>
      </w:r>
      <w:r>
        <w:rPr>
          <w:rFonts w:hint="eastAsia" w:ascii="宋体" w:hAnsi="宋体" w:eastAsia="方正小标宋_GBK" w:cs="方正小标宋_GBK"/>
          <w:b w:val="0"/>
          <w:bCs/>
          <w:color w:val="auto"/>
          <w:sz w:val="44"/>
          <w:szCs w:val="44"/>
          <w:highlight w:val="none"/>
          <w:lang w:val="en-US" w:eastAsia="zh-CN"/>
        </w:rPr>
        <w:t xml:space="preserve">  </w:t>
      </w:r>
      <w:r>
        <w:rPr>
          <w:rFonts w:hint="eastAsia" w:ascii="宋体" w:hAnsi="宋体" w:eastAsia="方正小标宋_GBK" w:cs="方正小标宋_GBK"/>
          <w:b w:val="0"/>
          <w:bCs/>
          <w:color w:val="auto"/>
          <w:sz w:val="44"/>
          <w:szCs w:val="44"/>
          <w:highlight w:val="none"/>
          <w:lang w:eastAsia="zh-CN"/>
        </w:rPr>
        <w:t>科学总结成绩</w:t>
      </w:r>
      <w:r>
        <w:rPr>
          <w:rFonts w:hint="eastAsia" w:ascii="宋体" w:hAnsi="宋体" w:eastAsia="方正小标宋_GBK" w:cs="方正小标宋_GBK"/>
          <w:b w:val="0"/>
          <w:bCs/>
          <w:color w:val="auto"/>
          <w:sz w:val="44"/>
          <w:szCs w:val="44"/>
          <w:highlight w:val="none"/>
          <w:lang w:val="en-US" w:eastAsia="zh-CN"/>
        </w:rPr>
        <w:t xml:space="preserve"> </w:t>
      </w:r>
      <w:r>
        <w:rPr>
          <w:rFonts w:hint="eastAsia" w:ascii="宋体" w:hAnsi="宋体" w:eastAsia="方正小标宋_GBK" w:cs="方正小标宋_GBK"/>
          <w:b w:val="0"/>
          <w:bCs/>
          <w:color w:val="auto"/>
          <w:sz w:val="44"/>
          <w:szCs w:val="44"/>
          <w:highlight w:val="none"/>
          <w:lang w:eastAsia="zh-CN"/>
        </w:rPr>
        <w:t>正确分析形势</w:t>
      </w:r>
      <w:r>
        <w:rPr>
          <w:rFonts w:hint="eastAsia" w:ascii="宋体" w:hAnsi="宋体" w:eastAsia="方正小标宋_GBK" w:cs="方正小标宋_GBK"/>
          <w:b w:val="0"/>
          <w:bCs/>
          <w:color w:val="auto"/>
          <w:sz w:val="44"/>
          <w:szCs w:val="44"/>
          <w:highlight w:val="none"/>
          <w:lang w:val="en-US" w:eastAsia="zh-CN"/>
        </w:rPr>
        <w:t xml:space="preserve"> </w:t>
      </w:r>
      <w:r>
        <w:rPr>
          <w:rFonts w:hint="eastAsia" w:ascii="宋体" w:hAnsi="宋体" w:eastAsia="方正小标宋_GBK" w:cs="方正小标宋_GBK"/>
          <w:b w:val="0"/>
          <w:bCs/>
          <w:color w:val="auto"/>
          <w:sz w:val="44"/>
          <w:szCs w:val="44"/>
          <w:highlight w:val="none"/>
          <w:lang w:eastAsia="zh-CN"/>
        </w:rPr>
        <w:t>奋力开启</w:t>
      </w:r>
      <w:bookmarkEnd w:id="7"/>
      <w:r>
        <w:rPr>
          <w:rFonts w:hint="eastAsia" w:eastAsia="方正小标宋_GBK" w:cs="方正小标宋_GBK"/>
          <w:b w:val="0"/>
          <w:bCs/>
          <w:color w:val="auto"/>
          <w:sz w:val="44"/>
          <w:szCs w:val="44"/>
          <w:highlight w:val="none"/>
          <w:lang w:eastAsia="zh-CN"/>
        </w:rPr>
        <w:t>全面建设社会主义现代化国家新征程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宋体" w:hAnsi="宋体"/>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方正仿宋_GBK" w:cs="方正仿宋简体"/>
          <w:color w:val="auto"/>
          <w:sz w:val="32"/>
          <w:szCs w:val="32"/>
          <w:highlight w:val="none"/>
          <w:lang w:eastAsia="zh-CN"/>
        </w:rPr>
      </w:pPr>
      <w:r>
        <w:rPr>
          <w:rFonts w:hint="eastAsia" w:ascii="宋体" w:hAnsi="宋体" w:eastAsia="方正小标宋_GBK" w:cs="方正小标宋_GBK"/>
          <w:color w:val="auto"/>
          <w:kern w:val="44"/>
          <w:sz w:val="32"/>
          <w:szCs w:val="32"/>
          <w:highlight w:val="none"/>
          <w:lang w:val="en-US" w:eastAsia="zh-CN" w:bidi="ar"/>
        </w:rPr>
        <w:fldChar w:fldCharType="end"/>
      </w:r>
      <w:bookmarkEnd w:id="0"/>
      <w:bookmarkEnd w:id="1"/>
      <w:bookmarkEnd w:id="2"/>
      <w:bookmarkEnd w:id="3"/>
      <w:bookmarkEnd w:id="4"/>
      <w:bookmarkEnd w:id="5"/>
      <w:bookmarkEnd w:id="6"/>
      <w:r>
        <w:rPr>
          <w:rFonts w:hint="eastAsia" w:ascii="宋体" w:hAnsi="宋体" w:eastAsia="方正仿宋_GBK" w:cs="方正仿宋简体"/>
          <w:b w:val="0"/>
          <w:bCs/>
          <w:color w:val="auto"/>
          <w:sz w:val="32"/>
          <w:szCs w:val="32"/>
          <w:highlight w:val="none"/>
          <w:lang w:eastAsia="zh-CN"/>
        </w:rPr>
        <w:t>“十四五”是</w:t>
      </w:r>
      <w:r>
        <w:rPr>
          <w:rFonts w:hint="eastAsia" w:ascii="宋体" w:hAnsi="宋体" w:eastAsia="方正仿宋_GBK" w:cs="方正仿宋简体"/>
          <w:b w:val="0"/>
          <w:bCs/>
          <w:color w:val="auto"/>
          <w:sz w:val="32"/>
          <w:szCs w:val="32"/>
          <w:highlight w:val="none"/>
        </w:rPr>
        <w:t>开启全面建设社会主义现代化国家新征程</w:t>
      </w:r>
      <w:r>
        <w:rPr>
          <w:rFonts w:hint="eastAsia" w:ascii="宋体" w:hAnsi="宋体" w:eastAsia="方正仿宋_GBK" w:cs="方正仿宋简体"/>
          <w:b w:val="0"/>
          <w:bCs/>
          <w:color w:val="auto"/>
          <w:sz w:val="32"/>
          <w:szCs w:val="32"/>
          <w:highlight w:val="none"/>
          <w:lang w:eastAsia="zh-CN"/>
        </w:rPr>
        <w:t>的第一个五年规划，必须</w:t>
      </w:r>
      <w:r>
        <w:rPr>
          <w:rFonts w:hint="eastAsia" w:ascii="宋体" w:hAnsi="宋体" w:eastAsia="方正仿宋_GBK" w:cs="方正仿宋简体"/>
          <w:b w:val="0"/>
          <w:bCs/>
          <w:color w:val="auto"/>
          <w:sz w:val="32"/>
          <w:szCs w:val="32"/>
          <w:highlight w:val="none"/>
        </w:rPr>
        <w:t>立足新发展阶段，贯彻新发展理念，构建新发展格局，以推动高质量发展为主题，以深化供给侧结构性改革为主线，以改革创新为根本动力</w:t>
      </w:r>
      <w:r>
        <w:rPr>
          <w:rFonts w:hint="eastAsia" w:ascii="宋体" w:hAnsi="宋体" w:eastAsia="方正仿宋_GBK" w:cs="方正仿宋简体"/>
          <w:b w:val="0"/>
          <w:bCs/>
          <w:color w:val="auto"/>
          <w:sz w:val="32"/>
          <w:szCs w:val="32"/>
          <w:highlight w:val="none"/>
          <w:lang w:eastAsia="zh-CN"/>
        </w:rPr>
        <w:t>，采取强举措、抓重点、补短板、强弱项，加快推进发展速度、质量、效率和水平提升，全面提高人民群众生活水平，全面增强人民群众获得感、幸福感、安全感。</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outlineLvl w:val="1"/>
        <w:rPr>
          <w:rFonts w:hint="eastAsia" w:ascii="宋体" w:hAnsi="宋体" w:eastAsia="方正仿宋_GBK" w:cs="方正小标宋_GBK"/>
          <w:b w:val="0"/>
          <w:bCs/>
          <w:color w:val="auto"/>
          <w:sz w:val="32"/>
          <w:szCs w:val="32"/>
          <w:highlight w:val="none"/>
          <w:lang w:eastAsia="zh-CN"/>
        </w:rPr>
      </w:pPr>
      <w:bookmarkStart w:id="8" w:name="_Toc31290"/>
      <w:bookmarkStart w:id="9" w:name="_Toc12952_WPSOffice_Level2"/>
      <w:bookmarkStart w:id="10" w:name="_Toc4085_WPSOffice_Level2"/>
      <w:bookmarkStart w:id="11" w:name="_Toc7670"/>
      <w:bookmarkStart w:id="12" w:name="_Toc13911_WPSOffice_Level2"/>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jc w:val="center"/>
        <w:textAlignment w:val="auto"/>
        <w:outlineLvl w:val="1"/>
        <w:rPr>
          <w:rFonts w:hint="eastAsia" w:ascii="宋体" w:hAnsi="宋体" w:eastAsia="方正黑体_GBK" w:cs="方正黑体_GBK"/>
          <w:b w:val="0"/>
          <w:bCs/>
          <w:color w:val="auto"/>
          <w:sz w:val="32"/>
          <w:szCs w:val="32"/>
          <w:highlight w:val="none"/>
          <w:lang w:eastAsia="zh-CN"/>
        </w:rPr>
      </w:pPr>
      <w:r>
        <w:rPr>
          <w:rFonts w:hint="eastAsia" w:ascii="宋体" w:hAnsi="宋体" w:eastAsia="方正黑体_GBK" w:cs="方正黑体_GBK"/>
          <w:b w:val="0"/>
          <w:bCs/>
          <w:color w:val="auto"/>
          <w:sz w:val="32"/>
          <w:szCs w:val="32"/>
          <w:highlight w:val="none"/>
          <w:lang w:eastAsia="zh-CN"/>
        </w:rPr>
        <w:t>第一章　发展环境</w:t>
      </w:r>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left"/>
        <w:textAlignment w:val="auto"/>
        <w:outlineLvl w:val="9"/>
        <w:rPr>
          <w:rFonts w:hint="eastAsia" w:ascii="宋体" w:hAnsi="宋体" w:eastAsia="方正仿宋_GBK" w:cs="楷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十三五”时期是西畴发展取得决定性成就的五年。在以习近平同志为核心的党中央坚强领导下，认真贯彻中央、省州决策部署，坚决战胜特殊困难和严峻挑战，团结带领全县各族人民大力弘扬“西畴精神”，不忘初心、牢记使命，真抓实干、创新推动，全面从严治党成效显著，政治生态持续向好，经济社会发展取得决定性成就，是群众得到实惠最多的时期之一。</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综合实力快速提升。</w:t>
      </w:r>
      <w:r>
        <w:rPr>
          <w:rFonts w:hint="eastAsia" w:ascii="宋体" w:hAnsi="宋体" w:eastAsia="方正仿宋_GBK" w:cs="方正仿宋简体"/>
          <w:b w:val="0"/>
          <w:color w:val="auto"/>
          <w:kern w:val="2"/>
          <w:sz w:val="32"/>
          <w:szCs w:val="32"/>
          <w:highlight w:val="none"/>
          <w:lang w:val="en-US" w:eastAsia="zh-CN" w:bidi="ar-SA"/>
        </w:rPr>
        <w:t>地区生产总值从2015年的30.62亿元增长到2020年的56.35亿元，增加25.73亿元，占规划目标任务60亿元的93.92%，年均增长9.0%。人均生产总值从2015年的13166元提高到2020年的27256元，增加14090元，年均增长11.6%；三次产业结构由2015年的28.7:22.2:49.1优化为2020年的27.8:24.8:47.4。固定资产投资年均增长24.7%。地方公共财政一般预算收入从2015年的1.61亿元增长到2020年的2.48亿元，增加0.87亿元，年均增长9.0%。城乡常住居民人均可支配收入分别从2015年的21341元、7210元提高到2020年的30758元、11495元，年均分别增长7.6%、9.8%。2020年居民消费价格指数上涨4.2%。</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sz w:val="32"/>
          <w:szCs w:val="32"/>
          <w:highlight w:val="none"/>
          <w:lang w:eastAsia="zh-CN"/>
        </w:rPr>
        <w:t>　　</w:t>
      </w:r>
      <w:r>
        <w:rPr>
          <w:rFonts w:hint="eastAsia" w:ascii="宋体" w:hAnsi="宋体" w:eastAsia="方正仿宋_GBK" w:cs="方正仿宋简体"/>
          <w:b/>
          <w:bCs/>
          <w:color w:val="auto"/>
          <w:kern w:val="2"/>
          <w:sz w:val="32"/>
          <w:szCs w:val="32"/>
          <w:highlight w:val="none"/>
          <w:lang w:val="en-US" w:eastAsia="zh-CN" w:bidi="ar-SA"/>
        </w:rPr>
        <w:t>“西畴精神”实现新的里程碑。</w:t>
      </w:r>
      <w:r>
        <w:rPr>
          <w:rFonts w:hint="eastAsia" w:ascii="宋体" w:hAnsi="宋体" w:eastAsia="方正仿宋_GBK" w:cs="方正仿宋简体"/>
          <w:b w:val="0"/>
          <w:color w:val="auto"/>
          <w:kern w:val="2"/>
          <w:sz w:val="32"/>
          <w:szCs w:val="32"/>
          <w:highlight w:val="none"/>
          <w:lang w:val="en-US" w:eastAsia="zh-CN" w:bidi="ar-SA"/>
        </w:rPr>
        <w:t>从“等不是办法，干才有希望”到“不等不靠不懈怠，苦干实干加油干”，“西畴精神”不断赋予了新的时代使命，总结提炼出“六子登科”“五法治水”“四轮驱动”“5分钱工程”“幸福超市”“十有十强”等系列创新模式，《人民日报》先后四次刊登了关于“西畴精神”的宣传报道，在各级党委的高度重视和推动下，“西畴精神”在州内、省脱贫攻坚重点地区、省级机关和部分高校，以及上海、四川等地巡回宣讲，刘超仁、李华明、任富堂等一批典型代表分别获得国家表彰。2020年8月中共云南省委下发了《关于学习弘扬新时代“西畴精神”的决定》，要求在全省组织开展新时代“西畴精神”学习活动，云南省委宣传部授予</w:t>
      </w:r>
      <w:r>
        <w:rPr>
          <w:rFonts w:hint="default" w:ascii="宋体" w:hAnsi="宋体" w:eastAsia="方正仿宋_GBK" w:cs="方正仿宋简体"/>
          <w:b w:val="0"/>
          <w:color w:val="auto"/>
          <w:kern w:val="2"/>
          <w:sz w:val="32"/>
          <w:szCs w:val="32"/>
          <w:highlight w:val="none"/>
          <w:lang w:val="en-US" w:eastAsia="zh-CN" w:bidi="ar-SA"/>
        </w:rPr>
        <w:t>“西畴精神”群体“云岭楷模”称号</w:t>
      </w:r>
      <w:r>
        <w:rPr>
          <w:rFonts w:hint="eastAsia" w:ascii="宋体" w:hAnsi="宋体" w:eastAsia="方正仿宋_GBK" w:cs="方正仿宋简体"/>
          <w:b w:val="0"/>
          <w:color w:val="auto"/>
          <w:kern w:val="2"/>
          <w:sz w:val="32"/>
          <w:szCs w:val="32"/>
          <w:highlight w:val="none"/>
          <w:lang w:val="en-US" w:eastAsia="zh-CN" w:bidi="ar-SA"/>
        </w:rPr>
        <w:t>，同时“西畴精神”得到国务院扶贫开发领导的高度认可，中央政治局常委、全国政协主席汪洋同志作出“沧桑巨变是干出来的！要注意宣传好”的重要批示，“西畴精神”主题电影《石漠花开》获批开拍，“西畴精神”响彻云岭大地，成为云南脱贫攻坚精神的集中代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宋体" w:hAnsi="宋体" w:eastAsia="方正仿宋_GBK" w:cs="方正仿宋_GBK"/>
          <w:b w:val="0"/>
          <w:bCs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基础设施建设实现重大突破。</w:t>
      </w:r>
      <w:r>
        <w:rPr>
          <w:rFonts w:hint="eastAsia" w:ascii="宋体" w:hAnsi="宋体" w:eastAsia="方正仿宋_GBK" w:cs="方正仿宋_GBK"/>
          <w:b/>
          <w:bCs/>
          <w:color w:val="auto"/>
          <w:sz w:val="32"/>
          <w:szCs w:val="32"/>
          <w:highlight w:val="none"/>
          <w:lang w:val="en-US" w:eastAsia="zh-CN"/>
        </w:rPr>
        <w:t>道路建设方面：</w:t>
      </w:r>
      <w:r>
        <w:rPr>
          <w:rFonts w:hint="eastAsia" w:ascii="宋体" w:hAnsi="宋体" w:eastAsia="方正仿宋_GBK" w:cs="方正仿宋简体"/>
          <w:b w:val="0"/>
          <w:color w:val="auto"/>
          <w:kern w:val="2"/>
          <w:sz w:val="32"/>
          <w:szCs w:val="32"/>
          <w:highlight w:val="none"/>
          <w:lang w:val="en-US" w:eastAsia="zh-CN" w:bidi="ar-SA"/>
        </w:rPr>
        <w:t>天文高速公路（西畴段）、兴街至那洒高速顺利开工建设。采取PPP建设合作模式，推进472条（段）1134.5公里景区公路、自然村公路、乡公路村公路提档升级，村委会、村民小组通硬化路率达99.9％。建成生命安全防护工程582.3公里，产业道路105条(段)65公里。县城新客运站投入使用。</w:t>
      </w:r>
      <w:r>
        <w:rPr>
          <w:rFonts w:hint="eastAsia" w:ascii="宋体" w:hAnsi="宋体" w:eastAsia="方正仿宋_GBK" w:cs="方正仿宋_GBK"/>
          <w:b/>
          <w:bCs/>
          <w:color w:val="auto"/>
          <w:sz w:val="32"/>
          <w:szCs w:val="32"/>
          <w:highlight w:val="none"/>
          <w:lang w:val="en-US" w:eastAsia="zh-CN"/>
        </w:rPr>
        <w:t>水利设施方面。</w:t>
      </w:r>
      <w:r>
        <w:rPr>
          <w:rFonts w:hint="eastAsia" w:ascii="宋体" w:hAnsi="宋体" w:eastAsia="方正仿宋_GBK" w:cs="方正仿宋简体"/>
          <w:b w:val="0"/>
          <w:color w:val="auto"/>
          <w:kern w:val="2"/>
          <w:sz w:val="32"/>
          <w:szCs w:val="32"/>
          <w:highlight w:val="none"/>
          <w:lang w:val="en-US" w:eastAsia="zh-CN" w:bidi="ar-SA"/>
        </w:rPr>
        <w:t>建成高标准和高效节水灌溉农田5000余亩，完成大湾、三明、土锅洞、南昌、新发寨水库等小（一）、小（二）型水库建设，建设水系连通工程100公里，新建沟渠150公里，实施盘龙河（嘎机段）、畴阳河、鸡街河等河道治理6条（段）16公里，“五小水利”工程3169件。完成荒田水库至县城应急供水工程，供水管网改造1334.6公里。</w:t>
      </w:r>
      <w:r>
        <w:rPr>
          <w:rFonts w:hint="eastAsia" w:ascii="宋体" w:hAnsi="宋体" w:eastAsia="方正仿宋_GBK" w:cs="方正仿宋_GBK"/>
          <w:b/>
          <w:bCs/>
          <w:color w:val="auto"/>
          <w:sz w:val="32"/>
          <w:szCs w:val="32"/>
          <w:highlight w:val="none"/>
          <w:lang w:eastAsia="zh-CN"/>
        </w:rPr>
        <w:t>市政建设方面。</w:t>
      </w:r>
      <w:r>
        <w:rPr>
          <w:rFonts w:hint="eastAsia" w:ascii="宋体" w:hAnsi="宋体" w:eastAsia="方正仿宋_GBK" w:cs="方正仿宋简体"/>
          <w:b w:val="0"/>
          <w:color w:val="auto"/>
          <w:kern w:val="2"/>
          <w:sz w:val="32"/>
          <w:szCs w:val="32"/>
          <w:highlight w:val="none"/>
          <w:lang w:val="en-US" w:eastAsia="zh-CN" w:bidi="ar-SA"/>
        </w:rPr>
        <w:t>新改扩建市政道路45万平方米，供排水管网148.38公里，绿化美化面积4.23万平方米，安装路灯1250盏，新增住房（商品房）91万平方米，拆除棚户区1865户23.53万平方米，新增城镇公园（广场）6个3.5万平方米，新增车位2600个，老旧小区改造22个片区，供气管网21公里，新增公厕45座，新增经营性铺面1.6万平方米。建成星级酒店1个，新增城镇面积3.5平方公里，常住人口城镇化率35.6%，常住户籍人口城镇化率18.8%。</w:t>
      </w:r>
      <w:r>
        <w:rPr>
          <w:rFonts w:hint="eastAsia" w:ascii="宋体" w:hAnsi="宋体" w:eastAsia="方正仿宋_GBK" w:cs="方正仿宋_GBK"/>
          <w:b/>
          <w:bCs/>
          <w:color w:val="auto"/>
          <w:kern w:val="0"/>
          <w:sz w:val="32"/>
          <w:szCs w:val="32"/>
          <w:highlight w:val="none"/>
        </w:rPr>
        <w:t>能源电力通信方面</w:t>
      </w:r>
      <w:r>
        <w:rPr>
          <w:rFonts w:hint="eastAsia" w:ascii="宋体" w:hAnsi="宋体" w:eastAsia="方正仿宋_GBK" w:cs="方正仿宋_GBK"/>
          <w:b/>
          <w:bCs/>
          <w:color w:val="auto"/>
          <w:sz w:val="32"/>
          <w:szCs w:val="32"/>
          <w:highlight w:val="none"/>
          <w:lang w:val="en-US" w:eastAsia="zh-CN"/>
        </w:rPr>
        <w:t>。</w:t>
      </w:r>
      <w:r>
        <w:rPr>
          <w:rFonts w:hint="eastAsia" w:ascii="宋体" w:hAnsi="宋体" w:eastAsia="方正仿宋_GBK" w:cs="方正仿宋简体"/>
          <w:b w:val="0"/>
          <w:color w:val="auto"/>
          <w:kern w:val="2"/>
          <w:sz w:val="32"/>
          <w:szCs w:val="32"/>
          <w:highlight w:val="none"/>
          <w:lang w:val="en-US" w:eastAsia="zh-CN" w:bidi="ar-SA"/>
        </w:rPr>
        <w:t>建成县城、兴街供气管网，LPG液化气逐步实现供气。新建和改造10千伏以下线路8公里，实施农村电网改造升级工程16个，实现全县自然村通10千伏动力电，城乡综合供电可靠率达99%以上，建成通讯光缆线路180公里、4G基站505座，5G基站23座，新增宽带用户4500户，行政村光纤宽带实现全覆盖，自然村4G网络信号实现全覆盖，自然村光纤综合覆盖率达80%。</w:t>
      </w:r>
      <w:r>
        <w:rPr>
          <w:rFonts w:hint="eastAsia" w:ascii="宋体" w:hAnsi="宋体" w:eastAsia="方正仿宋_GBK" w:cs="方正仿宋_GBK"/>
          <w:b/>
          <w:bCs/>
          <w:color w:val="auto"/>
          <w:kern w:val="2"/>
          <w:sz w:val="32"/>
          <w:szCs w:val="32"/>
          <w:highlight w:val="none"/>
          <w:lang w:val="en-US" w:eastAsia="zh-CN" w:bidi="ar-SA"/>
        </w:rPr>
        <w:t>工业园区。</w:t>
      </w:r>
      <w:r>
        <w:rPr>
          <w:rFonts w:hint="eastAsia" w:ascii="宋体" w:hAnsi="宋体" w:eastAsia="方正仿宋_GBK" w:cs="方正仿宋简体"/>
          <w:b w:val="0"/>
          <w:color w:val="auto"/>
          <w:kern w:val="2"/>
          <w:sz w:val="32"/>
          <w:szCs w:val="32"/>
          <w:highlight w:val="none"/>
          <w:lang w:val="en-US" w:eastAsia="zh-CN" w:bidi="ar-SA"/>
        </w:rPr>
        <w:t>建成园区工业用房31825平方米，建成园区道路70536平方米，引入企业23个。</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脱贫攻坚取得历史性成就。</w:t>
      </w:r>
      <w:r>
        <w:rPr>
          <w:rFonts w:hint="eastAsia" w:ascii="宋体" w:hAnsi="宋体" w:eastAsia="方正仿宋_GBK" w:cs="方正仿宋简体"/>
          <w:b w:val="0"/>
          <w:color w:val="auto"/>
          <w:kern w:val="2"/>
          <w:sz w:val="32"/>
          <w:szCs w:val="32"/>
          <w:highlight w:val="none"/>
          <w:lang w:val="en-US" w:eastAsia="zh-CN" w:bidi="ar-SA"/>
        </w:rPr>
        <w:t>制定脱贫路径措施10条，巩固脱贫措施18条，开发乡村公共服务岗位2753个，建成农村扶贫车间70个，幸福超市85个，新增村组活动室1690个，完成农村危房改造19174户，入户路建设1.5万平方米，庭院建设10200户，圈舍改造11000户，卫生厕所改造16000户，实施教育补助1950人次，实施医疗补助2036人次，“5分钱工程”覆盖98％村民小组，新建成西洒幸福新村、兴街新兴社区、鸡街欣欣新村、新马街坪坝新村4个易地扶贫搬迁集中安置点，共实施易地扶贫搬迁931户3727人，其中建档立卡贫困人口907户3630人，村集体经济达50万元以上5个、10万元以上10个，脱贫攻坚顺利通过省第三方检查评估、国家第三方抽查、国扶办督导及国家普查，全县于2018年顺利在全州第一批脱贫摘帽，实现3个贫困乡（镇）62个贫困村全部脱贫出列，贫困人口9929户37303人脱贫退出，2019年县委荣获“全省脱贫攻坚先进集体”，困扰西畴千百年来的绝对贫困问题历史性地得到解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宋体" w:hAnsi="宋体" w:eastAsia="方正仿宋_GBK" w:cs="方正仿宋_GBK"/>
          <w:color w:val="auto"/>
          <w:kern w:val="0"/>
          <w:sz w:val="32"/>
          <w:szCs w:val="32"/>
          <w:highlight w:val="none"/>
        </w:rPr>
      </w:pPr>
      <w:r>
        <w:rPr>
          <w:rFonts w:hint="eastAsia" w:ascii="宋体" w:hAnsi="宋体" w:eastAsia="方正仿宋_GBK" w:cs="方正仿宋简体"/>
          <w:b/>
          <w:bCs/>
          <w:color w:val="auto"/>
          <w:kern w:val="2"/>
          <w:sz w:val="32"/>
          <w:szCs w:val="32"/>
          <w:highlight w:val="none"/>
          <w:lang w:val="en-US" w:eastAsia="zh-CN" w:bidi="ar-SA"/>
        </w:rPr>
        <w:t>生态文明建设取得新进展。</w:t>
      </w:r>
      <w:r>
        <w:rPr>
          <w:rFonts w:hint="eastAsia" w:ascii="宋体" w:hAnsi="宋体" w:eastAsia="方正仿宋_GBK" w:cs="方正仿宋简体"/>
          <w:b w:val="0"/>
          <w:color w:val="auto"/>
          <w:kern w:val="2"/>
          <w:sz w:val="32"/>
          <w:szCs w:val="32"/>
          <w:highlight w:val="none"/>
          <w:lang w:val="en-US" w:eastAsia="zh-CN" w:bidi="ar-SA"/>
        </w:rPr>
        <w:t>“绿水青山就是金山银山”发展理念深入人心，产业发展负面清单（试行）经省级部门批准施行，生态红线划定并实施。累计完成矿山土地复垦1767.6亩，完成石漠化综合治理100平方公里，“生态立县”战略深入实施，建成省级生态乡（镇）9个、州级生态文明村51个，瓦厂、香坪山入选“国家森林乡村”。全面推行“河长制”，实现河库渠三级河长全覆盖。试点实施“林长制”，构建责任明确、制度健全、协调有序、运行高效的森林资源保护和生态修复体系，实施封山育林7.1万亩、退耕还林8.1万亩，实现了森林面积和蓄积双增长，森林覆盖率达54.83%，生态空间比重逐年扩大。安装太阳能路灯2800盏、热水器1650台，新增汽车充电桩32台。州下达的“十三五”节能减排指标均已实现，完成九股水冶炼厂、兴建水泥落后产能淘汰，改造县城污水管网7.2公里，县城“两污”项目通过环保验收，实现河流断面（畴阳河、鸡街河）水质达到地表水Ⅲ类标准，水质达标率为100%，县城集中式饮用水源（小桥沟水库）、备用水源（龙正水库）水质达标率100%，城区环境空气质量优良率为100%，优于国家二级标准。石漠化蔓延的趋势得到</w:t>
      </w:r>
      <w:r>
        <w:rPr>
          <w:rFonts w:hint="eastAsia" w:ascii="宋体" w:hAnsi="宋体" w:eastAsia="方正仿宋_GBK" w:cs="方正仿宋简体"/>
          <w:b w:val="0"/>
          <w:bCs w:val="0"/>
          <w:color w:val="auto"/>
          <w:kern w:val="2"/>
          <w:sz w:val="32"/>
          <w:szCs w:val="32"/>
          <w:highlight w:val="none"/>
          <w:lang w:val="en-US" w:eastAsia="zh-CN" w:bidi="ar-SA"/>
        </w:rPr>
        <w:t>有效控制，高品质</w:t>
      </w:r>
      <w:r>
        <w:rPr>
          <w:rFonts w:hint="eastAsia" w:ascii="宋体" w:hAnsi="宋体" w:eastAsia="方正仿宋_GBK" w:cs="方正仿宋简体"/>
          <w:b w:val="0"/>
          <w:color w:val="auto"/>
          <w:kern w:val="2"/>
          <w:sz w:val="32"/>
          <w:szCs w:val="32"/>
          <w:highlight w:val="none"/>
          <w:lang w:val="en-US" w:eastAsia="zh-CN" w:bidi="ar-SA"/>
        </w:rPr>
        <w:t>中药材、水果等经济林的种植，逐步开启绿色发展转换通道，发展的可持续能力得到增强。</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textAlignment w:val="auto"/>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简体"/>
          <w:b/>
          <w:bCs/>
          <w:color w:val="auto"/>
          <w:kern w:val="2"/>
          <w:sz w:val="32"/>
          <w:szCs w:val="32"/>
          <w:highlight w:val="none"/>
          <w:lang w:val="en-US" w:eastAsia="zh-CN" w:bidi="ar-SA"/>
        </w:rPr>
        <w:t>民族团结更加巩固。</w:t>
      </w:r>
      <w:r>
        <w:rPr>
          <w:rFonts w:hint="eastAsia" w:ascii="宋体" w:hAnsi="宋体" w:eastAsia="方正仿宋_GBK" w:cs="方正仿宋简体"/>
          <w:b w:val="0"/>
          <w:color w:val="auto"/>
          <w:kern w:val="2"/>
          <w:sz w:val="32"/>
          <w:szCs w:val="32"/>
          <w:highlight w:val="none"/>
          <w:lang w:val="en-US" w:eastAsia="zh-CN" w:bidi="ar-SA"/>
        </w:rPr>
        <w:t>深入推进民族团结进步示范创建，深入推进省“十百千万”民族团结示范工程落实，共建成民族团结进步示范机关21个、示范企业4个、示范社区3个、示范乡（镇）4个、示范村（社区）27个、示范村组35个、示范宗教场所1个、示范军营6个、示范景区3个、示范医院2个、示范学校19个，2019年9月西畴县被国务院表彰为“全国民族团结进步示范县”。</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民生福祉极大改善。教育体育。</w:t>
      </w:r>
      <w:r>
        <w:rPr>
          <w:rFonts w:hint="eastAsia" w:ascii="宋体" w:hAnsi="宋体" w:eastAsia="方正仿宋_GBK" w:cs="方正仿宋简体"/>
          <w:b w:val="0"/>
          <w:color w:val="auto"/>
          <w:kern w:val="2"/>
          <w:sz w:val="32"/>
          <w:szCs w:val="32"/>
          <w:highlight w:val="none"/>
          <w:lang w:val="en-US" w:eastAsia="zh-CN" w:bidi="ar-SA"/>
        </w:rPr>
        <w:t>投入资金13.4亿元，全县新建和改扩建校舍面积15万平方米，新增绿化面积3.2万平方米，新建教师周转房385套，县一中、县二中后续工程得到进一步完善，思源实验学校、城关中学和职业高级中学整体搬迁，县三幼投入使用。建成教育大数据、监控管理等信息化数据平台，创新办学体系建设，引入社会资源参与教育发展，实现义务教育均衡发展。学前教育毛入园率85%，普及了“一村一幼”，教育巩固成果明显，义务教育巩固率95.1%，小学适龄儿童入学率100%，初中阶段毛入学率99.9 %，高中阶段毛入学率87%。新建体育场17个11628平方米，配套体育器材246套，获评“全国老年气排球之乡”称号，全民健身运动常态化开展。</w:t>
      </w:r>
      <w:r>
        <w:rPr>
          <w:rFonts w:hint="eastAsia" w:ascii="宋体" w:hAnsi="宋体" w:eastAsia="方正仿宋_GBK" w:cs="方正仿宋简体"/>
          <w:b/>
          <w:bCs/>
          <w:color w:val="auto"/>
          <w:kern w:val="2"/>
          <w:sz w:val="32"/>
          <w:szCs w:val="32"/>
          <w:highlight w:val="none"/>
          <w:lang w:val="en-US" w:eastAsia="zh-CN" w:bidi="ar-SA"/>
        </w:rPr>
        <w:t>文化旅游。</w:t>
      </w:r>
      <w:r>
        <w:rPr>
          <w:rFonts w:hint="eastAsia" w:ascii="宋体" w:hAnsi="宋体" w:eastAsia="方正仿宋_GBK" w:cs="方正仿宋简体"/>
          <w:b w:val="0"/>
          <w:color w:val="auto"/>
          <w:kern w:val="2"/>
          <w:sz w:val="32"/>
          <w:szCs w:val="32"/>
          <w:highlight w:val="none"/>
          <w:lang w:val="en-US" w:eastAsia="zh-CN" w:bidi="ar-SA"/>
        </w:rPr>
        <w:t>新建和改造村级活动场所630个，在木者、岩头等村小组建成“西畴精神”教育基地，大型歌舞剧“太阳鸟母”在昆明展演，在第十五届世界民族电影节评奖中，《太阳鸟母——舞之灵》影片与原创音乐《太阳鸟母》入围，其《太阳鸟母》原创音乐分系列歌曲《太阳山上满天星》《汤谷之秋》《鸟部落子民》《永恒之约》《日上扶桑树》及交响乐器乐版《太阳鸟母之英雄》、交响乐合唱版《太阳鸟母之英雄》荣膺最佳原创电影音乐大奖殊荣。汤谷村被命名为“全国文明村”，太阳文化品牌逐步形成，《守望故乡》分别获全国少儿声乐类特金奖、语言类白金奖，“壮族童谣”走上央视舞台。西畴县获</w:t>
      </w:r>
      <w:r>
        <w:rPr>
          <w:rFonts w:hint="default" w:ascii="宋体" w:hAnsi="宋体" w:eastAsia="方正仿宋_GBK" w:cs="方正仿宋简体"/>
          <w:b w:val="0"/>
          <w:color w:val="auto"/>
          <w:kern w:val="2"/>
          <w:sz w:val="32"/>
          <w:szCs w:val="32"/>
          <w:highlight w:val="none"/>
          <w:lang w:val="en-US" w:eastAsia="zh-CN" w:bidi="ar-SA"/>
        </w:rPr>
        <w:t>中宣部、农业农村部</w:t>
      </w:r>
      <w:r>
        <w:rPr>
          <w:rFonts w:hint="eastAsia" w:ascii="宋体" w:hAnsi="宋体" w:eastAsia="方正仿宋_GBK" w:cs="方正仿宋简体"/>
          <w:b w:val="0"/>
          <w:color w:val="auto"/>
          <w:kern w:val="2"/>
          <w:sz w:val="32"/>
          <w:szCs w:val="32"/>
          <w:highlight w:val="none"/>
          <w:lang w:val="en-US" w:eastAsia="zh-CN" w:bidi="ar-SA"/>
        </w:rPr>
        <w:t>授予“2020新时代乡村阅读季”之“我爱阅读100天”活动全国十强县。葫芦笙舞、弦子舞、女子太阳山祭祀古歌等民族民间文化得到保护传承。实施有线电视“农并网”工程2500户，广播电视覆盖面和收视质量进一步提高。建成景区公路13.7公里，停车场3个2500平方米，香坪山、三光、汤谷成功申报AAA级景区。</w:t>
      </w:r>
      <w:r>
        <w:rPr>
          <w:rFonts w:hint="eastAsia" w:ascii="宋体" w:hAnsi="宋体" w:eastAsia="方正仿宋_GBK" w:cs="方正仿宋简体"/>
          <w:b/>
          <w:bCs/>
          <w:color w:val="auto"/>
          <w:kern w:val="2"/>
          <w:sz w:val="32"/>
          <w:szCs w:val="32"/>
          <w:highlight w:val="none"/>
          <w:lang w:val="en-US" w:eastAsia="zh-CN" w:bidi="ar-SA"/>
        </w:rPr>
        <w:t>卫生事业。</w:t>
      </w:r>
      <w:r>
        <w:rPr>
          <w:rFonts w:hint="eastAsia" w:ascii="宋体" w:hAnsi="宋体" w:eastAsia="方正仿宋_GBK" w:cs="方正仿宋简体"/>
          <w:b w:val="0"/>
          <w:color w:val="auto"/>
          <w:kern w:val="2"/>
          <w:sz w:val="32"/>
          <w:szCs w:val="32"/>
          <w:highlight w:val="none"/>
          <w:lang w:val="en-US" w:eastAsia="zh-CN" w:bidi="ar-SA"/>
        </w:rPr>
        <w:t>县中医医院、妇幼保健计划生育服务中心建成并投入使用，县疾病预防控制中心完成改扩建。推进医疗救助“一站式”服务体系建设，启动“医疗联合体”组建，分级诊疗深入推进，城乡居民医疗保险顺利合并，医疗卫生服务条件明显改善，全面二孩政策有效落实。</w:t>
      </w:r>
      <w:r>
        <w:rPr>
          <w:rFonts w:hint="eastAsia" w:ascii="宋体" w:hAnsi="宋体" w:eastAsia="方正仿宋_GBK" w:cs="方正仿宋简体"/>
          <w:b/>
          <w:bCs/>
          <w:color w:val="auto"/>
          <w:kern w:val="2"/>
          <w:sz w:val="32"/>
          <w:szCs w:val="32"/>
          <w:highlight w:val="none"/>
          <w:lang w:val="en-US" w:eastAsia="zh-CN" w:bidi="ar-SA"/>
        </w:rPr>
        <w:t>疫情防控。</w:t>
      </w:r>
      <w:r>
        <w:rPr>
          <w:rFonts w:hint="eastAsia" w:ascii="宋体" w:hAnsi="宋体" w:eastAsia="方正仿宋_GBK" w:cs="方正仿宋简体"/>
          <w:b w:val="0"/>
          <w:color w:val="auto"/>
          <w:kern w:val="2"/>
          <w:sz w:val="32"/>
          <w:szCs w:val="32"/>
          <w:highlight w:val="none"/>
          <w:lang w:val="en-US" w:eastAsia="zh-CN" w:bidi="ar-SA"/>
        </w:rPr>
        <w:t>面对新冠肺炎疫情，积极采取“五级联动、五方比对、五级挂联”的方式织密疫情阻击监管网络，县医院、县公安局派员参与了武汉抗疫，全面打赢疫情阻击战，同时，迅速采取系列举措复工、复产、复市，人民群众生产生活和经济社会发展秩序短期内恢复正常，有力实现疫情阻击与经济社会建设双赢。</w:t>
      </w:r>
      <w:r>
        <w:rPr>
          <w:rFonts w:hint="eastAsia" w:ascii="宋体" w:hAnsi="宋体" w:eastAsia="方正仿宋_GBK" w:cs="方正仿宋简体"/>
          <w:b/>
          <w:bCs/>
          <w:color w:val="auto"/>
          <w:kern w:val="2"/>
          <w:sz w:val="32"/>
          <w:szCs w:val="32"/>
          <w:highlight w:val="none"/>
          <w:lang w:val="en-US" w:eastAsia="zh-CN" w:bidi="ar-SA"/>
        </w:rPr>
        <w:t>社会保障。</w:t>
      </w:r>
      <w:r>
        <w:rPr>
          <w:rFonts w:hint="eastAsia" w:ascii="宋体" w:hAnsi="宋体" w:eastAsia="方正仿宋_GBK" w:cs="方正仿宋简体"/>
          <w:b w:val="0"/>
          <w:color w:val="auto"/>
          <w:kern w:val="2"/>
          <w:sz w:val="32"/>
          <w:szCs w:val="32"/>
          <w:highlight w:val="none"/>
          <w:lang w:val="en-US" w:eastAsia="zh-CN" w:bidi="ar-SA"/>
        </w:rPr>
        <w:t>以养老保险、城乡低保、大病救助、临时救助等为重点的社会保障体系不断健全，启动实施村（社区）干部养老保险、工伤保险工作，各项社会保险参保人数达42万人次，低保对象、特困人员等困难群体的基本生活得到保障。儿童福利院、北塔社区老年人日间照料中心主体工程完工，殡葬改革工作取得突破性进展，9个乡（镇）完成殡葬改革。</w:t>
      </w:r>
      <w:r>
        <w:rPr>
          <w:rFonts w:hint="eastAsia" w:ascii="宋体" w:hAnsi="宋体" w:eastAsia="方正仿宋_GBK" w:cs="方正仿宋简体"/>
          <w:b/>
          <w:bCs/>
          <w:color w:val="auto"/>
          <w:kern w:val="2"/>
          <w:sz w:val="32"/>
          <w:szCs w:val="32"/>
          <w:highlight w:val="none"/>
          <w:lang w:val="en-US" w:eastAsia="zh-CN" w:bidi="ar-SA"/>
        </w:rPr>
        <w:t>社会治理。</w:t>
      </w:r>
      <w:r>
        <w:rPr>
          <w:rFonts w:hint="eastAsia" w:ascii="宋体" w:hAnsi="宋体" w:eastAsia="方正仿宋_GBK" w:cs="方正仿宋简体"/>
          <w:b w:val="0"/>
          <w:color w:val="auto"/>
          <w:kern w:val="2"/>
          <w:sz w:val="32"/>
          <w:szCs w:val="32"/>
          <w:highlight w:val="none"/>
          <w:lang w:val="en-US" w:eastAsia="zh-CN" w:bidi="ar-SA"/>
        </w:rPr>
        <w:t>坚持依法治县，加强民主法制建设，推进“七五”普法进程，提高公民法律素质，进一步建立健全党委领导、政府负责、社会协同、公众参与的社会管理体制，加强社会治安防控体系建设，健全和落实安全生产责任制，强化安全生产措施，建设安全生产环境，保障了人民群众生命财产安全，2018年、2019年被评为全国信访工作“三无县”荣誉称号,蚌谷大寨、西洒瓦厂入选省民主法制示范村。</w:t>
      </w:r>
      <w:bookmarkStart w:id="13" w:name="_Toc32295"/>
      <w:bookmarkStart w:id="14" w:name="_Toc4755_WPSOffice_Level3"/>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eastAsia" w:ascii="宋体" w:hAnsi="宋体" w:eastAsia="方正仿宋_GBK" w:cs="方正仿宋_GBK"/>
          <w:b/>
          <w:bCs/>
          <w:i w:val="0"/>
          <w:caps w:val="0"/>
          <w:color w:val="auto"/>
          <w:spacing w:val="0"/>
          <w:sz w:val="32"/>
          <w:szCs w:val="32"/>
          <w:highlight w:val="none"/>
          <w:shd w:val="clear" w:fill="FFFFFF"/>
          <w:lang w:val="en-US" w:eastAsia="zh-CN"/>
        </w:rPr>
      </w:pPr>
      <w:r>
        <w:rPr>
          <w:rFonts w:hint="eastAsia" w:ascii="宋体" w:hAnsi="宋体" w:eastAsia="方正仿宋_GBK" w:cs="方正仿宋简体"/>
          <w:sz w:val="32"/>
          <w:szCs w:val="32"/>
          <w:lang w:val="en-US" w:eastAsia="zh-CN"/>
        </w:rPr>
        <w:t>五年来，全县上下众志成城、勠力同心，扎实做好“六稳”工作，全面落实“六保”任务，推动经济社会跨越发展目标基本实现，这在西畴发展进程中具有重要里程碑意义，为实现第一个百年奋斗目标、开启全面建设社会主义现代化国家新征程奠定坚实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方正仿宋_GBK" w:cs="方正仿宋_GBK"/>
          <w:i w:val="0"/>
          <w:caps w:val="0"/>
          <w:color w:val="auto"/>
          <w:spacing w:val="0"/>
          <w:sz w:val="32"/>
          <w:szCs w:val="32"/>
          <w:highlight w:val="none"/>
          <w:shd w:val="clear" w:fill="FFFFFF"/>
          <w:lang w:val="en-US" w:eastAsia="zh-CN"/>
        </w:rPr>
      </w:pPr>
      <w:r>
        <w:rPr>
          <w:rFonts w:hint="eastAsia" w:ascii="宋体" w:hAnsi="宋体" w:eastAsia="方正仿宋_GBK" w:cs="方正仿宋_GBK"/>
          <w:b/>
          <w:bCs/>
          <w:i w:val="0"/>
          <w:caps w:val="0"/>
          <w:color w:val="auto"/>
          <w:spacing w:val="0"/>
          <w:sz w:val="32"/>
          <w:szCs w:val="32"/>
          <w:highlight w:val="none"/>
          <w:shd w:val="clear" w:fill="FFFFFF"/>
          <w:lang w:val="en-US" w:eastAsia="zh-CN"/>
        </w:rPr>
        <w:t>专栏1：</w:t>
      </w:r>
      <w:r>
        <w:rPr>
          <w:rFonts w:hint="eastAsia" w:ascii="宋体" w:hAnsi="宋体" w:eastAsia="方正仿宋_GBK" w:cs="方正仿宋_GBK"/>
          <w:i w:val="0"/>
          <w:caps w:val="0"/>
          <w:color w:val="auto"/>
          <w:spacing w:val="0"/>
          <w:sz w:val="32"/>
          <w:szCs w:val="32"/>
          <w:highlight w:val="none"/>
          <w:shd w:val="clear" w:fill="FFFFFF"/>
          <w:lang w:val="en-US" w:eastAsia="zh-CN"/>
        </w:rPr>
        <w:t>西畴县“十三五”经济社会发展主要指标执行情况表</w:t>
      </w:r>
    </w:p>
    <w:tbl>
      <w:tblPr>
        <w:tblStyle w:val="20"/>
        <w:tblW w:w="9215" w:type="dxa"/>
        <w:tblInd w:w="-68" w:type="dxa"/>
        <w:tblLayout w:type="fixed"/>
        <w:tblCellMar>
          <w:top w:w="0" w:type="dxa"/>
          <w:left w:w="108" w:type="dxa"/>
          <w:bottom w:w="0" w:type="dxa"/>
          <w:right w:w="108" w:type="dxa"/>
        </w:tblCellMar>
      </w:tblPr>
      <w:tblGrid>
        <w:gridCol w:w="481"/>
        <w:gridCol w:w="619"/>
        <w:gridCol w:w="2173"/>
        <w:gridCol w:w="902"/>
        <w:gridCol w:w="1028"/>
        <w:gridCol w:w="916"/>
        <w:gridCol w:w="23"/>
        <w:gridCol w:w="1011"/>
        <w:gridCol w:w="1210"/>
        <w:gridCol w:w="852"/>
      </w:tblGrid>
      <w:tr>
        <w:tblPrEx>
          <w:tblLayout w:type="fixed"/>
          <w:tblCellMar>
            <w:top w:w="0" w:type="dxa"/>
            <w:left w:w="108" w:type="dxa"/>
            <w:bottom w:w="0" w:type="dxa"/>
            <w:right w:w="108" w:type="dxa"/>
          </w:tblCellMar>
        </w:tblPrEx>
        <w:trPr>
          <w:trHeight w:val="62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黑体_GBK"/>
                <w:b/>
                <w:bCs/>
                <w:color w:val="auto"/>
                <w:kern w:val="0"/>
                <w:szCs w:val="21"/>
                <w:highlight w:val="none"/>
              </w:rPr>
            </w:pPr>
            <w:r>
              <w:rPr>
                <w:rFonts w:hint="eastAsia" w:ascii="宋体" w:hAnsi="宋体" w:eastAsia="方正黑体_GBK"/>
                <w:b/>
                <w:bCs/>
                <w:color w:val="auto"/>
                <w:kern w:val="0"/>
                <w:szCs w:val="21"/>
                <w:highlight w:val="none"/>
              </w:rPr>
              <w:t>序号</w:t>
            </w:r>
          </w:p>
        </w:tc>
        <w:tc>
          <w:tcPr>
            <w:tcW w:w="6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黑体_GBK"/>
                <w:b/>
                <w:bCs/>
                <w:color w:val="auto"/>
                <w:kern w:val="0"/>
                <w:szCs w:val="21"/>
                <w:highlight w:val="none"/>
              </w:rPr>
            </w:pPr>
            <w:r>
              <w:rPr>
                <w:rFonts w:hint="eastAsia" w:ascii="宋体" w:hAnsi="宋体" w:eastAsia="方正黑体_GBK"/>
                <w:b/>
                <w:bCs/>
                <w:color w:val="auto"/>
                <w:kern w:val="0"/>
                <w:szCs w:val="21"/>
                <w:highlight w:val="none"/>
              </w:rPr>
              <w:t>分类</w:t>
            </w: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黑体_GBK"/>
                <w:b/>
                <w:bCs/>
                <w:color w:val="auto"/>
                <w:kern w:val="0"/>
                <w:szCs w:val="21"/>
                <w:highlight w:val="none"/>
              </w:rPr>
            </w:pPr>
            <w:r>
              <w:rPr>
                <w:rFonts w:hint="eastAsia" w:ascii="宋体" w:hAnsi="宋体" w:eastAsia="方正黑体_GBK"/>
                <w:b/>
                <w:bCs/>
                <w:color w:val="auto"/>
                <w:kern w:val="0"/>
                <w:szCs w:val="21"/>
                <w:highlight w:val="none"/>
              </w:rPr>
              <w:t>指标名称</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黑体_GBK"/>
                <w:b/>
                <w:bCs/>
                <w:color w:val="auto"/>
                <w:kern w:val="0"/>
                <w:szCs w:val="21"/>
                <w:highlight w:val="none"/>
                <w:lang w:eastAsia="zh-CN"/>
              </w:rPr>
            </w:pPr>
            <w:r>
              <w:rPr>
                <w:rFonts w:hint="eastAsia" w:ascii="宋体" w:hAnsi="宋体" w:eastAsia="方正黑体_GBK"/>
                <w:b/>
                <w:bCs/>
                <w:color w:val="auto"/>
                <w:kern w:val="0"/>
                <w:szCs w:val="21"/>
                <w:highlight w:val="none"/>
              </w:rPr>
              <w:t>2015年</w:t>
            </w:r>
            <w:r>
              <w:rPr>
                <w:rFonts w:hint="eastAsia" w:ascii="宋体" w:hAnsi="宋体" w:eastAsia="方正黑体_GBK"/>
                <w:b/>
                <w:bCs/>
                <w:color w:val="auto"/>
                <w:kern w:val="0"/>
                <w:szCs w:val="21"/>
                <w:highlight w:val="none"/>
                <w:lang w:eastAsia="zh-CN"/>
              </w:rPr>
              <w:t>实际</w:t>
            </w:r>
          </w:p>
        </w:tc>
        <w:tc>
          <w:tcPr>
            <w:tcW w:w="10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黑体_GBK"/>
                <w:b/>
                <w:bCs/>
                <w:color w:val="auto"/>
                <w:kern w:val="0"/>
                <w:szCs w:val="21"/>
                <w:highlight w:val="none"/>
                <w:lang w:eastAsia="zh-CN"/>
              </w:rPr>
            </w:pPr>
            <w:r>
              <w:rPr>
                <w:rFonts w:hint="eastAsia" w:ascii="宋体" w:hAnsi="宋体" w:eastAsia="方正黑体_GBK"/>
                <w:b/>
                <w:bCs/>
                <w:color w:val="auto"/>
                <w:kern w:val="0"/>
                <w:szCs w:val="21"/>
                <w:highlight w:val="none"/>
              </w:rPr>
              <w:t>2020年</w:t>
            </w:r>
            <w:r>
              <w:rPr>
                <w:rFonts w:hint="eastAsia" w:ascii="宋体" w:hAnsi="宋体" w:eastAsia="方正黑体_GBK"/>
                <w:b/>
                <w:bCs/>
                <w:color w:val="auto"/>
                <w:kern w:val="0"/>
                <w:szCs w:val="21"/>
                <w:highlight w:val="none"/>
                <w:lang w:eastAsia="zh-CN"/>
              </w:rPr>
              <w:t>规划</w:t>
            </w:r>
          </w:p>
        </w:tc>
        <w:tc>
          <w:tcPr>
            <w:tcW w:w="195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黑体_GBK"/>
                <w:b/>
                <w:bCs/>
                <w:color w:val="auto"/>
                <w:kern w:val="0"/>
                <w:szCs w:val="21"/>
                <w:highlight w:val="none"/>
              </w:rPr>
            </w:pPr>
            <w:r>
              <w:rPr>
                <w:rFonts w:hint="eastAsia" w:ascii="宋体" w:hAnsi="宋体" w:eastAsia="方正黑体_GBK"/>
                <w:b/>
                <w:bCs/>
                <w:color w:val="auto"/>
                <w:kern w:val="0"/>
                <w:szCs w:val="21"/>
                <w:highlight w:val="none"/>
                <w:lang w:eastAsia="zh-CN"/>
              </w:rPr>
              <w:t>五</w:t>
            </w:r>
            <w:r>
              <w:rPr>
                <w:rFonts w:hint="eastAsia" w:ascii="宋体" w:hAnsi="宋体" w:eastAsia="方正黑体_GBK"/>
                <w:b/>
                <w:bCs/>
                <w:color w:val="auto"/>
                <w:kern w:val="0"/>
                <w:szCs w:val="21"/>
                <w:highlight w:val="none"/>
              </w:rPr>
              <w:t>年均增速〔累计〕</w:t>
            </w:r>
          </w:p>
        </w:tc>
        <w:tc>
          <w:tcPr>
            <w:tcW w:w="12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黑体_GBK"/>
                <w:b/>
                <w:bCs/>
                <w:color w:val="auto"/>
                <w:kern w:val="0"/>
                <w:szCs w:val="21"/>
                <w:highlight w:val="none"/>
              </w:rPr>
            </w:pPr>
            <w:r>
              <w:rPr>
                <w:rFonts w:hint="eastAsia" w:ascii="宋体" w:hAnsi="宋体" w:eastAsia="方正黑体_GBK"/>
                <w:b/>
                <w:bCs/>
                <w:color w:val="auto"/>
                <w:kern w:val="0"/>
                <w:szCs w:val="21"/>
                <w:highlight w:val="none"/>
              </w:rPr>
              <w:t>2020年</w:t>
            </w:r>
            <w:r>
              <w:rPr>
                <w:rFonts w:hint="eastAsia" w:ascii="宋体" w:hAnsi="宋体" w:eastAsia="方正黑体_GBK"/>
                <w:b/>
                <w:bCs/>
                <w:color w:val="auto"/>
                <w:kern w:val="0"/>
                <w:szCs w:val="21"/>
                <w:highlight w:val="none"/>
                <w:lang w:eastAsia="zh-CN"/>
              </w:rPr>
              <w:t>实际</w:t>
            </w:r>
          </w:p>
        </w:tc>
        <w:tc>
          <w:tcPr>
            <w:tcW w:w="8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黑体_GBK"/>
                <w:b/>
                <w:bCs/>
                <w:color w:val="auto"/>
                <w:kern w:val="0"/>
                <w:szCs w:val="21"/>
                <w:highlight w:val="none"/>
              </w:rPr>
            </w:pPr>
            <w:r>
              <w:rPr>
                <w:rFonts w:hint="eastAsia" w:ascii="宋体" w:hAnsi="宋体" w:eastAsia="方正黑体_GBK"/>
                <w:b/>
                <w:bCs/>
                <w:color w:val="auto"/>
                <w:kern w:val="0"/>
                <w:szCs w:val="21"/>
                <w:highlight w:val="none"/>
              </w:rPr>
              <w:t>属性</w:t>
            </w:r>
          </w:p>
        </w:tc>
      </w:tr>
      <w:tr>
        <w:tblPrEx>
          <w:tblLayout w:type="fixed"/>
          <w:tblCellMar>
            <w:top w:w="0" w:type="dxa"/>
            <w:left w:w="108" w:type="dxa"/>
            <w:bottom w:w="0" w:type="dxa"/>
            <w:right w:w="108" w:type="dxa"/>
          </w:tblCellMar>
        </w:tblPrEx>
        <w:trPr>
          <w:trHeight w:val="485"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1</w:t>
            </w:r>
          </w:p>
        </w:tc>
        <w:tc>
          <w:tcPr>
            <w:tcW w:w="619"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r>
              <w:rPr>
                <w:rFonts w:hint="eastAsia" w:ascii="宋体" w:hAnsi="宋体" w:eastAsia="方正仿宋_GBK"/>
                <w:b/>
                <w:bCs/>
                <w:color w:val="auto"/>
                <w:kern w:val="0"/>
                <w:szCs w:val="21"/>
                <w:highlight w:val="none"/>
              </w:rPr>
              <w:t>经</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济</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发</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展</w:t>
            </w: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地区生产总值（亿元）</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30.</w:t>
            </w:r>
            <w:r>
              <w:rPr>
                <w:rFonts w:hint="eastAsia" w:ascii="宋体" w:hAnsi="宋体" w:eastAsia="方正仿宋_GBK"/>
                <w:color w:val="auto"/>
                <w:kern w:val="0"/>
                <w:szCs w:val="21"/>
                <w:highlight w:val="none"/>
                <w:lang w:val="en-US" w:eastAsia="zh-CN"/>
              </w:rPr>
              <w:t>6</w:t>
            </w:r>
          </w:p>
        </w:tc>
        <w:tc>
          <w:tcPr>
            <w:tcW w:w="10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60</w:t>
            </w:r>
          </w:p>
        </w:tc>
        <w:tc>
          <w:tcPr>
            <w:tcW w:w="195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val="0"/>
                <w:bCs w:val="0"/>
                <w:color w:val="auto"/>
                <w:kern w:val="0"/>
                <w:szCs w:val="21"/>
                <w:highlight w:val="none"/>
              </w:rPr>
            </w:pPr>
            <w:r>
              <w:rPr>
                <w:rFonts w:ascii="宋体" w:hAnsi="宋体" w:eastAsia="方正仿宋_GBK"/>
                <w:b w:val="0"/>
                <w:bCs w:val="0"/>
                <w:color w:val="auto"/>
                <w:kern w:val="0"/>
                <w:szCs w:val="21"/>
                <w:highlight w:val="none"/>
              </w:rPr>
              <w:t>11%</w:t>
            </w:r>
            <w:r>
              <w:rPr>
                <w:rFonts w:hint="eastAsia" w:ascii="宋体" w:hAnsi="宋体" w:eastAsia="方正仿宋_GBK"/>
                <w:b w:val="0"/>
                <w:bCs w:val="0"/>
                <w:color w:val="auto"/>
                <w:kern w:val="0"/>
                <w:szCs w:val="21"/>
                <w:highlight w:val="none"/>
              </w:rPr>
              <w:t>以上</w:t>
            </w:r>
          </w:p>
        </w:tc>
        <w:tc>
          <w:tcPr>
            <w:tcW w:w="12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56.35</w:t>
            </w:r>
          </w:p>
        </w:tc>
        <w:tc>
          <w:tcPr>
            <w:tcW w:w="8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605" w:hRule="atLeast"/>
        </w:trPr>
        <w:tc>
          <w:tcPr>
            <w:tcW w:w="48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p>
        </w:tc>
        <w:tc>
          <w:tcPr>
            <w:tcW w:w="61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全员劳动生产率（万元</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人）</w:t>
            </w:r>
          </w:p>
        </w:tc>
        <w:tc>
          <w:tcPr>
            <w:tcW w:w="9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3.18</w:t>
            </w:r>
          </w:p>
        </w:tc>
        <w:tc>
          <w:tcPr>
            <w:tcW w:w="10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3.7</w:t>
            </w:r>
          </w:p>
        </w:tc>
        <w:tc>
          <w:tcPr>
            <w:tcW w:w="1950"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val="0"/>
                <w:bCs w:val="0"/>
                <w:color w:val="auto"/>
                <w:kern w:val="0"/>
                <w:szCs w:val="21"/>
                <w:highlight w:val="none"/>
              </w:rPr>
            </w:pPr>
            <w:r>
              <w:rPr>
                <w:rFonts w:ascii="宋体" w:hAnsi="宋体" w:eastAsia="方正仿宋_GBK"/>
                <w:b w:val="0"/>
                <w:bCs w:val="0"/>
                <w:color w:val="auto"/>
                <w:kern w:val="0"/>
                <w:szCs w:val="21"/>
                <w:highlight w:val="none"/>
              </w:rPr>
              <w:t>3.1%</w:t>
            </w:r>
            <w:r>
              <w:rPr>
                <w:rFonts w:hint="eastAsia" w:ascii="宋体" w:hAnsi="宋体" w:eastAsia="方正仿宋_GBK"/>
                <w:b w:val="0"/>
                <w:bCs w:val="0"/>
                <w:color w:val="auto"/>
                <w:kern w:val="0"/>
                <w:szCs w:val="21"/>
                <w:highlight w:val="none"/>
              </w:rPr>
              <w:t>左右</w:t>
            </w:r>
          </w:p>
        </w:tc>
        <w:tc>
          <w:tcPr>
            <w:tcW w:w="12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4.23</w:t>
            </w:r>
          </w:p>
        </w:tc>
        <w:tc>
          <w:tcPr>
            <w:tcW w:w="8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439" w:hRule="atLeast"/>
        </w:trPr>
        <w:tc>
          <w:tcPr>
            <w:tcW w:w="48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3</w:t>
            </w:r>
          </w:p>
        </w:tc>
        <w:tc>
          <w:tcPr>
            <w:tcW w:w="61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常住人口城镇化率（</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lang w:val="en-US" w:eastAsia="zh-CN"/>
              </w:rPr>
              <w:t>1.61</w:t>
            </w:r>
          </w:p>
        </w:tc>
        <w:tc>
          <w:tcPr>
            <w:tcW w:w="10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45</w:t>
            </w:r>
          </w:p>
        </w:tc>
        <w:tc>
          <w:tcPr>
            <w:tcW w:w="1950"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5.5〕</w:t>
            </w:r>
          </w:p>
        </w:tc>
        <w:tc>
          <w:tcPr>
            <w:tcW w:w="12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24.27</w:t>
            </w:r>
          </w:p>
        </w:tc>
        <w:tc>
          <w:tcPr>
            <w:tcW w:w="8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479" w:hRule="atLeast"/>
        </w:trPr>
        <w:tc>
          <w:tcPr>
            <w:tcW w:w="48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4</w:t>
            </w:r>
          </w:p>
        </w:tc>
        <w:tc>
          <w:tcPr>
            <w:tcW w:w="61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户籍人口城镇化率（</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10.8</w:t>
            </w:r>
          </w:p>
        </w:tc>
        <w:tc>
          <w:tcPr>
            <w:tcW w:w="10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20</w:t>
            </w:r>
          </w:p>
        </w:tc>
        <w:tc>
          <w:tcPr>
            <w:tcW w:w="1950"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9.2</w:t>
            </w:r>
            <w:r>
              <w:rPr>
                <w:rFonts w:hint="eastAsia" w:ascii="宋体" w:hAnsi="宋体" w:eastAsia="方正仿宋_GBK"/>
                <w:color w:val="auto"/>
                <w:kern w:val="0"/>
                <w:szCs w:val="21"/>
                <w:highlight w:val="none"/>
              </w:rPr>
              <w:t>〕</w:t>
            </w:r>
          </w:p>
        </w:tc>
        <w:tc>
          <w:tcPr>
            <w:tcW w:w="12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lang w:val="en-US" w:eastAsia="zh-CN"/>
              </w:rPr>
              <w:t>18.8</w:t>
            </w:r>
          </w:p>
        </w:tc>
        <w:tc>
          <w:tcPr>
            <w:tcW w:w="8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449" w:hRule="atLeast"/>
        </w:trPr>
        <w:tc>
          <w:tcPr>
            <w:tcW w:w="48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5</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服务业增加值比重（</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4</w:t>
            </w:r>
            <w:r>
              <w:rPr>
                <w:rFonts w:hint="eastAsia" w:ascii="宋体" w:hAnsi="宋体" w:eastAsia="方正仿宋_GBK"/>
                <w:color w:val="auto"/>
                <w:kern w:val="0"/>
                <w:szCs w:val="21"/>
                <w:highlight w:val="none"/>
                <w:lang w:val="en-US" w:eastAsia="zh-CN"/>
              </w:rPr>
              <w:t>9.1</w:t>
            </w:r>
          </w:p>
        </w:tc>
        <w:tc>
          <w:tcPr>
            <w:tcW w:w="10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47</w:t>
            </w:r>
          </w:p>
        </w:tc>
        <w:tc>
          <w:tcPr>
            <w:tcW w:w="1950"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w:t>
            </w:r>
          </w:p>
        </w:tc>
        <w:tc>
          <w:tcPr>
            <w:tcW w:w="12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47.4</w:t>
            </w:r>
          </w:p>
        </w:tc>
        <w:tc>
          <w:tcPr>
            <w:tcW w:w="8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802"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6</w:t>
            </w:r>
          </w:p>
        </w:tc>
        <w:tc>
          <w:tcPr>
            <w:tcW w:w="61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r>
              <w:rPr>
                <w:rFonts w:hint="eastAsia" w:ascii="宋体" w:hAnsi="宋体" w:eastAsia="方正仿宋_GBK"/>
                <w:b/>
                <w:bCs/>
                <w:color w:val="auto"/>
                <w:kern w:val="0"/>
                <w:szCs w:val="21"/>
                <w:highlight w:val="none"/>
              </w:rPr>
              <w:t>创</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新</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驱</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动</w:t>
            </w: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研究与试验发展（</w:t>
            </w:r>
            <w:r>
              <w:rPr>
                <w:rFonts w:ascii="宋体" w:hAnsi="宋体" w:eastAsia="方正仿宋_GBK"/>
                <w:color w:val="auto"/>
                <w:kern w:val="0"/>
                <w:szCs w:val="21"/>
                <w:highlight w:val="none"/>
              </w:rPr>
              <w:t>R&amp;D</w:t>
            </w:r>
            <w:r>
              <w:rPr>
                <w:rFonts w:hint="eastAsia" w:ascii="宋体" w:hAnsi="宋体" w:eastAsia="方正仿宋_GBK"/>
                <w:color w:val="auto"/>
                <w:kern w:val="0"/>
                <w:szCs w:val="21"/>
                <w:highlight w:val="none"/>
              </w:rPr>
              <w:t>）经费投入强度（</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0. 25</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0.4</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0.15</w:t>
            </w:r>
            <w:r>
              <w:rPr>
                <w:rFonts w:hint="eastAsia" w:ascii="宋体" w:hAnsi="宋体" w:eastAsia="方正仿宋_GBK"/>
                <w:color w:val="auto"/>
                <w:kern w:val="0"/>
                <w:szCs w:val="21"/>
                <w:highlight w:val="none"/>
              </w:rPr>
              <w:t>〕</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0.28</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565"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7</w:t>
            </w:r>
          </w:p>
        </w:tc>
        <w:tc>
          <w:tcPr>
            <w:tcW w:w="61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每万人发明专利拥有量（件）</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0.1</w:t>
            </w:r>
          </w:p>
        </w:tc>
        <w:tc>
          <w:tcPr>
            <w:tcW w:w="10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0.2</w:t>
            </w:r>
          </w:p>
        </w:tc>
        <w:tc>
          <w:tcPr>
            <w:tcW w:w="195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0.1</w:t>
            </w:r>
            <w:r>
              <w:rPr>
                <w:rFonts w:hint="eastAsia" w:ascii="宋体" w:hAnsi="宋体" w:eastAsia="方正仿宋_GBK"/>
                <w:color w:val="auto"/>
                <w:kern w:val="0"/>
                <w:szCs w:val="21"/>
                <w:highlight w:val="none"/>
              </w:rPr>
              <w:t>〕</w:t>
            </w:r>
          </w:p>
        </w:tc>
        <w:tc>
          <w:tcPr>
            <w:tcW w:w="12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0.4</w:t>
            </w:r>
          </w:p>
        </w:tc>
        <w:tc>
          <w:tcPr>
            <w:tcW w:w="8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404" w:hRule="atLeast"/>
        </w:trPr>
        <w:tc>
          <w:tcPr>
            <w:tcW w:w="48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8</w:t>
            </w:r>
          </w:p>
        </w:tc>
        <w:tc>
          <w:tcPr>
            <w:tcW w:w="61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科技进步贡献率（</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40</w:t>
            </w:r>
          </w:p>
        </w:tc>
        <w:tc>
          <w:tcPr>
            <w:tcW w:w="10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45</w:t>
            </w:r>
          </w:p>
        </w:tc>
        <w:tc>
          <w:tcPr>
            <w:tcW w:w="1950"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5</w:t>
            </w:r>
            <w:r>
              <w:rPr>
                <w:rFonts w:hint="eastAsia" w:ascii="宋体" w:hAnsi="宋体" w:eastAsia="方正仿宋_GBK"/>
                <w:color w:val="auto"/>
                <w:kern w:val="0"/>
                <w:szCs w:val="21"/>
                <w:highlight w:val="none"/>
              </w:rPr>
              <w:t>〕</w:t>
            </w:r>
          </w:p>
        </w:tc>
        <w:tc>
          <w:tcPr>
            <w:tcW w:w="12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45</w:t>
            </w:r>
          </w:p>
        </w:tc>
        <w:tc>
          <w:tcPr>
            <w:tcW w:w="8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434" w:hRule="atLeast"/>
        </w:trPr>
        <w:tc>
          <w:tcPr>
            <w:tcW w:w="48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9</w:t>
            </w:r>
          </w:p>
        </w:tc>
        <w:tc>
          <w:tcPr>
            <w:tcW w:w="61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固定宽带家庭普及率（%）</w:t>
            </w:r>
          </w:p>
        </w:tc>
        <w:tc>
          <w:tcPr>
            <w:tcW w:w="9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17</w:t>
            </w:r>
          </w:p>
        </w:tc>
        <w:tc>
          <w:tcPr>
            <w:tcW w:w="10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43</w:t>
            </w:r>
          </w:p>
        </w:tc>
        <w:tc>
          <w:tcPr>
            <w:tcW w:w="1950"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〔26〕</w:t>
            </w:r>
          </w:p>
        </w:tc>
        <w:tc>
          <w:tcPr>
            <w:tcW w:w="12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46.5</w:t>
            </w:r>
          </w:p>
        </w:tc>
        <w:tc>
          <w:tcPr>
            <w:tcW w:w="8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90"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10</w:t>
            </w:r>
          </w:p>
        </w:tc>
        <w:tc>
          <w:tcPr>
            <w:tcW w:w="619"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战略性新兴产业占增加值比重（</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0.1</w:t>
            </w:r>
          </w:p>
        </w:tc>
        <w:tc>
          <w:tcPr>
            <w:tcW w:w="10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p>
        </w:tc>
        <w:tc>
          <w:tcPr>
            <w:tcW w:w="195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1.9</w:t>
            </w:r>
            <w:r>
              <w:rPr>
                <w:rFonts w:hint="eastAsia" w:ascii="宋体" w:hAnsi="宋体" w:eastAsia="方正仿宋_GBK"/>
                <w:color w:val="auto"/>
                <w:kern w:val="0"/>
                <w:szCs w:val="21"/>
                <w:highlight w:val="none"/>
              </w:rPr>
              <w:t>〕</w:t>
            </w:r>
          </w:p>
        </w:tc>
        <w:tc>
          <w:tcPr>
            <w:tcW w:w="12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方正仿宋_GBK"/>
                <w:color w:val="auto"/>
                <w:kern w:val="0"/>
                <w:szCs w:val="21"/>
                <w:highlight w:val="none"/>
                <w:lang w:val="en-US"/>
              </w:rPr>
            </w:pPr>
            <w:r>
              <w:rPr>
                <w:rFonts w:hint="eastAsia" w:ascii="宋体" w:hAnsi="宋体" w:eastAsia="方正仿宋_GBK"/>
                <w:color w:val="auto"/>
                <w:kern w:val="0"/>
                <w:szCs w:val="21"/>
                <w:highlight w:val="none"/>
                <w:lang w:val="en-US" w:eastAsia="zh-CN"/>
              </w:rPr>
              <w:t>1.5</w:t>
            </w:r>
          </w:p>
        </w:tc>
        <w:tc>
          <w:tcPr>
            <w:tcW w:w="8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439" w:hRule="atLeast"/>
        </w:trPr>
        <w:tc>
          <w:tcPr>
            <w:tcW w:w="48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1</w:t>
            </w:r>
          </w:p>
        </w:tc>
        <w:tc>
          <w:tcPr>
            <w:tcW w:w="61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r>
              <w:rPr>
                <w:rFonts w:hint="eastAsia" w:ascii="宋体" w:hAnsi="宋体" w:eastAsia="方正仿宋_GBK"/>
                <w:b/>
                <w:bCs/>
                <w:color w:val="auto"/>
                <w:kern w:val="0"/>
                <w:szCs w:val="21"/>
                <w:highlight w:val="none"/>
              </w:rPr>
              <w:t>民</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生</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福</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祉</w:t>
            </w:r>
          </w:p>
        </w:tc>
        <w:tc>
          <w:tcPr>
            <w:tcW w:w="21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城乡常住居民人均可支配收入</w:t>
            </w:r>
          </w:p>
        </w:tc>
        <w:tc>
          <w:tcPr>
            <w:tcW w:w="9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21341</w:t>
            </w:r>
          </w:p>
        </w:tc>
        <w:tc>
          <w:tcPr>
            <w:tcW w:w="10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34400</w:t>
            </w:r>
          </w:p>
        </w:tc>
        <w:tc>
          <w:tcPr>
            <w:tcW w:w="1950"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b w:val="0"/>
                <w:bCs w:val="0"/>
                <w:color w:val="auto"/>
                <w:kern w:val="0"/>
                <w:szCs w:val="21"/>
                <w:highlight w:val="none"/>
              </w:rPr>
              <w:t>10%</w:t>
            </w:r>
          </w:p>
        </w:tc>
        <w:tc>
          <w:tcPr>
            <w:tcW w:w="12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30758/11495</w:t>
            </w:r>
          </w:p>
        </w:tc>
        <w:tc>
          <w:tcPr>
            <w:tcW w:w="8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439" w:hRule="atLeast"/>
        </w:trPr>
        <w:tc>
          <w:tcPr>
            <w:tcW w:w="48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2</w:t>
            </w:r>
          </w:p>
        </w:tc>
        <w:tc>
          <w:tcPr>
            <w:tcW w:w="61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color w:val="auto"/>
                <w:kern w:val="0"/>
                <w:szCs w:val="21"/>
                <w:highlight w:val="none"/>
              </w:rPr>
            </w:pPr>
          </w:p>
        </w:tc>
        <w:tc>
          <w:tcPr>
            <w:tcW w:w="9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7210</w:t>
            </w:r>
          </w:p>
        </w:tc>
        <w:tc>
          <w:tcPr>
            <w:tcW w:w="10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12700</w:t>
            </w:r>
          </w:p>
        </w:tc>
        <w:tc>
          <w:tcPr>
            <w:tcW w:w="1950"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b w:val="0"/>
                <w:bCs w:val="0"/>
                <w:color w:val="auto"/>
                <w:kern w:val="0"/>
                <w:szCs w:val="21"/>
                <w:highlight w:val="none"/>
              </w:rPr>
              <w:t>12%</w:t>
            </w:r>
          </w:p>
        </w:tc>
        <w:tc>
          <w:tcPr>
            <w:tcW w:w="12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color w:val="auto"/>
                <w:kern w:val="0"/>
                <w:szCs w:val="21"/>
                <w:highlight w:val="none"/>
              </w:rPr>
            </w:pPr>
          </w:p>
        </w:tc>
        <w:tc>
          <w:tcPr>
            <w:tcW w:w="8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702" w:hRule="atLeast"/>
        </w:trPr>
        <w:tc>
          <w:tcPr>
            <w:tcW w:w="4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3</w:t>
            </w: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劳动年龄人口平均受教育年限（年）</w:t>
            </w:r>
          </w:p>
        </w:tc>
        <w:tc>
          <w:tcPr>
            <w:tcW w:w="9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8.5</w:t>
            </w:r>
          </w:p>
        </w:tc>
        <w:tc>
          <w:tcPr>
            <w:tcW w:w="10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9</w:t>
            </w:r>
          </w:p>
        </w:tc>
        <w:tc>
          <w:tcPr>
            <w:tcW w:w="1950"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0.5</w:t>
            </w:r>
            <w:r>
              <w:rPr>
                <w:rFonts w:hint="eastAsia" w:ascii="宋体" w:hAnsi="宋体" w:eastAsia="方正仿宋_GBK"/>
                <w:color w:val="auto"/>
                <w:kern w:val="0"/>
                <w:szCs w:val="21"/>
                <w:highlight w:val="none"/>
              </w:rPr>
              <w:t>〕</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9.5</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439" w:hRule="atLeast"/>
        </w:trPr>
        <w:tc>
          <w:tcPr>
            <w:tcW w:w="4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4</w:t>
            </w:r>
          </w:p>
        </w:tc>
        <w:tc>
          <w:tcPr>
            <w:tcW w:w="6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九年义务教育巩固率（</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73.5</w:t>
            </w: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95</w:t>
            </w:r>
          </w:p>
        </w:tc>
        <w:tc>
          <w:tcPr>
            <w:tcW w:w="195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21.5</w:t>
            </w:r>
            <w:r>
              <w:rPr>
                <w:rFonts w:hint="eastAsia" w:ascii="宋体" w:hAnsi="宋体" w:eastAsia="方正仿宋_GBK"/>
                <w:color w:val="auto"/>
                <w:kern w:val="0"/>
                <w:szCs w:val="21"/>
                <w:highlight w:val="none"/>
              </w:rPr>
              <w:t>〕</w:t>
            </w:r>
          </w:p>
        </w:tc>
        <w:tc>
          <w:tcPr>
            <w:tcW w:w="12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95</w:t>
            </w:r>
          </w:p>
        </w:tc>
        <w:tc>
          <w:tcPr>
            <w:tcW w:w="85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632" w:hRule="atLeast"/>
        </w:trPr>
        <w:tc>
          <w:tcPr>
            <w:tcW w:w="4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5</w:t>
            </w: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p>
        </w:tc>
        <w:tc>
          <w:tcPr>
            <w:tcW w:w="21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高中阶段教育毛入学率（</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65.5</w:t>
            </w:r>
          </w:p>
        </w:tc>
        <w:tc>
          <w:tcPr>
            <w:tcW w:w="10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90</w:t>
            </w:r>
          </w:p>
        </w:tc>
        <w:tc>
          <w:tcPr>
            <w:tcW w:w="1950"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24.5</w:t>
            </w:r>
            <w:r>
              <w:rPr>
                <w:rFonts w:hint="eastAsia" w:ascii="宋体" w:hAnsi="宋体" w:eastAsia="方正仿宋_GBK"/>
                <w:color w:val="auto"/>
                <w:kern w:val="0"/>
                <w:szCs w:val="21"/>
                <w:highlight w:val="none"/>
              </w:rPr>
              <w:t>〕</w:t>
            </w:r>
          </w:p>
        </w:tc>
        <w:tc>
          <w:tcPr>
            <w:tcW w:w="12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87</w:t>
            </w:r>
          </w:p>
        </w:tc>
        <w:tc>
          <w:tcPr>
            <w:tcW w:w="8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612"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6</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城镇新增就业人数（万人）</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0.1</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0.55</w:t>
            </w:r>
            <w:r>
              <w:rPr>
                <w:rFonts w:hint="eastAsia" w:ascii="宋体" w:hAnsi="宋体" w:eastAsia="方正仿宋_GBK"/>
                <w:color w:val="auto"/>
                <w:kern w:val="0"/>
                <w:szCs w:val="21"/>
                <w:highlight w:val="none"/>
              </w:rPr>
              <w:t>〕</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rPr>
              <w:t>〔</w:t>
            </w:r>
            <w:r>
              <w:rPr>
                <w:rFonts w:hint="eastAsia" w:ascii="宋体" w:hAnsi="宋体" w:eastAsia="方正仿宋_GBK"/>
                <w:color w:val="auto"/>
                <w:kern w:val="0"/>
                <w:szCs w:val="21"/>
                <w:highlight w:val="none"/>
                <w:lang w:val="en-US" w:eastAsia="zh-CN"/>
              </w:rPr>
              <w:t>0.8785</w:t>
            </w:r>
            <w:r>
              <w:rPr>
                <w:rFonts w:hint="eastAsia" w:ascii="宋体" w:hAnsi="宋体" w:eastAsia="方正仿宋_GBK"/>
                <w:color w:val="auto"/>
                <w:kern w:val="0"/>
                <w:szCs w:val="21"/>
                <w:highlight w:val="none"/>
              </w:rPr>
              <w:t>〕</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06"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7</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农村贫困人口脱贫（万人）</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0.6</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2.55</w:t>
            </w:r>
            <w:r>
              <w:rPr>
                <w:rFonts w:hint="eastAsia" w:ascii="宋体" w:hAnsi="宋体" w:eastAsia="方正仿宋_GBK"/>
                <w:color w:val="auto"/>
                <w:kern w:val="0"/>
                <w:szCs w:val="21"/>
                <w:highlight w:val="none"/>
              </w:rPr>
              <w:t>〕</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rPr>
              <w:t>〔</w:t>
            </w:r>
            <w:r>
              <w:rPr>
                <w:rFonts w:hint="eastAsia" w:ascii="宋体" w:hAnsi="宋体" w:eastAsia="方正仿宋_GBK"/>
                <w:color w:val="auto"/>
                <w:kern w:val="0"/>
                <w:szCs w:val="21"/>
                <w:highlight w:val="none"/>
                <w:lang w:val="en-US" w:eastAsia="zh-CN"/>
              </w:rPr>
              <w:t>3.7303</w:t>
            </w:r>
            <w:r>
              <w:rPr>
                <w:rFonts w:hint="eastAsia" w:ascii="宋体" w:hAnsi="宋体" w:eastAsia="方正仿宋_GBK"/>
                <w:color w:val="auto"/>
                <w:kern w:val="0"/>
                <w:szCs w:val="21"/>
                <w:highlight w:val="none"/>
              </w:rPr>
              <w:t>〕</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599"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8</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基本养老保险参保率（</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98</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99</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w:t>
            </w: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100</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p>
        </w:tc>
      </w:tr>
      <w:tr>
        <w:tblPrEx>
          <w:tblLayout w:type="fixed"/>
          <w:tblCellMar>
            <w:top w:w="0" w:type="dxa"/>
            <w:left w:w="108" w:type="dxa"/>
            <w:bottom w:w="0" w:type="dxa"/>
            <w:right w:w="108" w:type="dxa"/>
          </w:tblCellMar>
        </w:tblPrEx>
        <w:trPr>
          <w:trHeight w:val="1130"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1</w:t>
            </w:r>
            <w:r>
              <w:rPr>
                <w:rFonts w:hint="eastAsia" w:ascii="宋体" w:hAnsi="宋体" w:eastAsia="方正仿宋_GBK"/>
                <w:color w:val="auto"/>
                <w:kern w:val="0"/>
                <w:szCs w:val="21"/>
                <w:highlight w:val="none"/>
              </w:rPr>
              <w:t>9</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r>
              <w:rPr>
                <w:rFonts w:hint="eastAsia" w:ascii="宋体" w:hAnsi="宋体" w:eastAsia="方正仿宋_GBK"/>
                <w:b/>
                <w:bCs/>
                <w:color w:val="auto"/>
                <w:kern w:val="0"/>
                <w:szCs w:val="21"/>
                <w:highlight w:val="none"/>
              </w:rPr>
              <w:t>民</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生</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福</w:t>
            </w:r>
            <w:r>
              <w:rPr>
                <w:rFonts w:ascii="宋体" w:hAnsi="宋体" w:eastAsia="方正仿宋_GBK"/>
                <w:b/>
                <w:bCs/>
                <w:color w:val="auto"/>
                <w:kern w:val="0"/>
                <w:szCs w:val="21"/>
                <w:highlight w:val="none"/>
              </w:rPr>
              <w:br w:type="textWrapping"/>
            </w:r>
            <w:r>
              <w:rPr>
                <w:rFonts w:hint="eastAsia" w:ascii="宋体" w:hAnsi="宋体" w:eastAsia="方正仿宋_GBK"/>
                <w:b/>
                <w:bCs/>
                <w:color w:val="auto"/>
                <w:kern w:val="0"/>
                <w:szCs w:val="21"/>
                <w:highlight w:val="none"/>
              </w:rPr>
              <w:t>祉</w:t>
            </w:r>
          </w:p>
        </w:tc>
        <w:tc>
          <w:tcPr>
            <w:tcW w:w="21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安居工程</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textAlignment w:val="auto"/>
              <w:rPr>
                <w:rFonts w:ascii="宋体" w:hAnsi="宋体" w:eastAsia="方正仿宋_GBK"/>
                <w:color w:val="auto"/>
                <w:kern w:val="0"/>
                <w:sz w:val="18"/>
                <w:szCs w:val="18"/>
                <w:highlight w:val="none"/>
              </w:rPr>
            </w:pPr>
            <w:r>
              <w:rPr>
                <w:rFonts w:hint="eastAsia" w:ascii="宋体" w:hAnsi="宋体" w:eastAsia="方正仿宋_GBK"/>
                <w:color w:val="auto"/>
                <w:kern w:val="0"/>
                <w:sz w:val="18"/>
                <w:szCs w:val="18"/>
                <w:highlight w:val="none"/>
              </w:rPr>
              <w:t>城镇棚户区住房改造（万套）</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0.02</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 w:val="18"/>
                <w:szCs w:val="18"/>
                <w:highlight w:val="none"/>
                <w:lang w:val="en-US" w:eastAsia="zh-CN"/>
              </w:rPr>
            </w:pPr>
            <w:r>
              <w:rPr>
                <w:rFonts w:hint="eastAsia" w:ascii="宋体" w:hAnsi="宋体" w:eastAsia="方正仿宋_GBK"/>
                <w:color w:val="auto"/>
                <w:kern w:val="0"/>
                <w:szCs w:val="21"/>
                <w:highlight w:val="none"/>
                <w:lang w:eastAsia="zh-CN"/>
              </w:rPr>
              <w:t>1766套</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20</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方正仿宋_GBK"/>
                <w:color w:val="auto"/>
                <w:kern w:val="0"/>
                <w:szCs w:val="21"/>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textAlignment w:val="auto"/>
              <w:rPr>
                <w:rFonts w:ascii="宋体" w:hAnsi="宋体" w:eastAsia="方正仿宋_GBK"/>
                <w:color w:val="auto"/>
                <w:kern w:val="0"/>
                <w:sz w:val="18"/>
                <w:szCs w:val="18"/>
                <w:highlight w:val="none"/>
              </w:rPr>
            </w:pPr>
            <w:r>
              <w:rPr>
                <w:rFonts w:hint="eastAsia" w:ascii="宋体" w:hAnsi="宋体" w:eastAsia="方正仿宋_GBK"/>
                <w:color w:val="auto"/>
                <w:kern w:val="0"/>
                <w:sz w:val="18"/>
                <w:szCs w:val="18"/>
                <w:highlight w:val="none"/>
              </w:rPr>
              <w:t>农村危房改造和抗震安居工程（万户）</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0.34</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方正仿宋_GBK"/>
                <w:color w:val="auto"/>
                <w:kern w:val="0"/>
                <w:sz w:val="18"/>
                <w:szCs w:val="18"/>
                <w:highlight w:val="none"/>
                <w:lang w:val="en-US" w:eastAsia="zh-CN"/>
              </w:rPr>
            </w:pPr>
            <w:r>
              <w:rPr>
                <w:rFonts w:hint="eastAsia" w:ascii="宋体" w:hAnsi="宋体" w:eastAsia="方正仿宋_GBK"/>
                <w:color w:val="auto"/>
                <w:kern w:val="0"/>
                <w:szCs w:val="21"/>
                <w:highlight w:val="none"/>
                <w:lang w:eastAsia="zh-CN"/>
              </w:rPr>
              <w:t>完成18132</w:t>
            </w:r>
            <w:r>
              <w:rPr>
                <w:rFonts w:hint="eastAsia" w:ascii="宋体" w:hAnsi="宋体" w:eastAsia="方正仿宋_GBK"/>
                <w:color w:val="auto"/>
                <w:kern w:val="0"/>
                <w:szCs w:val="21"/>
                <w:highlight w:val="none"/>
                <w:lang w:val="en-US" w:eastAsia="zh-CN"/>
              </w:rPr>
              <w:t>户</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rPr>
              <w:t>1</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3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人均预期寿命（岁）</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71.6</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72.2</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color w:val="auto"/>
                <w:highlight w:val="none"/>
              </w:rPr>
            </w:pPr>
            <w:r>
              <w:rPr>
                <w:rFonts w:hint="eastAsia" w:ascii="宋体" w:hAnsi="宋体" w:eastAsia="仿宋_GB2312"/>
                <w:color w:val="auto"/>
                <w:kern w:val="0"/>
                <w:szCs w:val="21"/>
                <w:highlight w:val="none"/>
              </w:rPr>
              <w:t>〔</w:t>
            </w:r>
            <w:r>
              <w:rPr>
                <w:rFonts w:ascii="宋体" w:hAnsi="宋体" w:eastAsia="仿宋_GB2312"/>
                <w:color w:val="auto"/>
                <w:kern w:val="0"/>
                <w:szCs w:val="21"/>
                <w:highlight w:val="none"/>
              </w:rPr>
              <w:t>0.6</w:t>
            </w:r>
            <w:r>
              <w:rPr>
                <w:rFonts w:hint="eastAsia" w:ascii="宋体" w:hAnsi="宋体" w:eastAsia="仿宋_GB2312"/>
                <w:color w:val="auto"/>
                <w:kern w:val="0"/>
                <w:szCs w:val="21"/>
                <w:highlight w:val="none"/>
              </w:rPr>
              <w:t>〕</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73.97</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预期性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rPr>
              <w:t>2</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b/>
                <w:bCs/>
                <w:color w:val="auto"/>
                <w:kern w:val="0"/>
                <w:szCs w:val="21"/>
                <w:highlight w:val="none"/>
              </w:rPr>
            </w:pPr>
            <w:r>
              <w:rPr>
                <w:rFonts w:hint="eastAsia" w:ascii="宋体" w:hAnsi="宋体" w:eastAsia="方正仿宋_GBK"/>
                <w:b/>
                <w:bCs/>
                <w:color w:val="auto"/>
                <w:kern w:val="0"/>
                <w:szCs w:val="21"/>
                <w:highlight w:val="none"/>
              </w:rPr>
              <w:t>生态文明</w:t>
            </w:r>
          </w:p>
        </w:tc>
        <w:tc>
          <w:tcPr>
            <w:tcW w:w="3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耕地保有量（万公顷）</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3.1818</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3.181</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color w:val="auto"/>
                <w:highlight w:val="none"/>
              </w:rPr>
            </w:pPr>
            <w:r>
              <w:rPr>
                <w:rFonts w:ascii="宋体" w:hAnsi="宋体" w:eastAsia="仿宋_GB2312"/>
                <w:color w:val="auto"/>
                <w:kern w:val="0"/>
                <w:szCs w:val="21"/>
                <w:highlight w:val="none"/>
              </w:rPr>
              <w:t>—</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3.181</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rPr>
              <w:t>3</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3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万元地区生产总值用水量下降（</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0.03</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ascii="宋体" w:hAnsi="宋体" w:eastAsia="方正仿宋_GBK"/>
                <w:color w:val="auto"/>
                <w:kern w:val="0"/>
                <w:szCs w:val="21"/>
                <w:highlight w:val="none"/>
              </w:rPr>
              <w:t>0.015</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ascii="宋体" w:hAnsi="宋体"/>
                <w:color w:val="auto"/>
                <w:highlight w:val="none"/>
              </w:rPr>
            </w:pPr>
            <w:r>
              <w:rPr>
                <w:rFonts w:hint="eastAsia" w:ascii="宋体" w:hAnsi="宋体" w:eastAsia="仿宋_GB2312"/>
                <w:color w:val="auto"/>
                <w:kern w:val="0"/>
                <w:szCs w:val="21"/>
                <w:highlight w:val="none"/>
              </w:rPr>
              <w:t>〔</w:t>
            </w:r>
            <w:r>
              <w:rPr>
                <w:rFonts w:ascii="宋体" w:hAnsi="宋体" w:eastAsia="仿宋_GB2312"/>
                <w:color w:val="auto"/>
                <w:kern w:val="0"/>
                <w:szCs w:val="21"/>
                <w:highlight w:val="none"/>
              </w:rPr>
              <w:t>0.015</w:t>
            </w:r>
            <w:r>
              <w:rPr>
                <w:rFonts w:hint="eastAsia" w:ascii="宋体" w:hAnsi="宋体" w:eastAsia="仿宋_GB2312"/>
                <w:color w:val="auto"/>
                <w:kern w:val="0"/>
                <w:szCs w:val="21"/>
                <w:highlight w:val="none"/>
              </w:rPr>
              <w:t>〕</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仿宋_GB2312"/>
                <w:color w:val="auto"/>
                <w:kern w:val="0"/>
                <w:szCs w:val="21"/>
                <w:highlight w:val="none"/>
              </w:rPr>
              <w:t>〔</w:t>
            </w:r>
            <w:r>
              <w:rPr>
                <w:rFonts w:ascii="宋体" w:hAnsi="宋体" w:eastAsia="仿宋_GB2312"/>
                <w:color w:val="auto"/>
                <w:kern w:val="0"/>
                <w:szCs w:val="21"/>
                <w:highlight w:val="none"/>
              </w:rPr>
              <w:t>0.015</w:t>
            </w:r>
            <w:r>
              <w:rPr>
                <w:rFonts w:hint="eastAsia" w:ascii="宋体" w:hAnsi="宋体" w:eastAsia="仿宋_GB2312"/>
                <w:color w:val="auto"/>
                <w:kern w:val="0"/>
                <w:szCs w:val="21"/>
                <w:highlight w:val="none"/>
              </w:rPr>
              <w:t>〕</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rPr>
              <w:t>4</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3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非石化能源占一次能源消费比重（</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仿宋_GB2312"/>
                <w:color w:val="auto"/>
                <w:kern w:val="0"/>
                <w:szCs w:val="21"/>
                <w:highlight w:val="none"/>
              </w:rPr>
              <w:t>〔</w:t>
            </w:r>
            <w:r>
              <w:rPr>
                <w:rFonts w:ascii="宋体" w:hAnsi="宋体" w:eastAsia="仿宋_GB2312"/>
                <w:color w:val="auto"/>
                <w:kern w:val="0"/>
                <w:szCs w:val="21"/>
                <w:highlight w:val="none"/>
              </w:rPr>
              <w:t>25.5</w:t>
            </w:r>
            <w:r>
              <w:rPr>
                <w:rFonts w:hint="eastAsia" w:ascii="宋体" w:hAnsi="宋体" w:eastAsia="仿宋_GB2312"/>
                <w:color w:val="auto"/>
                <w:kern w:val="0"/>
                <w:szCs w:val="21"/>
                <w:highlight w:val="none"/>
              </w:rPr>
              <w:t>〕</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color w:val="auto"/>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仿宋_GB2312"/>
                <w:color w:val="auto"/>
                <w:kern w:val="0"/>
                <w:szCs w:val="21"/>
                <w:highlight w:val="none"/>
              </w:rPr>
              <w:t>〔</w:t>
            </w:r>
            <w:r>
              <w:rPr>
                <w:rFonts w:hint="eastAsia" w:ascii="宋体" w:hAnsi="宋体" w:eastAsia="仿宋_GB2312"/>
                <w:color w:val="auto"/>
                <w:kern w:val="0"/>
                <w:szCs w:val="21"/>
                <w:highlight w:val="none"/>
                <w:lang w:val="en-US" w:eastAsia="zh-CN"/>
              </w:rPr>
              <w:t>42</w:t>
            </w:r>
            <w:r>
              <w:rPr>
                <w:rFonts w:hint="eastAsia" w:ascii="宋体" w:hAnsi="宋体" w:eastAsia="仿宋_GB2312"/>
                <w:color w:val="auto"/>
                <w:kern w:val="0"/>
                <w:szCs w:val="21"/>
                <w:highlight w:val="none"/>
              </w:rPr>
              <w:t>〕</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rPr>
              <w:t>5</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3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单位地区生产总值二氧化碳排放降低率（</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仿宋_GB2312"/>
                <w:color w:val="auto"/>
                <w:kern w:val="0"/>
                <w:szCs w:val="21"/>
                <w:highlight w:val="none"/>
              </w:rPr>
              <w:t>〔</w:t>
            </w:r>
            <w:r>
              <w:rPr>
                <w:rFonts w:ascii="宋体" w:hAnsi="宋体" w:eastAsia="仿宋_GB2312"/>
                <w:color w:val="auto"/>
                <w:kern w:val="0"/>
                <w:szCs w:val="21"/>
                <w:highlight w:val="none"/>
              </w:rPr>
              <w:t>18.1</w:t>
            </w:r>
            <w:r>
              <w:rPr>
                <w:rFonts w:hint="eastAsia" w:ascii="宋体" w:hAnsi="宋体" w:eastAsia="仿宋_GB2312"/>
                <w:color w:val="auto"/>
                <w:kern w:val="0"/>
                <w:szCs w:val="21"/>
                <w:highlight w:val="none"/>
              </w:rPr>
              <w:t>〕</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color w:val="auto"/>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2016-2019年均降低4.3%</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rPr>
              <w:t>6</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3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单位地区生产总值能源消耗降低率（</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仿宋_GB2312"/>
                <w:color w:val="auto"/>
                <w:kern w:val="0"/>
                <w:szCs w:val="21"/>
                <w:highlight w:val="none"/>
              </w:rPr>
              <w:t>〔20.8〕</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color w:val="auto"/>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2016-2019年</w:t>
            </w:r>
            <w:r>
              <w:rPr>
                <w:rFonts w:hint="eastAsia" w:ascii="宋体" w:hAnsi="宋体" w:eastAsia="方正仿宋_GBK"/>
                <w:color w:val="auto"/>
                <w:kern w:val="0"/>
                <w:szCs w:val="21"/>
                <w:highlight w:val="none"/>
                <w:lang w:eastAsia="zh-CN"/>
              </w:rPr>
              <w:t>累计下降</w:t>
            </w:r>
            <w:r>
              <w:rPr>
                <w:rFonts w:hint="eastAsia" w:ascii="宋体" w:hAnsi="宋体" w:eastAsia="方正仿宋_GBK"/>
                <w:color w:val="auto"/>
                <w:kern w:val="0"/>
                <w:szCs w:val="21"/>
                <w:highlight w:val="none"/>
                <w:lang w:val="en-US" w:eastAsia="zh-CN"/>
              </w:rPr>
              <w:t>17.74%</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rPr>
              <w:t>7</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主要污染物排放总量减少（</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color w:val="auto"/>
                <w:highlight w:val="none"/>
              </w:rPr>
            </w:pPr>
            <w:r>
              <w:rPr>
                <w:rFonts w:hint="eastAsia" w:ascii="宋体" w:hAnsi="宋体" w:eastAsia="方正仿宋_GBK"/>
                <w:color w:val="auto"/>
                <w:kern w:val="0"/>
                <w:szCs w:val="21"/>
                <w:highlight w:val="none"/>
              </w:rPr>
              <w:t>化学需氧量</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仿宋_GB2312"/>
                <w:color w:val="auto"/>
                <w:kern w:val="0"/>
                <w:szCs w:val="21"/>
                <w:highlight w:val="none"/>
              </w:rPr>
              <w:t>〔</w:t>
            </w:r>
            <w:r>
              <w:rPr>
                <w:rFonts w:ascii="宋体" w:hAnsi="宋体" w:eastAsia="仿宋_GB2312"/>
                <w:color w:val="auto"/>
                <w:kern w:val="0"/>
                <w:szCs w:val="21"/>
                <w:highlight w:val="none"/>
              </w:rPr>
              <w:t>0</w:t>
            </w:r>
            <w:r>
              <w:rPr>
                <w:rFonts w:hint="eastAsia" w:ascii="宋体" w:hAnsi="宋体" w:eastAsia="仿宋_GB2312"/>
                <w:color w:val="auto"/>
                <w:kern w:val="0"/>
                <w:szCs w:val="21"/>
                <w:highlight w:val="none"/>
              </w:rPr>
              <w:t>〕</w:t>
            </w:r>
          </w:p>
        </w:tc>
        <w:tc>
          <w:tcPr>
            <w:tcW w:w="195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ascii="宋体" w:hAnsi="宋体"/>
                <w:color w:val="auto"/>
                <w:highlight w:val="none"/>
              </w:rPr>
            </w:pPr>
          </w:p>
        </w:tc>
        <w:tc>
          <w:tcPr>
            <w:tcW w:w="12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已控制在上级下达目标内</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rPr>
              <w:t>8</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color w:val="auto"/>
                <w:kern w:val="0"/>
                <w:szCs w:val="21"/>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color w:val="auto"/>
                <w:highlight w:val="none"/>
              </w:rPr>
            </w:pPr>
            <w:r>
              <w:rPr>
                <w:rFonts w:hint="eastAsia" w:ascii="宋体" w:hAnsi="宋体" w:eastAsia="方正仿宋_GBK"/>
                <w:color w:val="auto"/>
                <w:kern w:val="0"/>
                <w:szCs w:val="21"/>
                <w:highlight w:val="none"/>
              </w:rPr>
              <w:t>氨氮</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仿宋_GB2312"/>
                <w:color w:val="auto"/>
                <w:kern w:val="0"/>
                <w:szCs w:val="21"/>
                <w:highlight w:val="none"/>
              </w:rPr>
              <w:t>〔</w:t>
            </w:r>
            <w:r>
              <w:rPr>
                <w:rFonts w:ascii="宋体" w:hAnsi="宋体" w:eastAsia="仿宋_GB2312"/>
                <w:color w:val="auto"/>
                <w:kern w:val="0"/>
                <w:szCs w:val="21"/>
                <w:highlight w:val="none"/>
              </w:rPr>
              <w:t>0</w:t>
            </w:r>
            <w:r>
              <w:rPr>
                <w:rFonts w:hint="eastAsia" w:ascii="宋体" w:hAnsi="宋体" w:eastAsia="仿宋_GB2312"/>
                <w:color w:val="auto"/>
                <w:kern w:val="0"/>
                <w:szCs w:val="21"/>
                <w:highlight w:val="none"/>
              </w:rPr>
              <w:t>〕</w:t>
            </w:r>
          </w:p>
        </w:tc>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color w:val="auto"/>
                <w:highlight w:val="none"/>
              </w:rPr>
            </w:pPr>
          </w:p>
        </w:tc>
        <w:tc>
          <w:tcPr>
            <w:tcW w:w="12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方正仿宋_GBK"/>
                <w:color w:val="auto"/>
                <w:kern w:val="0"/>
                <w:szCs w:val="21"/>
                <w:highlight w:val="none"/>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2</w:t>
            </w:r>
            <w:r>
              <w:rPr>
                <w:rFonts w:hint="eastAsia" w:ascii="宋体" w:hAnsi="宋体" w:eastAsia="方正仿宋_GBK"/>
                <w:color w:val="auto"/>
                <w:kern w:val="0"/>
                <w:szCs w:val="21"/>
                <w:highlight w:val="none"/>
              </w:rPr>
              <w:t>9</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color w:val="auto"/>
                <w:kern w:val="0"/>
                <w:szCs w:val="21"/>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color w:val="auto"/>
                <w:highlight w:val="none"/>
              </w:rPr>
            </w:pPr>
            <w:r>
              <w:rPr>
                <w:rFonts w:hint="eastAsia" w:ascii="宋体" w:hAnsi="宋体" w:eastAsia="方正仿宋_GBK"/>
                <w:color w:val="auto"/>
                <w:kern w:val="0"/>
                <w:szCs w:val="21"/>
                <w:highlight w:val="none"/>
              </w:rPr>
              <w:t>二氧化硫</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仿宋_GB2312"/>
                <w:color w:val="auto"/>
                <w:kern w:val="0"/>
                <w:szCs w:val="21"/>
                <w:highlight w:val="none"/>
              </w:rPr>
              <w:t>〔</w:t>
            </w:r>
            <w:r>
              <w:rPr>
                <w:rFonts w:ascii="宋体" w:hAnsi="宋体" w:eastAsia="仿宋_GB2312"/>
                <w:color w:val="auto"/>
                <w:kern w:val="0"/>
                <w:szCs w:val="21"/>
                <w:highlight w:val="none"/>
              </w:rPr>
              <w:t>0</w:t>
            </w:r>
            <w:r>
              <w:rPr>
                <w:rFonts w:hint="eastAsia" w:ascii="宋体" w:hAnsi="宋体" w:eastAsia="仿宋_GB2312"/>
                <w:color w:val="auto"/>
                <w:kern w:val="0"/>
                <w:szCs w:val="21"/>
                <w:highlight w:val="none"/>
              </w:rPr>
              <w:t>〕</w:t>
            </w:r>
          </w:p>
        </w:tc>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color w:val="auto"/>
                <w:highlight w:val="none"/>
              </w:rPr>
            </w:pPr>
          </w:p>
        </w:tc>
        <w:tc>
          <w:tcPr>
            <w:tcW w:w="12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方正仿宋_GBK"/>
                <w:color w:val="auto"/>
                <w:kern w:val="0"/>
                <w:szCs w:val="21"/>
                <w:highlight w:val="none"/>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30</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color w:val="auto"/>
                <w:kern w:val="0"/>
                <w:szCs w:val="21"/>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color w:val="auto"/>
                <w:highlight w:val="none"/>
              </w:rPr>
            </w:pPr>
            <w:r>
              <w:rPr>
                <w:rFonts w:hint="eastAsia" w:ascii="宋体" w:hAnsi="宋体" w:eastAsia="方正仿宋_GBK"/>
                <w:color w:val="auto"/>
                <w:kern w:val="0"/>
                <w:szCs w:val="21"/>
                <w:highlight w:val="none"/>
              </w:rPr>
              <w:t>氮氧化物</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hint="eastAsia" w:ascii="宋体" w:hAnsi="宋体" w:eastAsia="仿宋_GB2312"/>
                <w:color w:val="auto"/>
                <w:kern w:val="0"/>
                <w:szCs w:val="21"/>
                <w:highlight w:val="none"/>
              </w:rPr>
              <w:t>〔</w:t>
            </w:r>
            <w:r>
              <w:rPr>
                <w:rFonts w:ascii="宋体" w:hAnsi="宋体" w:eastAsia="仿宋_GB2312"/>
                <w:color w:val="auto"/>
                <w:kern w:val="0"/>
                <w:szCs w:val="21"/>
                <w:highlight w:val="none"/>
              </w:rPr>
              <w:t>0</w:t>
            </w:r>
            <w:r>
              <w:rPr>
                <w:rFonts w:hint="eastAsia" w:ascii="宋体" w:hAnsi="宋体" w:eastAsia="仿宋_GB2312"/>
                <w:color w:val="auto"/>
                <w:kern w:val="0"/>
                <w:szCs w:val="21"/>
                <w:highlight w:val="none"/>
              </w:rPr>
              <w:t>〕</w:t>
            </w:r>
          </w:p>
        </w:tc>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color w:val="auto"/>
                <w:highlight w:val="none"/>
              </w:rPr>
            </w:pPr>
          </w:p>
        </w:tc>
        <w:tc>
          <w:tcPr>
            <w:tcW w:w="12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eastAsia="方正仿宋_GBK"/>
                <w:color w:val="auto"/>
                <w:kern w:val="0"/>
                <w:szCs w:val="21"/>
                <w:highlight w:val="none"/>
                <w:lang w:val="en-US" w:eastAsia="zh-CN"/>
              </w:rPr>
            </w:pP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r>
              <w:rPr>
                <w:rFonts w:hint="eastAsia" w:ascii="宋体" w:hAnsi="宋体" w:eastAsia="方正仿宋_GBK"/>
                <w:color w:val="auto"/>
                <w:kern w:val="0"/>
                <w:szCs w:val="21"/>
                <w:highlight w:val="none"/>
              </w:rPr>
              <w:t>约束性</w:t>
            </w: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3</w:t>
            </w:r>
            <w:r>
              <w:rPr>
                <w:rFonts w:hint="eastAsia" w:ascii="宋体" w:hAnsi="宋体" w:eastAsia="方正仿宋_GBK"/>
                <w:color w:val="auto"/>
                <w:kern w:val="0"/>
                <w:szCs w:val="21"/>
                <w:highlight w:val="none"/>
              </w:rPr>
              <w:t>1</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eastAsia="方正仿宋_GBK"/>
                <w:color w:val="auto"/>
                <w:kern w:val="0"/>
                <w:szCs w:val="21"/>
                <w:highlight w:val="none"/>
              </w:rPr>
            </w:pPr>
            <w:r>
              <w:rPr>
                <w:rFonts w:hint="eastAsia" w:ascii="宋体" w:hAnsi="宋体" w:eastAsia="方正仿宋_GBK"/>
                <w:color w:val="auto"/>
                <w:kern w:val="0"/>
                <w:szCs w:val="21"/>
                <w:highlight w:val="none"/>
              </w:rPr>
              <w:t>森林增长</w:t>
            </w: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color w:val="auto"/>
                <w:highlight w:val="none"/>
              </w:rPr>
            </w:pPr>
            <w:r>
              <w:rPr>
                <w:rFonts w:hint="eastAsia" w:ascii="宋体" w:hAnsi="宋体" w:eastAsia="方正仿宋_GBK"/>
                <w:color w:val="auto"/>
                <w:kern w:val="0"/>
                <w:szCs w:val="21"/>
                <w:highlight w:val="none"/>
              </w:rPr>
              <w:t>森林覆盖率（</w:t>
            </w:r>
            <w:r>
              <w:rPr>
                <w:rFonts w:ascii="宋体" w:hAnsi="宋体" w:eastAsia="方正仿宋_GBK"/>
                <w:color w:val="auto"/>
                <w:kern w:val="0"/>
                <w:szCs w:val="21"/>
                <w:highlight w:val="none"/>
              </w:rPr>
              <w:t>%</w:t>
            </w:r>
            <w:r>
              <w:rPr>
                <w:rFonts w:hint="eastAsia" w:ascii="宋体" w:hAnsi="宋体" w:eastAsia="方正仿宋_GBK"/>
                <w:color w:val="auto"/>
                <w:kern w:val="0"/>
                <w:szCs w:val="21"/>
                <w:highlight w:val="none"/>
              </w:rPr>
              <w:t>）</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eastAsia="zh-CN"/>
              </w:rPr>
            </w:pPr>
            <w:r>
              <w:rPr>
                <w:rFonts w:ascii="宋体" w:hAnsi="宋体" w:eastAsia="方正仿宋_GBK"/>
                <w:color w:val="auto"/>
                <w:kern w:val="0"/>
                <w:szCs w:val="21"/>
                <w:highlight w:val="none"/>
              </w:rPr>
              <w:t>53.</w:t>
            </w:r>
            <w:r>
              <w:rPr>
                <w:rFonts w:hint="eastAsia" w:ascii="宋体" w:hAnsi="宋体" w:eastAsia="方正仿宋_GBK"/>
                <w:color w:val="auto"/>
                <w:kern w:val="0"/>
                <w:szCs w:val="21"/>
                <w:highlight w:val="none"/>
                <w:lang w:val="en-US" w:eastAsia="zh-CN"/>
              </w:rPr>
              <w:t>3</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Theme="minorEastAsia"/>
                <w:color w:val="auto"/>
                <w:highlight w:val="none"/>
                <w:lang w:val="en-US" w:eastAsia="zh-CN"/>
              </w:rPr>
            </w:pPr>
            <w:r>
              <w:rPr>
                <w:rFonts w:hint="eastAsia" w:ascii="宋体" w:hAnsi="宋体" w:eastAsia="方正仿宋_GBK"/>
                <w:color w:val="auto"/>
                <w:kern w:val="0"/>
                <w:szCs w:val="21"/>
                <w:highlight w:val="none"/>
                <w:lang w:val="en-US" w:eastAsia="zh-CN"/>
              </w:rPr>
              <w:t>53.3</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color w:val="auto"/>
                <w:highlight w:val="none"/>
              </w:rPr>
            </w:pPr>
            <w:r>
              <w:rPr>
                <w:rFonts w:hint="eastAsia" w:ascii="宋体" w:hAnsi="宋体" w:eastAsia="仿宋_GB2312"/>
                <w:color w:val="auto"/>
                <w:kern w:val="0"/>
                <w:szCs w:val="21"/>
                <w:highlight w:val="none"/>
              </w:rPr>
              <w:t>〔</w:t>
            </w:r>
            <w:r>
              <w:rPr>
                <w:rFonts w:hint="eastAsia" w:ascii="宋体" w:hAnsi="宋体" w:eastAsia="仿宋_GB2312"/>
                <w:color w:val="auto"/>
                <w:kern w:val="0"/>
                <w:szCs w:val="21"/>
                <w:highlight w:val="none"/>
                <w:lang w:val="en-US" w:eastAsia="zh-CN"/>
              </w:rPr>
              <w:t>0</w:t>
            </w:r>
            <w:r>
              <w:rPr>
                <w:rFonts w:hint="eastAsia" w:ascii="宋体" w:hAnsi="宋体" w:eastAsia="仿宋_GB2312"/>
                <w:color w:val="auto"/>
                <w:kern w:val="0"/>
                <w:szCs w:val="21"/>
                <w:highlight w:val="none"/>
              </w:rPr>
              <w:t>〕</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54.83</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p>
        </w:tc>
      </w:tr>
      <w:tr>
        <w:tblPrEx>
          <w:tblLayout w:type="fixed"/>
          <w:tblCellMar>
            <w:top w:w="0" w:type="dxa"/>
            <w:left w:w="108" w:type="dxa"/>
            <w:bottom w:w="0" w:type="dxa"/>
            <w:right w:w="108" w:type="dxa"/>
          </w:tblCellMar>
        </w:tblPrEx>
        <w:trPr>
          <w:trHeight w:val="614" w:hRule="atLeast"/>
        </w:trPr>
        <w:tc>
          <w:tcPr>
            <w:tcW w:w="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3</w:t>
            </w:r>
            <w:r>
              <w:rPr>
                <w:rFonts w:hint="eastAsia" w:ascii="宋体" w:hAnsi="宋体" w:eastAsia="方正仿宋_GBK"/>
                <w:color w:val="auto"/>
                <w:kern w:val="0"/>
                <w:szCs w:val="21"/>
                <w:highlight w:val="none"/>
              </w:rPr>
              <w:t>2</w:t>
            </w:r>
          </w:p>
        </w:tc>
        <w:tc>
          <w:tcPr>
            <w:tcW w:w="6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b/>
                <w:bCs/>
                <w:color w:val="auto"/>
                <w:kern w:val="0"/>
                <w:szCs w:val="21"/>
                <w:highlight w:val="none"/>
              </w:rPr>
            </w:pPr>
          </w:p>
        </w:tc>
        <w:tc>
          <w:tcPr>
            <w:tcW w:w="21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宋体" w:hAnsi="宋体" w:eastAsia="方正仿宋_GBK"/>
                <w:color w:val="auto"/>
                <w:kern w:val="0"/>
                <w:szCs w:val="21"/>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宋体" w:hAnsi="宋体"/>
                <w:color w:val="auto"/>
                <w:highlight w:val="none"/>
              </w:rPr>
            </w:pPr>
            <w:r>
              <w:rPr>
                <w:rFonts w:hint="eastAsia" w:ascii="宋体" w:hAnsi="宋体" w:eastAsia="方正仿宋_GBK"/>
                <w:color w:val="auto"/>
                <w:kern w:val="0"/>
                <w:szCs w:val="21"/>
                <w:highlight w:val="none"/>
              </w:rPr>
              <w:t>森林蓄积量（万立方米）</w:t>
            </w:r>
          </w:p>
        </w:tc>
        <w:tc>
          <w:tcPr>
            <w:tcW w:w="1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eastAsia="方正仿宋_GBK"/>
                <w:color w:val="auto"/>
                <w:kern w:val="0"/>
                <w:szCs w:val="21"/>
                <w:highlight w:val="none"/>
              </w:rPr>
            </w:pPr>
            <w:r>
              <w:rPr>
                <w:rFonts w:ascii="宋体" w:hAnsi="宋体" w:eastAsia="方正仿宋_GBK"/>
                <w:color w:val="auto"/>
                <w:kern w:val="0"/>
                <w:szCs w:val="21"/>
                <w:highlight w:val="none"/>
              </w:rPr>
              <w:t>300.1</w:t>
            </w:r>
          </w:p>
        </w:tc>
        <w:tc>
          <w:tcPr>
            <w:tcW w:w="9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color w:val="auto"/>
                <w:highlight w:val="none"/>
              </w:rPr>
            </w:pPr>
            <w:r>
              <w:rPr>
                <w:rFonts w:ascii="宋体" w:hAnsi="宋体" w:eastAsia="方正仿宋_GBK"/>
                <w:color w:val="auto"/>
                <w:kern w:val="0"/>
                <w:szCs w:val="21"/>
                <w:highlight w:val="none"/>
              </w:rPr>
              <w:t>315.1</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宋体" w:hAnsi="宋体"/>
                <w:color w:val="auto"/>
                <w:highlight w:val="none"/>
              </w:rPr>
            </w:pPr>
            <w:r>
              <w:rPr>
                <w:rFonts w:ascii="宋体" w:hAnsi="宋体" w:eastAsia="方正仿宋_GBK"/>
                <w:b w:val="0"/>
                <w:bCs w:val="0"/>
                <w:color w:val="auto"/>
                <w:kern w:val="0"/>
                <w:szCs w:val="21"/>
                <w:highlight w:val="none"/>
              </w:rPr>
              <w:t>5%</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lang w:val="en-US" w:eastAsia="zh-CN"/>
              </w:rPr>
            </w:pPr>
            <w:r>
              <w:rPr>
                <w:rFonts w:hint="eastAsia" w:ascii="宋体" w:hAnsi="宋体" w:eastAsia="方正仿宋_GBK"/>
                <w:color w:val="auto"/>
                <w:kern w:val="0"/>
                <w:szCs w:val="21"/>
                <w:highlight w:val="none"/>
                <w:lang w:val="en-US" w:eastAsia="zh-CN"/>
              </w:rPr>
              <w:t>332.1</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方正仿宋_GBK"/>
                <w:color w:val="auto"/>
                <w:kern w:val="0"/>
                <w:szCs w:val="21"/>
                <w:highlight w:val="none"/>
              </w:rPr>
            </w:pPr>
          </w:p>
        </w:tc>
      </w:tr>
    </w:tbl>
    <w:p>
      <w:pPr>
        <w:pStyle w:val="4"/>
        <w:keepNext/>
        <w:keepLines/>
        <w:pageBreakBefore w:val="0"/>
        <w:widowControl w:val="0"/>
        <w:kinsoku/>
        <w:wordWrap/>
        <w:overflowPunct/>
        <w:topLinePunct w:val="0"/>
        <w:autoSpaceDE/>
        <w:autoSpaceDN/>
        <w:bidi w:val="0"/>
        <w:adjustRightInd/>
        <w:snapToGrid/>
        <w:spacing w:before="316" w:beforeLines="100" w:beforeAutospacing="0" w:after="316" w:afterLines="100" w:afterAutospacing="0" w:line="560" w:lineRule="exact"/>
        <w:jc w:val="both"/>
        <w:textAlignment w:val="auto"/>
        <w:outlineLvl w:val="1"/>
        <w:rPr>
          <w:rFonts w:hint="eastAsia" w:ascii="宋体" w:hAnsi="宋体" w:eastAsia="方正小标宋_GBK" w:cs="方正小标宋_GBK"/>
          <w:b w:val="0"/>
          <w:bCs/>
          <w:color w:val="auto"/>
          <w:sz w:val="32"/>
          <w:szCs w:val="32"/>
          <w:highlight w:val="none"/>
          <w:lang w:val="en-US" w:eastAsia="zh-CN"/>
        </w:rPr>
      </w:pPr>
      <w:bookmarkStart w:id="15" w:name="_Toc23912_WPSOffice_Level2"/>
      <w:bookmarkStart w:id="16" w:name="_Toc2466_WPSOffice_Level3"/>
      <w:bookmarkStart w:id="17" w:name="_Toc18772"/>
    </w:p>
    <w:bookmarkEnd w:id="13"/>
    <w:bookmarkEnd w:id="14"/>
    <w:bookmarkEnd w:id="15"/>
    <w:bookmarkEnd w:id="16"/>
    <w:bookmarkEnd w:id="17"/>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1" w:firstLineChars="0"/>
        <w:jc w:val="both"/>
        <w:textAlignment w:val="auto"/>
        <w:outlineLvl w:val="9"/>
        <w:rPr>
          <w:rFonts w:hint="eastAsia" w:ascii="宋体" w:hAnsi="宋体" w:eastAsia="方正仿宋简体" w:cs="方正仿宋简体"/>
          <w:b w:val="0"/>
          <w:color w:val="auto"/>
          <w:kern w:val="2"/>
          <w:sz w:val="32"/>
          <w:szCs w:val="32"/>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第二章　“十四五”时期发展面临的机遇挑战</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1" w:firstLineChars="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1" w:firstLineChars="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“十四五”时期是我国开启第二个百年奋斗目标新征程的关键期，我县发展环境面临重大而深刻的变化，条分缕析研判形势，辨危识机加快发展刻不容缓。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0"/>
          <w:szCs w:val="30"/>
          <w:highlight w:val="none"/>
          <w:lang w:val="en-US" w:eastAsia="zh-CN"/>
        </w:rPr>
      </w:pPr>
      <w:bookmarkStart w:id="18" w:name="_Toc6881"/>
      <w:bookmarkStart w:id="19" w:name="_Toc13911_WPSOffice_Level3"/>
      <w:r>
        <w:rPr>
          <w:rFonts w:hint="eastAsia" w:ascii="宋体" w:hAnsi="宋体" w:eastAsia="方正楷体_GBK" w:cs="方正楷体_GBK"/>
          <w:b w:val="0"/>
          <w:bCs w:val="0"/>
          <w:color w:val="auto"/>
          <w:sz w:val="30"/>
          <w:szCs w:val="30"/>
          <w:highlight w:val="none"/>
          <w:lang w:val="en-US" w:eastAsia="zh-CN"/>
        </w:rPr>
        <w:t>第一节  “十四五”时期发展面临的重要机遇</w:t>
      </w:r>
      <w:bookmarkEnd w:id="18"/>
      <w:bookmarkEnd w:id="19"/>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十四五”时期是西畴重大战略机遇叠加期，习近平总书记两次考察云南，亲自为云南擘画蓝图，明确了“三个定位”的战略目标，为西畴高质量跨越式发展指明了方向、提供了遵循。党的十九届五中全会提出了加大山水林田湖草系统治理，构建以国家公园为主体的自然保护地体系，推进石漠化综合治理，加大对欠发达地区财力支持等一系列新举措，为西畴加快发展提供了强大政策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kern w:val="0"/>
          <w:sz w:val="32"/>
          <w:szCs w:val="32"/>
          <w:highlight w:val="none"/>
          <w:lang w:val="en-US" w:eastAsia="zh-CN" w:bidi="ar-SA"/>
        </w:rPr>
        <w:t>“西畴精神”的迸发力将更大程度释放。</w:t>
      </w:r>
      <w:r>
        <w:rPr>
          <w:rFonts w:hint="eastAsia" w:ascii="宋体" w:hAnsi="宋体" w:eastAsia="方正仿宋_GBK" w:cs="方正仿宋简体"/>
          <w:b w:val="0"/>
          <w:color w:val="auto"/>
          <w:kern w:val="2"/>
          <w:sz w:val="32"/>
          <w:szCs w:val="32"/>
          <w:highlight w:val="none"/>
          <w:lang w:val="en-US" w:eastAsia="zh-CN" w:bidi="ar-SA"/>
        </w:rPr>
        <w:t>从“等不是办法，干才有希望”到“不等不靠不懈怠，苦干实干加油干”“西畴精神”不断赋予新的时代内涵。在全面开创现代化建设进程中，“西畴精神”持续弘扬推广，在争资金、争项目、争技术、争人才、争市场、争创新提供了新机遇，为西畴开启全面建设社会主义现代化国家新征程奠定了坚实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kern w:val="0"/>
          <w:sz w:val="32"/>
          <w:szCs w:val="32"/>
          <w:highlight w:val="none"/>
          <w:lang w:val="en-US" w:eastAsia="zh-CN" w:bidi="ar-SA"/>
        </w:rPr>
        <w:t>“三农”发展地位将更加凸显。</w:t>
      </w:r>
      <w:r>
        <w:rPr>
          <w:rFonts w:hint="eastAsia" w:ascii="宋体" w:hAnsi="宋体" w:eastAsia="方正仿宋_GBK" w:cs="方正仿宋简体"/>
          <w:b w:val="0"/>
          <w:color w:val="auto"/>
          <w:kern w:val="2"/>
          <w:sz w:val="32"/>
          <w:szCs w:val="32"/>
          <w:highlight w:val="none"/>
          <w:lang w:val="en-US" w:eastAsia="zh-CN" w:bidi="ar-SA"/>
        </w:rPr>
        <w:t>“十四五”时期，农业农村优先发展战略地位进一步提高，中央进一步明确和强化各级政府对“三农”投入责任，公共财政、地方债券、专项债券、社会资本会更大力度向“三农”倾斜和引入，省州党委明确支持高原特色农业建设各项政策举措，对农业产业发展有很大的促进和推动作用。</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2" w:firstLineChars="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kern w:val="0"/>
          <w:sz w:val="32"/>
          <w:szCs w:val="32"/>
          <w:highlight w:val="none"/>
          <w:lang w:val="en-US" w:eastAsia="zh-CN" w:bidi="ar-SA"/>
        </w:rPr>
        <w:t>国家投入将持续加大。</w:t>
      </w:r>
      <w:r>
        <w:rPr>
          <w:rFonts w:hint="eastAsia" w:ascii="宋体" w:hAnsi="宋体" w:eastAsia="方正仿宋_GBK" w:cs="方正仿宋简体"/>
          <w:b w:val="0"/>
          <w:color w:val="auto"/>
          <w:kern w:val="2"/>
          <w:sz w:val="32"/>
          <w:szCs w:val="32"/>
          <w:highlight w:val="none"/>
          <w:lang w:val="en-US" w:eastAsia="zh-CN" w:bidi="ar-SA"/>
        </w:rPr>
        <w:t>党的十九大报告提出：加大力度支持革命老区、民族地区、边疆地区、贫困地区加快发展。“十四五”时期，是左右江革命老区振兴规划实施的收官时期，为确保“到2025年，综合经济实力大幅提升，安全高效的综合交通运输体系全面建成，现代产业体系基本确立，工业化、信息化、城镇化、农业现代化实现同步发展，兼容并包的开放型经济新体制基本建成，生态文明建设取得重大进展，活力老区、美丽老区、幸福老区、文化老区全面建成”目标实现，国家在相关基础设施建设方面会优先安排建设。滇桂黔石漠化片区区域发展、乡村振兴、“两新一重”基础设施建设加快推进，全省全州基础设施全面提速，万亿级、千亿级产业加速布局，为我县产业发展注入强大动能。加之新型工业化、城镇化、信息化、农业现代化加速发展，现代化产业体系加快构建，增加了区域加快高质量发展的机遇。</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2" w:firstLineChars="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kern w:val="0"/>
          <w:sz w:val="32"/>
          <w:szCs w:val="32"/>
          <w:highlight w:val="none"/>
          <w:lang w:val="en-US" w:eastAsia="zh-CN" w:bidi="ar-SA"/>
        </w:rPr>
        <w:t>区域协调发展前景将更为广阔。</w:t>
      </w:r>
      <w:r>
        <w:rPr>
          <w:rFonts w:hint="eastAsia" w:ascii="宋体" w:hAnsi="宋体" w:eastAsia="方正仿宋_GBK" w:cs="方正仿宋简体"/>
          <w:b w:val="0"/>
          <w:color w:val="auto"/>
          <w:kern w:val="2"/>
          <w:sz w:val="32"/>
          <w:szCs w:val="32"/>
          <w:highlight w:val="none"/>
          <w:lang w:val="en-US" w:eastAsia="zh-CN" w:bidi="ar-SA"/>
        </w:rPr>
        <w:t>“一带一路”、新一轮西部大开发、粤港澳大湾区、“大循环和双循环”“面向南亚东南亚辐射中心”建设等国家和省发展战略深入推进，以及新发展格局加快构建，区域协调发展前景将更为广阔。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投资促进走向新时代。</w:t>
      </w:r>
      <w:r>
        <w:rPr>
          <w:rFonts w:hint="eastAsia" w:ascii="宋体" w:hAnsi="宋体" w:eastAsia="方正仿宋_GBK" w:cs="方正仿宋简体"/>
          <w:b w:val="0"/>
          <w:color w:val="auto"/>
          <w:kern w:val="2"/>
          <w:sz w:val="32"/>
          <w:szCs w:val="32"/>
          <w:highlight w:val="none"/>
          <w:lang w:val="en-US" w:eastAsia="zh-CN" w:bidi="ar-SA"/>
        </w:rPr>
        <w:t>沿边高速与沿边铁路两条运输动脉在我县区域内实现横向“双线”重合，泸州到天保高速和关岭至天保铁路纵向“双线”重合，西畴从文山州“死角”变为中心，西畴区位优势不断显现，发展环境日益改善，为西畴融入国内大循环和国际国内双循环提供了前所未有的机遇,特别在参与“东南亚南亚辐射中心</w:t>
      </w:r>
      <w:r>
        <w:rPr>
          <w:rFonts w:hint="default" w:ascii="宋体" w:hAnsi="宋体" w:eastAsia="方正仿宋_GBK" w:cs="方正仿宋简体"/>
          <w:b w:val="0"/>
          <w:color w:val="auto"/>
          <w:kern w:val="2"/>
          <w:sz w:val="32"/>
          <w:szCs w:val="32"/>
          <w:highlight w:val="none"/>
          <w:lang w:val="en-US" w:eastAsia="zh-CN" w:bidi="ar-SA"/>
        </w:rPr>
        <w:t>”</w:t>
      </w:r>
      <w:r>
        <w:rPr>
          <w:rFonts w:hint="eastAsia" w:ascii="宋体" w:hAnsi="宋体" w:eastAsia="方正仿宋_GBK" w:cs="方正仿宋简体"/>
          <w:b w:val="0"/>
          <w:color w:val="auto"/>
          <w:kern w:val="2"/>
          <w:sz w:val="32"/>
          <w:szCs w:val="32"/>
          <w:highlight w:val="none"/>
          <w:lang w:val="en-US" w:eastAsia="zh-CN" w:bidi="ar-SA"/>
        </w:rPr>
        <w:t>产业链延伸构建中，社会资本参与经济社会发展建设的空间巨大，招商引资难的时代将成为过去。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0"/>
          <w:szCs w:val="30"/>
          <w:highlight w:val="none"/>
          <w:lang w:val="en-US" w:eastAsia="zh-CN"/>
        </w:rPr>
      </w:pPr>
      <w:bookmarkStart w:id="20" w:name="_Toc23912_WPSOffice_Level3"/>
      <w:bookmarkStart w:id="21" w:name="_Toc21595"/>
      <w:bookmarkStart w:id="22" w:name="_Toc9582"/>
      <w:bookmarkStart w:id="23" w:name="_Toc4755_WPSOffice_Level2"/>
      <w:r>
        <w:rPr>
          <w:rFonts w:hint="eastAsia" w:ascii="宋体" w:hAnsi="宋体" w:eastAsia="方正楷体_GBK" w:cs="方正楷体_GBK"/>
          <w:b w:val="0"/>
          <w:bCs w:val="0"/>
          <w:color w:val="auto"/>
          <w:sz w:val="30"/>
          <w:szCs w:val="30"/>
          <w:highlight w:val="none"/>
          <w:lang w:val="en-US" w:eastAsia="zh-CN"/>
        </w:rPr>
        <w:t>第二节  “十四五”时期发展面临的严峻挑战</w:t>
      </w:r>
      <w:bookmarkEnd w:id="20"/>
      <w:bookmarkEnd w:id="21"/>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从国际上看，世界面临百年未有之大变局，新一轮科技变革加速推进，以区块链、5G运用、人工智能、物联网等为代表的新一代信息技术更为广泛深入地渗透到经济社会各领域，各国、各地区围绕颠覆性技术抢占发展制高点竞争激烈；新冠肺炎疫情在全球持续蔓延，给全球经济社会发展带来深远影响，世界经济深度衰退、复苏乏力，经济全球化遭遇逆流，保护主义、单边主义影响不容忽视，全球产业链供应链面临重构；国际力量格局加速演进，地缘政治风险上升，不稳定不确定因素增加。</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从国内来看，我国社会主义现代化建设迈进新征程，正处在转变发展方式、优化经济结构、转换增长动力的攻关期，经济发展前景向好，但也面临着结构性、体制性、周期性问题相互交织所带来的困难和挑战，加上新冠肺炎疫情冲击，我国经济运行面临较大压力。</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从全县来看，未来五年，高质量跨越式发展仍然是西畴的主题，但也面临许多矛盾和挑战，主要表现在：发展不平衡不充分、经济总量小、结构层次低、要素瓶颈制约明显，支撑能力不强；财政收支和政府债务化解压力大，防范化解各类风险挑战更加严峻；应急管理体制机制不完善，共建共治共享的社会治理体系尚未形成；生态环境优势作用发挥不明显，经济社会发展与环境承载能力不相匹配；优质公共服务供给仍然不足，幼有所育、学有所教、病有所医、老有所养、住有所居、弱有所扶等民生领域短板还需改善；群众身边的腐败问题时有发生，构建风清气正的政治生态还需加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kern w:val="0"/>
          <w:sz w:val="32"/>
          <w:szCs w:val="32"/>
          <w:highlight w:val="none"/>
          <w:lang w:val="en-US" w:eastAsia="zh-CN" w:bidi="ar-SA"/>
        </w:rPr>
        <w:t>新发展优势显现还需一定时间。</w:t>
      </w:r>
      <w:r>
        <w:rPr>
          <w:rFonts w:hint="eastAsia" w:ascii="宋体" w:hAnsi="宋体" w:eastAsia="方正仿宋_GBK" w:cs="方正仿宋简体"/>
          <w:b w:val="0"/>
          <w:color w:val="auto"/>
          <w:kern w:val="2"/>
          <w:sz w:val="32"/>
          <w:szCs w:val="32"/>
          <w:highlight w:val="none"/>
          <w:lang w:val="en-US" w:eastAsia="zh-CN" w:bidi="ar-SA"/>
        </w:rPr>
        <w:t>天文、那兴、沿边高速公路、沿边铁路、关天铁路建成使用还需时日，社会资本融入发展需要一定过程，只有立体化、快速化的交通运输格局形成，社会资本高速融入发展并产生积极成果后，才能真正推动区域经济高质量跨越式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kern w:val="0"/>
          <w:sz w:val="32"/>
          <w:szCs w:val="32"/>
          <w:highlight w:val="none"/>
          <w:lang w:val="en-US" w:eastAsia="zh-CN" w:bidi="ar-SA"/>
        </w:rPr>
        <w:t>农业规模化规范化节约集约化经营建设路程慢长。</w:t>
      </w:r>
      <w:r>
        <w:rPr>
          <w:rFonts w:hint="eastAsia" w:ascii="宋体" w:hAnsi="宋体" w:eastAsia="方正仿宋_GBK" w:cs="方正仿宋简体"/>
          <w:b w:val="0"/>
          <w:color w:val="auto"/>
          <w:kern w:val="2"/>
          <w:sz w:val="32"/>
          <w:szCs w:val="32"/>
          <w:highlight w:val="none"/>
          <w:lang w:val="en-US" w:eastAsia="zh-CN" w:bidi="ar-SA"/>
        </w:rPr>
        <w:t>西畴地质地貌的特殊性，造成农业生产立地条件差，在农业农村优先发展先行条件下，要形成基本适应现代农业发展需要的农产品生产基地（园区），还需更大强度投入，基础设施改善、农业科技利用、农产品深加工还有很长的路要走，农业效益在短期内难于全面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kern w:val="0"/>
          <w:sz w:val="32"/>
          <w:szCs w:val="32"/>
          <w:highlight w:val="none"/>
          <w:lang w:val="en-US" w:eastAsia="zh-CN" w:bidi="ar-SA"/>
        </w:rPr>
        <w:t>工业仍处于艰难发展阶段。</w:t>
      </w:r>
      <w:r>
        <w:rPr>
          <w:rFonts w:hint="eastAsia" w:ascii="宋体" w:hAnsi="宋体" w:eastAsia="方正仿宋_GBK" w:cs="方正仿宋简体"/>
          <w:b w:val="0"/>
          <w:color w:val="auto"/>
          <w:kern w:val="2"/>
          <w:sz w:val="32"/>
          <w:szCs w:val="32"/>
          <w:highlight w:val="none"/>
          <w:lang w:val="en-US" w:eastAsia="zh-CN" w:bidi="ar-SA"/>
        </w:rPr>
        <w:t>西畴工业发展基础较为薄弱，资源消耗类企业比重较大，资源深加工类较弱，群众发展意识转变难度大，引入或培育工业企业需要一定过程，工业效益难于在短期内显现。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kern w:val="0"/>
          <w:sz w:val="32"/>
          <w:szCs w:val="32"/>
          <w:highlight w:val="none"/>
          <w:lang w:val="en-US" w:eastAsia="zh-CN" w:bidi="ar-SA"/>
        </w:rPr>
        <w:t>第三产业扩容难度大。</w:t>
      </w:r>
      <w:r>
        <w:rPr>
          <w:rFonts w:hint="eastAsia" w:ascii="宋体" w:hAnsi="宋体" w:eastAsia="方正仿宋_GBK" w:cs="方正仿宋简体"/>
          <w:b w:val="0"/>
          <w:color w:val="auto"/>
          <w:kern w:val="2"/>
          <w:sz w:val="32"/>
          <w:szCs w:val="32"/>
          <w:highlight w:val="none"/>
          <w:lang w:val="en-US" w:eastAsia="zh-CN" w:bidi="ar-SA"/>
        </w:rPr>
        <w:t>内外贸易、医养康、物流、旅游尚未形成，还需加大投入，由于区位人才市场限制，高科技产业和新兴产业难于落地，加之现有外贸进出口经营权企业小、经营窄、资金少、视野差、市场弱，需要长时间进行扶持和培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_GBK"/>
          <w:b/>
          <w:bCs/>
          <w:color w:val="auto"/>
          <w:kern w:val="0"/>
          <w:sz w:val="32"/>
          <w:szCs w:val="32"/>
          <w:highlight w:val="none"/>
          <w:lang w:eastAsia="zh-CN"/>
        </w:rPr>
        <w:t>国家和省主体功能区建设的要求更为严格。</w:t>
      </w:r>
      <w:r>
        <w:rPr>
          <w:rFonts w:hint="eastAsia" w:ascii="宋体" w:hAnsi="宋体" w:eastAsia="方正仿宋_GBK" w:cs="方正仿宋简体"/>
          <w:b w:val="0"/>
          <w:color w:val="auto"/>
          <w:kern w:val="2"/>
          <w:sz w:val="32"/>
          <w:szCs w:val="32"/>
          <w:highlight w:val="none"/>
          <w:lang w:val="en-US" w:eastAsia="zh-CN" w:bidi="ar-SA"/>
        </w:rPr>
        <w:t>我县属于国家级限制开发区，土地、生态、城镇建设边际控制更为严格，当地矿产资源利用难度加大。同时，城镇化进程、传统产业优化、发展空间布局、基础设施、公共服务、创新驱动还需要进一步加强。</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仿宋_GBK" w:cs="方正小标宋_GBK"/>
          <w:b w:val="0"/>
          <w:bCs/>
          <w:color w:val="auto"/>
          <w:sz w:val="32"/>
          <w:szCs w:val="32"/>
          <w:highlight w:val="none"/>
          <w:lang w:val="en-US" w:eastAsia="zh-CN"/>
        </w:rPr>
      </w:pPr>
      <w:bookmarkStart w:id="24" w:name="_Toc7549"/>
      <w:bookmarkStart w:id="25" w:name="_Toc8925_WPSOffice_Level2"/>
      <w:bookmarkStart w:id="26" w:name="_Toc2466_WPSOffice_Level2"/>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第三章  二О三五年基本实现社会主义现代化远景目标</w:t>
      </w:r>
      <w:bookmarkEnd w:id="24"/>
      <w:bookmarkEnd w:id="25"/>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展望二О三五年，地区生产总值在“十三五”末的基础上翻两番，人民生活水平基本接近全省平均水平，创新驱动、民生福祉、生态环境、安全保障等指标体系达到全省平均水平，产业结构达到三二一目标，兴（街）西（洒）经济带成为面向南亚东南亚及东南沿海进出口商品加工和商贸物流集散地。“平安西畴”建设达到更高水平，民族团结更加巩固，西畴更加美好，与全国、全省、全州基本同步实现社会主义现代化。</w:t>
      </w:r>
    </w:p>
    <w:p>
      <w:pPr>
        <w:rPr>
          <w:rFonts w:hint="eastAsia" w:ascii="宋体" w:hAnsi="宋体" w:eastAsia="方正小标宋_GBK" w:cs="方正小标宋_GBK"/>
          <w:color w:val="auto"/>
          <w:sz w:val="36"/>
          <w:szCs w:val="36"/>
          <w:highlight w:val="none"/>
          <w:lang w:eastAsia="zh-CN"/>
        </w:rPr>
      </w:pPr>
      <w:r>
        <w:rPr>
          <w:rFonts w:hint="eastAsia" w:ascii="宋体" w:hAnsi="宋体" w:eastAsia="方正小标宋_GBK" w:cs="方正小标宋_GBK"/>
          <w:color w:val="auto"/>
          <w:sz w:val="36"/>
          <w:szCs w:val="36"/>
          <w:highlight w:val="none"/>
          <w:lang w:eastAsia="zh-CN"/>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宋体" w:hAnsi="宋体" w:eastAsia="方正小标宋_GBK" w:cs="方正小标宋_GBK"/>
          <w:b w:val="0"/>
          <w:bCs/>
          <w:color w:val="auto"/>
          <w:sz w:val="44"/>
          <w:szCs w:val="44"/>
          <w:highlight w:val="none"/>
          <w:lang w:eastAsia="zh-CN"/>
        </w:rPr>
      </w:pPr>
      <w:bookmarkStart w:id="27" w:name="_Toc8593"/>
      <w:bookmarkStart w:id="28" w:name="_Toc13911_WPSOffice_Level1"/>
      <w:r>
        <w:rPr>
          <w:rFonts w:hint="eastAsia" w:ascii="宋体" w:hAnsi="宋体" w:eastAsia="方正小标宋_GBK" w:cs="方正小标宋_GBK"/>
          <w:b w:val="0"/>
          <w:bCs/>
          <w:color w:val="auto"/>
          <w:sz w:val="44"/>
          <w:szCs w:val="44"/>
          <w:highlight w:val="none"/>
          <w:lang w:eastAsia="zh-CN"/>
        </w:rPr>
        <w:t>第二篇</w:t>
      </w:r>
      <w:bookmarkEnd w:id="22"/>
      <w:bookmarkEnd w:id="23"/>
      <w:bookmarkEnd w:id="26"/>
      <w:r>
        <w:rPr>
          <w:rFonts w:hint="eastAsia" w:ascii="宋体" w:hAnsi="宋体" w:eastAsia="方正小标宋_GBK" w:cs="方正小标宋_GBK"/>
          <w:b w:val="0"/>
          <w:bCs/>
          <w:color w:val="auto"/>
          <w:sz w:val="44"/>
          <w:szCs w:val="44"/>
          <w:highlight w:val="none"/>
          <w:lang w:val="en-US" w:eastAsia="zh-CN"/>
        </w:rPr>
        <w:t xml:space="preserve">  </w:t>
      </w:r>
      <w:r>
        <w:rPr>
          <w:rFonts w:hint="eastAsia" w:ascii="宋体" w:hAnsi="宋体" w:eastAsia="方正小标宋_GBK" w:cs="方正小标宋_GBK"/>
          <w:b w:val="0"/>
          <w:bCs/>
          <w:color w:val="auto"/>
          <w:sz w:val="44"/>
          <w:szCs w:val="44"/>
          <w:highlight w:val="none"/>
          <w:lang w:eastAsia="zh-CN"/>
        </w:rPr>
        <w:t>把握指导方针</w:t>
      </w:r>
      <w:r>
        <w:rPr>
          <w:rFonts w:hint="eastAsia" w:ascii="宋体" w:hAnsi="宋体" w:eastAsia="方正小标宋_GBK" w:cs="方正小标宋_GBK"/>
          <w:b w:val="0"/>
          <w:bCs/>
          <w:color w:val="auto"/>
          <w:sz w:val="44"/>
          <w:szCs w:val="44"/>
          <w:highlight w:val="none"/>
          <w:lang w:val="en-US" w:eastAsia="zh-CN"/>
        </w:rPr>
        <w:t xml:space="preserve"> </w:t>
      </w:r>
      <w:r>
        <w:rPr>
          <w:rFonts w:hint="eastAsia" w:ascii="宋体" w:hAnsi="宋体" w:eastAsia="方正小标宋_GBK" w:cs="方正小标宋_GBK"/>
          <w:b w:val="0"/>
          <w:bCs/>
          <w:color w:val="auto"/>
          <w:sz w:val="44"/>
          <w:szCs w:val="44"/>
          <w:highlight w:val="none"/>
          <w:lang w:eastAsia="zh-CN"/>
        </w:rPr>
        <w:t>描绘发展蓝图</w:t>
      </w:r>
      <w:r>
        <w:rPr>
          <w:rFonts w:hint="eastAsia" w:ascii="宋体" w:hAnsi="宋体" w:eastAsia="方正小标宋_GBK" w:cs="方正小标宋_GBK"/>
          <w:b w:val="0"/>
          <w:bCs/>
          <w:color w:val="auto"/>
          <w:sz w:val="44"/>
          <w:szCs w:val="44"/>
          <w:highlight w:val="none"/>
          <w:lang w:val="en-US" w:eastAsia="zh-CN"/>
        </w:rPr>
        <w:t xml:space="preserve"> </w:t>
      </w:r>
      <w:r>
        <w:rPr>
          <w:rFonts w:hint="eastAsia" w:ascii="宋体" w:hAnsi="宋体" w:eastAsia="方正小标宋_GBK" w:cs="方正小标宋_GBK"/>
          <w:b w:val="0"/>
          <w:bCs/>
          <w:color w:val="auto"/>
          <w:sz w:val="44"/>
          <w:szCs w:val="44"/>
          <w:highlight w:val="none"/>
          <w:lang w:eastAsia="zh-CN"/>
        </w:rPr>
        <w:t>谱写“十四五”经济社会发展新篇章</w:t>
      </w:r>
      <w:bookmarkEnd w:id="27"/>
      <w:bookmarkEnd w:id="28"/>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仿宋_GBK" w:cs="方正小标宋_GBK"/>
          <w:b w:val="0"/>
          <w:bCs/>
          <w:color w:val="auto"/>
          <w:sz w:val="32"/>
          <w:szCs w:val="32"/>
          <w:highlight w:val="none"/>
          <w:lang w:val="en-US" w:eastAsia="zh-CN"/>
        </w:rPr>
      </w:pPr>
      <w:bookmarkStart w:id="29" w:name="_Toc22389_WPSOffice_Level2"/>
      <w:bookmarkStart w:id="30" w:name="_Toc30300"/>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第一章　指导思想</w:t>
      </w:r>
      <w:bookmarkEnd w:id="29"/>
      <w:bookmarkEnd w:id="30"/>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bookmarkStart w:id="31" w:name="_Toc17332_WPSOffice_Level3"/>
      <w:bookmarkStart w:id="32" w:name="_Toc1888_WPSOffice_Level3"/>
      <w:bookmarkStart w:id="33" w:name="_Toc25842_WPSOffice_Level3"/>
      <w:bookmarkStart w:id="34" w:name="_Toc20818"/>
      <w:bookmarkStart w:id="35" w:name="_Toc19000_WPSOffice_Level3"/>
      <w:bookmarkStart w:id="36" w:name="_Toc23328"/>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高举中国特色社会主义伟大旗帜，深入贯彻党的十九大和十九届二中、三中、四中、五中全会精神，坚持以马克思列宁主义、毛泽东思想、邓小平理论、“三个代表”重要思想、科学发展观及习近平新时代中国特色社会主义思想为指导，全面贯彻党的基本理论、基本路线、基本方略，统筹推进“五位一体”总体布局和协调推进“四个全面”战略布局，坚定不移贯彻新发展理念，坚持稳中求进工作总基调，以推动高质量跨越式发展为主题，以深化供给侧结构性改革为主线，以改革创新为根本动力，以满足人民日益增长的美好生活需要为根本目的，加快构建现代经济体系，主动融入和服务以国内大循环为主体、国内国际双循环相互促进的新发展格局，加快推进治理体系和治理能力现代化，奋力实现经济行稳致远、基础设施更加完善、人民生活水平大幅提升、民族更加团结和谐、发展环境更加优越的目标，全力把西畴打造成</w:t>
      </w:r>
      <w:r>
        <w:rPr>
          <w:rFonts w:hint="eastAsia" w:ascii="宋体" w:hAnsi="宋体" w:eastAsia="方正仿宋_GBK" w:cs="方正仿宋_GBK"/>
          <w:b w:val="0"/>
          <w:bCs w:val="0"/>
          <w:color w:val="auto"/>
          <w:kern w:val="2"/>
          <w:sz w:val="32"/>
          <w:szCs w:val="32"/>
          <w:highlight w:val="none"/>
          <w:lang w:val="en-US" w:eastAsia="zh-CN" w:bidi="ar-SA"/>
        </w:rPr>
        <w:t>“西畴精神”实践创新高地、“绿水青山就是金山银山”实践创新基地、民族团结进步示范县。</w:t>
      </w:r>
    </w:p>
    <w:p>
      <w:pPr>
        <w:rPr>
          <w:rFonts w:hint="eastAsia" w:ascii="宋体" w:hAnsi="宋体" w:eastAsia="方正仿宋_GBK" w:cs="方正小标宋_GBK"/>
          <w:b w:val="0"/>
          <w:bCs/>
          <w:color w:val="auto"/>
          <w:sz w:val="32"/>
          <w:szCs w:val="32"/>
          <w:highlight w:val="none"/>
          <w:lang w:val="en-US" w:eastAsia="zh-CN"/>
        </w:rPr>
      </w:pPr>
      <w:bookmarkStart w:id="37" w:name="_Toc5789"/>
      <w:bookmarkStart w:id="38" w:name="_Toc19449_WPSOffice_Level2"/>
      <w:r>
        <w:rPr>
          <w:rFonts w:hint="eastAsia" w:ascii="宋体" w:hAnsi="宋体" w:eastAsia="方正仿宋_GBK" w:cs="方正小标宋_GBK"/>
          <w:b w:val="0"/>
          <w:bCs/>
          <w:color w:val="auto"/>
          <w:sz w:val="32"/>
          <w:szCs w:val="32"/>
          <w:highlight w:val="none"/>
          <w:lang w:val="en-US" w:eastAsia="zh-CN"/>
        </w:rPr>
        <w:br w:type="page"/>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第二章  基本原则</w:t>
      </w:r>
      <w:bookmarkEnd w:id="31"/>
      <w:bookmarkEnd w:id="32"/>
      <w:bookmarkEnd w:id="33"/>
      <w:bookmarkEnd w:id="34"/>
      <w:bookmarkEnd w:id="37"/>
      <w:bookmarkEnd w:id="3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rPr>
        <w:t>——始终坚持党对一切工作的领导。</w:t>
      </w:r>
      <w:r>
        <w:rPr>
          <w:rFonts w:hint="eastAsia" w:ascii="宋体" w:hAnsi="宋体" w:eastAsia="方正仿宋_GBK" w:cs="方正仿宋简体"/>
          <w:b w:val="0"/>
          <w:color w:val="auto"/>
          <w:kern w:val="2"/>
          <w:sz w:val="32"/>
          <w:szCs w:val="32"/>
          <w:highlight w:val="none"/>
          <w:lang w:val="en-US" w:eastAsia="zh-CN" w:bidi="ar-SA"/>
        </w:rPr>
        <w:t>中国共产党是中国特色社会主义事业的坚强领导核心，必须牢固树立“四个意识”，坚决维护以习近平同志为核心的党中央权威和集中统一领导，坚持以习近平新时代中国特色社会主义思想为指导，发挥好党总揽全局、协调各方的领导核心作用，不折不扣地把党中央的决策部署落到实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rPr>
        <w:t>——始终坚持以人民为中心。</w:t>
      </w:r>
      <w:r>
        <w:rPr>
          <w:rFonts w:hint="eastAsia" w:ascii="宋体" w:hAnsi="宋体" w:eastAsia="方正仿宋_GBK" w:cs="方正仿宋简体"/>
          <w:b w:val="0"/>
          <w:color w:val="auto"/>
          <w:kern w:val="2"/>
          <w:sz w:val="32"/>
          <w:szCs w:val="32"/>
          <w:highlight w:val="none"/>
          <w:lang w:val="en-US" w:eastAsia="zh-CN" w:bidi="ar-SA"/>
        </w:rPr>
        <w:t xml:space="preserve">人民对美好生活的向往就是我们的奋斗目标，必须全力聚焦满足人民对美好生活的期盼，加快推进治理体系和治理能力现代化，着力解决人民群众最关切的公共安全、权益保障、公平正义问题，不断增强人民群众获得感、幸福感和安全感。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rPr>
        <w:t>——始终坚持发展是第一要务。</w:t>
      </w:r>
      <w:r>
        <w:rPr>
          <w:rFonts w:hint="eastAsia" w:ascii="宋体" w:hAnsi="宋体" w:eastAsia="方正仿宋_GBK" w:cs="方正仿宋简体"/>
          <w:b w:val="0"/>
          <w:color w:val="auto"/>
          <w:kern w:val="2"/>
          <w:sz w:val="32"/>
          <w:szCs w:val="32"/>
          <w:highlight w:val="none"/>
          <w:lang w:val="en-US" w:eastAsia="zh-CN" w:bidi="ar-SA"/>
        </w:rPr>
        <w:t>发展是解决我县一切问题的关键和基础，必须创造性地处理好经济发展与保护环境、改善民生的关系，依靠国内强大市场，提高对外开放水平，大力发展实体经济，积极培育发展新动能，确保经济平稳较快发展，切实提高发展质量效益，为更好解决生态环保、社会民生、转型升级等重大矛盾问题奠定强大经济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rPr>
        <w:t>——始终坚持高质量发展根本要求</w:t>
      </w:r>
      <w:r>
        <w:rPr>
          <w:rFonts w:hint="eastAsia" w:ascii="宋体" w:hAnsi="宋体" w:eastAsia="方正仿宋_GBK"/>
          <w:color w:val="auto"/>
          <w:sz w:val="32"/>
          <w:szCs w:val="32"/>
          <w:highlight w:val="none"/>
        </w:rPr>
        <w:t>。</w:t>
      </w:r>
      <w:r>
        <w:rPr>
          <w:rFonts w:hint="eastAsia" w:ascii="宋体" w:hAnsi="宋体" w:eastAsia="方正仿宋_GBK" w:cs="方正仿宋简体"/>
          <w:b w:val="0"/>
          <w:color w:val="auto"/>
          <w:kern w:val="2"/>
          <w:sz w:val="32"/>
          <w:szCs w:val="32"/>
          <w:highlight w:val="none"/>
          <w:lang w:val="en-US" w:eastAsia="zh-CN" w:bidi="ar-SA"/>
        </w:rPr>
        <w:t>我县经济已由中高速增长阶段转向高质量发展阶段，必须主动适应我国社会主要矛盾的变化和经济发展的阶段性特征，立足我县经济社会发展现实需求和长远目标，统一思想、凝聚共识，创新思路、完善举措，坚持质量第一、效益优先，以高质量发展引领转型升级，以高质量发展打造竞争新优势，以高质量发展赢得未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rPr>
        <w:t>——始终坚持改革开放创新为根本动力。</w:t>
      </w:r>
      <w:r>
        <w:rPr>
          <w:rFonts w:hint="eastAsia" w:ascii="宋体" w:hAnsi="宋体" w:eastAsia="方正仿宋_GBK" w:cs="方正仿宋简体"/>
          <w:b w:val="0"/>
          <w:color w:val="auto"/>
          <w:kern w:val="2"/>
          <w:sz w:val="32"/>
          <w:szCs w:val="32"/>
          <w:highlight w:val="none"/>
          <w:lang w:val="en-US" w:eastAsia="zh-CN" w:bidi="ar-SA"/>
        </w:rPr>
        <w:t>科技是第一生产力，必须牢固树立抓改革就是抓发展、促开放就是争主动、谋创新就是谋未来的理念，深入推进市场化改革，全面提升对外开放水平，着力完善创新创业环境，打造良好营商条件，汇聚优质要素资源，为推动高质量发展提供强大持久动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rPr>
        <w:t>——始终坚持绿色发展为根本</w:t>
      </w:r>
      <w:r>
        <w:rPr>
          <w:rFonts w:hint="eastAsia" w:ascii="宋体" w:hAnsi="宋体" w:eastAsia="方正仿宋_GBK"/>
          <w:b/>
          <w:bCs/>
          <w:color w:val="auto"/>
          <w:sz w:val="32"/>
          <w:szCs w:val="32"/>
          <w:highlight w:val="none"/>
          <w:lang w:eastAsia="zh-CN"/>
        </w:rPr>
        <w:t>路径</w:t>
      </w:r>
      <w:r>
        <w:rPr>
          <w:rFonts w:hint="eastAsia" w:ascii="宋体" w:hAnsi="宋体" w:eastAsia="方正仿宋_GBK"/>
          <w:b/>
          <w:bCs/>
          <w:color w:val="auto"/>
          <w:sz w:val="32"/>
          <w:szCs w:val="32"/>
          <w:highlight w:val="none"/>
        </w:rPr>
        <w:t>。</w:t>
      </w:r>
      <w:r>
        <w:rPr>
          <w:rFonts w:hint="eastAsia" w:ascii="宋体" w:hAnsi="宋体" w:eastAsia="方正仿宋_GBK" w:cs="方正仿宋简体"/>
          <w:b w:val="0"/>
          <w:color w:val="auto"/>
          <w:kern w:val="2"/>
          <w:sz w:val="32"/>
          <w:szCs w:val="32"/>
          <w:highlight w:val="none"/>
          <w:lang w:val="en-US" w:eastAsia="zh-CN" w:bidi="ar-SA"/>
        </w:rPr>
        <w:t>全面践行“绿水青山就是金山银山”发展理念，把绿色发展作为推进高质量发展和现代化建设的必由之路，坚定不移地持续打好生态环境治理攻坚战，以环境改善促进经济高质量发展，以稳定发展增强生态建设和环境保护能力，走出一条生态环境与经济发展双赢的新路子。</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仿宋_GBK" w:cs="方正小标宋_GBK"/>
          <w:b w:val="0"/>
          <w:bCs/>
          <w:color w:val="auto"/>
          <w:sz w:val="32"/>
          <w:szCs w:val="32"/>
          <w:highlight w:val="none"/>
          <w:lang w:val="en-US" w:eastAsia="zh-CN"/>
        </w:rPr>
      </w:pPr>
      <w:bookmarkStart w:id="39" w:name="_Toc26350_WPSOffice_Level3"/>
      <w:bookmarkStart w:id="40" w:name="_Toc5111_WPSOffice_Level2"/>
      <w:bookmarkStart w:id="41" w:name="_Toc21731"/>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第三章  发展</w:t>
      </w:r>
      <w:bookmarkEnd w:id="35"/>
      <w:bookmarkEnd w:id="36"/>
      <w:bookmarkEnd w:id="39"/>
      <w:r>
        <w:rPr>
          <w:rFonts w:hint="eastAsia" w:ascii="宋体" w:hAnsi="宋体" w:eastAsia="方正黑体_GBK" w:cs="方正黑体_GBK"/>
          <w:b w:val="0"/>
          <w:bCs/>
          <w:color w:val="auto"/>
          <w:sz w:val="32"/>
          <w:szCs w:val="32"/>
          <w:highlight w:val="none"/>
          <w:lang w:val="en-US" w:eastAsia="zh-CN"/>
        </w:rPr>
        <w:t>目标</w:t>
      </w:r>
      <w:bookmarkEnd w:id="40"/>
      <w:bookmarkEnd w:id="41"/>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综合考虑国内外发展形势和我县发展条件，坚持目标导向和问题导向，坚持积极进取、尽力而为，坚持守正创新，今后五年，全县经济社会发展要努力实现以下主要目标：</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lang w:eastAsia="zh-CN"/>
        </w:rPr>
        <w:t>——</w:t>
      </w:r>
      <w:r>
        <w:rPr>
          <w:rFonts w:hint="eastAsia" w:ascii="宋体" w:hAnsi="宋体" w:eastAsia="方正仿宋_GBK"/>
          <w:b/>
          <w:bCs/>
          <w:color w:val="auto"/>
          <w:sz w:val="32"/>
          <w:szCs w:val="32"/>
          <w:highlight w:val="none"/>
          <w:lang w:val="en-US" w:eastAsia="zh-CN"/>
        </w:rPr>
        <w:t>综合经济实力实现新跨越。</w:t>
      </w:r>
      <w:r>
        <w:rPr>
          <w:rFonts w:hint="eastAsia" w:ascii="宋体" w:hAnsi="宋体" w:eastAsia="方正仿宋_GBK" w:cs="方正仿宋简体"/>
          <w:b w:val="0"/>
          <w:color w:val="auto"/>
          <w:kern w:val="2"/>
          <w:sz w:val="32"/>
          <w:szCs w:val="32"/>
          <w:highlight w:val="none"/>
          <w:lang w:val="en-US" w:eastAsia="zh-CN" w:bidi="ar-SA"/>
        </w:rPr>
        <w:t>地区生产总值年均增速保持在两位数以上增长，经济规模明显扩大，经济结构持续优化，实现地区生产总值较“十三五”末翻一番以上，达120亿元以上。创新能力进一步增强，四大产业转型升级取得实质性突破，数字经济加快发展，现代化经济体系建设取得新进展，农业基础更加稳固，城乡区域发展协调性明显增强，基本形成便捷、安全、高效、绿色的现代基础设施网络体系，消费对经济增长的作用逐步显现。3个产业体系基本形成，8个产业园区（基地）设施配套率达60%，发展结构发生重大转变，发展的质量和水平有较大提高。第一产业基础、质量、效益对第二三产业发展贡献稳步提升，增速保持在5%以上；第一产业向第二产业转化率达45%，工业增加值增速保持在22%以上；第三产业中外贸及物流的支撑作用显著增强，增速达到11%以上；城乡居民收入增速在10%左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lang w:val="en-US" w:eastAsia="zh-CN"/>
        </w:rPr>
        <w:t>——全省石漠化地区高质量发展创新示范区建设取得新成效。</w:t>
      </w:r>
      <w:r>
        <w:rPr>
          <w:rFonts w:hint="eastAsia" w:ascii="宋体" w:hAnsi="宋体" w:eastAsia="方正仿宋_GBK" w:cs="方正仿宋简体"/>
          <w:b w:val="0"/>
          <w:color w:val="auto"/>
          <w:kern w:val="2"/>
          <w:sz w:val="32"/>
          <w:szCs w:val="32"/>
          <w:highlight w:val="none"/>
          <w:lang w:val="en-US" w:eastAsia="zh-CN" w:bidi="ar-SA"/>
        </w:rPr>
        <w:t>创新石漠化治理模式，赋予“六子登科”治理模式新内涵，研究探索石漠化治理新途径，加大石漠化区域治理力度，提高石漠化工程治管用水平，形成可观可学可用石漠化治理研教示范区，力争在实施百村相连、万亩田地相接的石漠化综合治理重大生态工程建设上取得新进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lang w:val="en-US" w:eastAsia="zh-CN"/>
        </w:rPr>
        <w:t>——</w:t>
      </w:r>
      <w:r>
        <w:rPr>
          <w:rFonts w:hint="eastAsia" w:ascii="宋体" w:hAnsi="宋体" w:eastAsia="方正仿宋_GBK" w:cs="方正仿宋_GBK"/>
          <w:b/>
          <w:bCs/>
          <w:color w:val="auto"/>
          <w:kern w:val="2"/>
          <w:sz w:val="32"/>
          <w:szCs w:val="32"/>
          <w:highlight w:val="none"/>
          <w:lang w:val="en-US" w:eastAsia="zh-CN" w:bidi="ar-SA"/>
        </w:rPr>
        <w:t>“西畴精神”实践创新高地</w:t>
      </w:r>
      <w:r>
        <w:rPr>
          <w:rFonts w:hint="eastAsia" w:ascii="宋体" w:hAnsi="宋体" w:eastAsia="方正仿宋_GBK"/>
          <w:b/>
          <w:bCs/>
          <w:color w:val="auto"/>
          <w:sz w:val="32"/>
          <w:szCs w:val="32"/>
          <w:highlight w:val="none"/>
          <w:lang w:val="en-US" w:eastAsia="zh-CN"/>
        </w:rPr>
        <w:t>建设取得新突破。</w:t>
      </w:r>
      <w:r>
        <w:rPr>
          <w:rFonts w:hint="eastAsia" w:ascii="宋体" w:hAnsi="宋体" w:eastAsia="方正仿宋_GBK" w:cs="方正仿宋简体"/>
          <w:b w:val="0"/>
          <w:color w:val="auto"/>
          <w:kern w:val="2"/>
          <w:sz w:val="32"/>
          <w:szCs w:val="32"/>
          <w:highlight w:val="none"/>
          <w:lang w:val="en-US" w:eastAsia="zh-CN" w:bidi="ar-SA"/>
        </w:rPr>
        <w:t>“西畴精神”教学基地全面建成，创新与实践的主动性进一步增强，内涵更加丰富、外延更加紧密、载体更加突出、氛围更加浓厚，让“西畴精神”成为中华民族精神的认同感更加深入人心，让“西畴精神”品牌更加靓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lang w:val="en-US" w:eastAsia="zh-CN"/>
        </w:rPr>
        <w:t>——</w:t>
      </w:r>
      <w:r>
        <w:rPr>
          <w:rFonts w:hint="eastAsia" w:ascii="宋体" w:hAnsi="宋体" w:eastAsia="方正仿宋_GBK" w:cs="方正仿宋_GBK"/>
          <w:b/>
          <w:bCs/>
          <w:color w:val="auto"/>
          <w:kern w:val="2"/>
          <w:sz w:val="32"/>
          <w:szCs w:val="32"/>
          <w:highlight w:val="none"/>
          <w:lang w:val="en-US" w:eastAsia="zh-CN" w:bidi="ar-SA"/>
        </w:rPr>
        <w:t>“绿水青山就是金山银山”实践创新基地</w:t>
      </w:r>
      <w:r>
        <w:rPr>
          <w:rFonts w:hint="eastAsia" w:ascii="宋体" w:hAnsi="宋体" w:eastAsia="方正仿宋_GBK"/>
          <w:b/>
          <w:bCs/>
          <w:color w:val="auto"/>
          <w:sz w:val="32"/>
          <w:szCs w:val="32"/>
          <w:highlight w:val="none"/>
          <w:lang w:val="en-US" w:eastAsia="zh-CN"/>
        </w:rPr>
        <w:t>建设取得新进展。</w:t>
      </w:r>
      <w:r>
        <w:rPr>
          <w:rFonts w:hint="eastAsia" w:ascii="宋体" w:hAnsi="宋体" w:eastAsia="方正仿宋_GBK" w:cs="方正仿宋简体"/>
          <w:b w:val="0"/>
          <w:color w:val="auto"/>
          <w:kern w:val="2"/>
          <w:sz w:val="32"/>
          <w:szCs w:val="32"/>
          <w:highlight w:val="none"/>
          <w:lang w:val="en-US" w:eastAsia="zh-CN" w:bidi="ar-SA"/>
        </w:rPr>
        <w:t>生态文明制度体系更加健全，生产生活方式转型成效显著，绿色低碳循环发展模式初步建立，污染物排放持续减少，石漠化治理水平不断提升，全国“绿水青山就是金山银山”实践创新基地创建取得新进展，在践行“绿水青山就是金山银山”理念、争当生态文明建设排头兵走在前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lang w:val="en-US" w:eastAsia="zh-CN"/>
        </w:rPr>
        <w:t>——</w:t>
      </w:r>
      <w:r>
        <w:rPr>
          <w:rFonts w:hint="eastAsia" w:ascii="宋体" w:hAnsi="宋体" w:eastAsia="方正仿宋_GBK" w:cs="方正仿宋_GBK"/>
          <w:b/>
          <w:bCs/>
          <w:color w:val="auto"/>
          <w:kern w:val="2"/>
          <w:sz w:val="32"/>
          <w:szCs w:val="32"/>
          <w:highlight w:val="none"/>
          <w:lang w:val="en-US" w:eastAsia="zh-CN" w:bidi="ar-SA"/>
        </w:rPr>
        <w:t>民族团结进步示范县样板建设</w:t>
      </w:r>
      <w:r>
        <w:rPr>
          <w:rFonts w:hint="eastAsia" w:ascii="宋体" w:hAnsi="宋体" w:eastAsia="方正仿宋_GBK"/>
          <w:b/>
          <w:bCs/>
          <w:color w:val="auto"/>
          <w:sz w:val="32"/>
          <w:szCs w:val="32"/>
          <w:highlight w:val="none"/>
          <w:lang w:val="en-US" w:eastAsia="zh-CN"/>
        </w:rPr>
        <w:t>实现新提升。</w:t>
      </w:r>
      <w:r>
        <w:rPr>
          <w:rFonts w:hint="eastAsia" w:ascii="宋体" w:hAnsi="宋体" w:eastAsia="方正仿宋_GBK"/>
          <w:color w:val="auto"/>
          <w:sz w:val="32"/>
          <w:szCs w:val="32"/>
          <w:highlight w:val="none"/>
          <w:lang w:eastAsia="zh-CN"/>
        </w:rPr>
        <w:t>习</w:t>
      </w:r>
      <w:r>
        <w:rPr>
          <w:rFonts w:hint="eastAsia" w:ascii="宋体" w:hAnsi="宋体" w:eastAsia="方正仿宋_GBK" w:cs="方正仿宋简体"/>
          <w:b w:val="0"/>
          <w:color w:val="auto"/>
          <w:kern w:val="2"/>
          <w:sz w:val="32"/>
          <w:szCs w:val="32"/>
          <w:highlight w:val="none"/>
          <w:lang w:val="en-US" w:eastAsia="zh-CN" w:bidi="ar-SA"/>
        </w:rPr>
        <w:t>近平新时代中国特色社会主义思想在畴阳大地深入人心，城乡居民收入差距逐步缩小，就业、教育、文化、卫生、体育等基本公共服务均等化水平明显提高，社会保障和养老体系更加健全，脱贫成果得到有效巩固，乡村振兴战略全面推进，社会主义核心价值观深入人心，民族共同体意识明显增强，各族人民思想道德、科学文化、身心健康和学法用法水平明显提高，民族文化更加丰富，社会更加文明进步，向上向善、诚信互助的社会氛围更加浓厚，在民族团结进步示范建设方面始终走在前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lang w:val="en-US" w:eastAsia="zh-CN"/>
        </w:rPr>
        <w:t>——通往越南连接粤港澳大湾区重要通道建设迈出新步伐。</w:t>
      </w:r>
      <w:r>
        <w:rPr>
          <w:rFonts w:hint="eastAsia" w:ascii="宋体" w:hAnsi="宋体" w:eastAsia="方正仿宋_GBK" w:cs="方正仿宋简体"/>
          <w:b w:val="0"/>
          <w:color w:val="auto"/>
          <w:kern w:val="2"/>
          <w:sz w:val="32"/>
          <w:szCs w:val="32"/>
          <w:highlight w:val="none"/>
          <w:lang w:val="en-US" w:eastAsia="zh-CN" w:bidi="ar-SA"/>
        </w:rPr>
        <w:t>天文高速、那兴高速建成使用，沿边铁路、沿边高速公路完成前期工作并启动建设，水网、能源网、信息网等内联外通通道网络加快构建，县城和兴街城市更新改造加快推进，带动作用更加突出，接边沿边条件持续改善，主动融入和服务“粤港澳大湾区”国内国际“大循环与双循环”的功能进一步增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b/>
          <w:bCs/>
          <w:color w:val="auto"/>
          <w:sz w:val="32"/>
          <w:szCs w:val="32"/>
          <w:highlight w:val="none"/>
          <w:lang w:val="en-US" w:eastAsia="zh-CN"/>
        </w:rPr>
        <w:t>——社会治理效能取得新业绩。</w:t>
      </w:r>
      <w:r>
        <w:rPr>
          <w:rFonts w:hint="eastAsia" w:ascii="宋体" w:hAnsi="宋体" w:eastAsia="方正仿宋_GBK" w:cs="方正仿宋简体"/>
          <w:b w:val="0"/>
          <w:color w:val="auto"/>
          <w:kern w:val="2"/>
          <w:sz w:val="32"/>
          <w:szCs w:val="32"/>
          <w:highlight w:val="none"/>
          <w:lang w:val="en-US" w:eastAsia="zh-CN" w:bidi="ar-SA"/>
        </w:rPr>
        <w:t>政治生态更加优化，民主法治更加健全，基层基础更加稳固，防范化解重大风险的体制机制不断健全，突发公共事件应急能力和防灾减灾抗灾救灾能力明显增强，发展安全保障有力，社会和谐稳定局面持续巩固，在社会治理体系和治理能力现代化建设方面始终走在前列。</w:t>
      </w:r>
    </w:p>
    <w:p>
      <w:pPr>
        <w:rPr>
          <w:rFonts w:hint="eastAsia" w:ascii="宋体" w:hAnsi="宋体"/>
          <w:color w:val="auto"/>
          <w:highlight w:val="none"/>
          <w:lang w:eastAsia="zh-CN"/>
        </w:rPr>
      </w:pPr>
      <w:r>
        <w:rPr>
          <w:rFonts w:hint="eastAsia" w:ascii="宋体" w:hAnsi="宋体"/>
          <w:color w:val="auto"/>
          <w:highlight w:val="none"/>
          <w:lang w:eastAsia="zh-CN"/>
        </w:rPr>
        <w:br w:type="page"/>
      </w:r>
    </w:p>
    <w:p>
      <w:pPr>
        <w:keepNext/>
        <w:keepLines/>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outlineLvl w:val="9"/>
        <w:rPr>
          <w:rFonts w:hint="default" w:ascii="宋体" w:hAnsi="宋体" w:eastAsia="方正仿宋简体" w:cstheme="minorBidi"/>
          <w:b w:val="0"/>
          <w:color w:val="auto"/>
          <w:kern w:val="2"/>
          <w:sz w:val="32"/>
          <w:szCs w:val="32"/>
          <w:highlight w:val="none"/>
          <w:lang w:val="en-US" w:eastAsia="zh-CN" w:bidi="ar-SA"/>
        </w:rPr>
      </w:pPr>
      <w:r>
        <w:rPr>
          <w:rFonts w:hint="eastAsia" w:ascii="宋体" w:hAnsi="宋体" w:eastAsia="方正仿宋简体" w:cstheme="minorBidi"/>
          <w:b/>
          <w:bCs/>
          <w:color w:val="auto"/>
          <w:kern w:val="2"/>
          <w:sz w:val="32"/>
          <w:szCs w:val="32"/>
          <w:highlight w:val="none"/>
          <w:lang w:val="en-US" w:eastAsia="zh-CN" w:bidi="ar-SA"/>
        </w:rPr>
        <w:t>专栏2</w:t>
      </w:r>
      <w:r>
        <w:rPr>
          <w:rFonts w:hint="eastAsia" w:ascii="宋体" w:hAnsi="宋体" w:eastAsia="方正仿宋_GBK" w:cs="方正仿宋_GBK"/>
          <w:b/>
          <w:bCs/>
          <w:color w:val="auto"/>
          <w:kern w:val="2"/>
          <w:sz w:val="32"/>
          <w:szCs w:val="32"/>
          <w:highlight w:val="none"/>
          <w:lang w:val="en-US" w:eastAsia="zh-CN" w:bidi="ar-SA"/>
        </w:rPr>
        <w:t>：</w:t>
      </w:r>
      <w:r>
        <w:rPr>
          <w:rFonts w:hint="eastAsia" w:ascii="宋体" w:hAnsi="宋体" w:eastAsia="方正仿宋简体" w:cstheme="minorBidi"/>
          <w:b w:val="0"/>
          <w:color w:val="auto"/>
          <w:kern w:val="2"/>
          <w:sz w:val="32"/>
          <w:szCs w:val="32"/>
          <w:highlight w:val="none"/>
          <w:lang w:val="en-US" w:eastAsia="zh-CN" w:bidi="ar-SA"/>
        </w:rPr>
        <w:t>西畴县“十四五”规划主要指标表</w:t>
      </w:r>
    </w:p>
    <w:tbl>
      <w:tblPr>
        <w:tblStyle w:val="20"/>
        <w:tblW w:w="8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1"/>
        <w:gridCol w:w="941"/>
        <w:gridCol w:w="3600"/>
        <w:gridCol w:w="840"/>
        <w:gridCol w:w="840"/>
        <w:gridCol w:w="114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8852"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highlight w:val="none"/>
                <w:u w:val="none"/>
              </w:rPr>
            </w:pPr>
            <w:r>
              <w:rPr>
                <w:rFonts w:hint="eastAsia" w:ascii="宋体" w:hAnsi="宋体" w:eastAsia="宋体" w:cs="宋体"/>
                <w:b/>
                <w:i w:val="0"/>
                <w:color w:val="auto"/>
                <w:kern w:val="0"/>
                <w:sz w:val="36"/>
                <w:szCs w:val="36"/>
                <w:highlight w:val="none"/>
                <w:u w:val="none"/>
                <w:lang w:val="en-US" w:eastAsia="zh-CN" w:bidi="ar"/>
              </w:rPr>
              <w:t>西畴县“十四五”规划主要指标表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序号</w:t>
            </w:r>
          </w:p>
        </w:tc>
        <w:tc>
          <w:tcPr>
            <w:tcW w:w="94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分类</w:t>
            </w:r>
          </w:p>
        </w:tc>
        <w:tc>
          <w:tcPr>
            <w:tcW w:w="36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指标名称</w:t>
            </w:r>
          </w:p>
        </w:tc>
        <w:tc>
          <w:tcPr>
            <w:tcW w:w="8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2020年实际</w:t>
            </w:r>
          </w:p>
        </w:tc>
        <w:tc>
          <w:tcPr>
            <w:tcW w:w="8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2025年目标</w:t>
            </w:r>
          </w:p>
        </w:tc>
        <w:tc>
          <w:tcPr>
            <w:tcW w:w="11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年均增速（累计）</w:t>
            </w:r>
          </w:p>
        </w:tc>
        <w:tc>
          <w:tcPr>
            <w:tcW w:w="9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经济发展</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地区生产总值（GDP（亿元）</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56.35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120　　（以上）</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全员劳动生产率（万元/人）</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4.23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[0.27]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常住人口城镇化率（%）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bidi="ar"/>
              </w:rPr>
              <w:t>24.27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工业增加值占GDP比重（%）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制造业增加值占GDP比重（%）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进出口贸易总额（亿美元）</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农产品加工产值与农业总产值比</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研发经费投入占GDP比例（%）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0.28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0.33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[0.05]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每万人口发明专利拥有量（件）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0.6</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数字经济核心产业增加值占GDP比例（%）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民生福祉</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中等收入群体比重（%）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居民人均可支配收入（元）</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人均预期寿命（岁）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73.79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78</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[4.01]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城镇调查失业率（%）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每千人口拥有执业（助理）医师数（人）</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劳动年龄人口平均受教育年限（年）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9.55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学前教育毛入园率（%）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基本养老保险参保率（%）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全民医疗保险参保率（%）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97</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每千人口拥有3岁以下婴儿托位数（个）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生态环境</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单位GDP能源消耗降幅（%）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17.4</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按州下达指标落实</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单位GDP二氧化碳排放降幅（%）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按州下达指标落实</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县城空气质量优良天数比率（%）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达到或好于</w:t>
            </w:r>
            <w:r>
              <w:rPr>
                <w:rStyle w:val="32"/>
                <w:rFonts w:ascii="宋体" w:hAnsi="宋体"/>
                <w:color w:val="auto"/>
                <w:highlight w:val="none"/>
                <w:lang w:val="en-US" w:eastAsia="zh-CN" w:bidi="ar"/>
              </w:rPr>
              <w:t>Ⅲ</w:t>
            </w:r>
            <w:r>
              <w:rPr>
                <w:rStyle w:val="33"/>
                <w:rFonts w:ascii="宋体" w:hAnsi="宋体"/>
                <w:color w:val="auto"/>
                <w:highlight w:val="none"/>
                <w:lang w:val="en-US" w:eastAsia="zh-CN" w:bidi="ar"/>
              </w:rPr>
              <w:t>类水体比例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森林覆盖率（%）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54.83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安全保障</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粮食总产量（万吨）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11.3</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电力总装机（万千瓦）</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8.6875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8.6875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8852"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备注：</w:t>
            </w:r>
            <w:r>
              <w:rPr>
                <w:rStyle w:val="33"/>
                <w:rFonts w:ascii="宋体" w:hAnsi="宋体"/>
                <w:color w:val="auto"/>
                <w:highlight w:val="none"/>
                <w:lang w:val="en-US" w:eastAsia="zh-CN" w:bidi="ar"/>
              </w:rPr>
              <w:t>①地区生产总值、全员劳动生产率的绝对数按2020年不变价；②[]为5年累计数；③地表水质的监测范围为我省纳入国家考核的地表断面水质达标情况。</w:t>
            </w:r>
          </w:p>
        </w:tc>
      </w:tr>
    </w:tbl>
    <w:p>
      <w:pPr>
        <w:rPr>
          <w:rFonts w:ascii="宋体" w:hAnsi="宋体"/>
          <w:color w:val="auto"/>
          <w:highlight w:val="none"/>
        </w:rPr>
      </w:pPr>
    </w:p>
    <w:p>
      <w:pPr>
        <w:rPr>
          <w:rFonts w:hint="eastAsia" w:ascii="宋体" w:hAnsi="宋体" w:eastAsia="方正小标宋_GBK" w:cs="方正小标宋_GBK"/>
          <w:b/>
          <w:color w:val="auto"/>
          <w:kern w:val="44"/>
          <w:sz w:val="36"/>
          <w:szCs w:val="36"/>
          <w:highlight w:val="none"/>
          <w:lang w:val="en-US" w:eastAsia="zh-CN" w:bidi="ar"/>
        </w:rPr>
      </w:pPr>
      <w:bookmarkStart w:id="42" w:name="_Toc8125"/>
      <w:bookmarkStart w:id="43" w:name="_Toc27112_WPSOffice_Level3"/>
      <w:bookmarkStart w:id="44" w:name="_Toc5200_WPSOffice_Level3"/>
      <w:bookmarkStart w:id="45" w:name="_Toc20843"/>
      <w:bookmarkStart w:id="46" w:name="_Toc9759_WPSOffice_Level2"/>
      <w:bookmarkStart w:id="47" w:name="_Toc5172_WPSOffice_Level3"/>
      <w:r>
        <w:rPr>
          <w:rFonts w:hint="eastAsia" w:ascii="宋体" w:hAnsi="宋体" w:eastAsia="方正小标宋_GBK" w:cs="方正小标宋_GBK"/>
          <w:b/>
          <w:color w:val="auto"/>
          <w:kern w:val="44"/>
          <w:sz w:val="36"/>
          <w:szCs w:val="36"/>
          <w:highlight w:val="none"/>
          <w:lang w:val="en-US" w:eastAsia="zh-CN" w:bidi="ar"/>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0"/>
        <w:rPr>
          <w:rFonts w:hint="eastAsia" w:ascii="宋体" w:hAnsi="宋体" w:eastAsia="方正黑体_GBK" w:cs="方正黑体_GBK"/>
          <w:b w:val="0"/>
          <w:bCs/>
          <w:color w:val="auto"/>
          <w:kern w:val="44"/>
          <w:sz w:val="32"/>
          <w:szCs w:val="32"/>
          <w:highlight w:val="none"/>
          <w:lang w:val="en-US" w:eastAsia="zh-CN" w:bidi="ar"/>
        </w:rPr>
      </w:pPr>
      <w:bookmarkStart w:id="48" w:name="_Toc3106"/>
      <w:bookmarkStart w:id="49" w:name="_Toc23912_WPSOffice_Level1"/>
      <w:r>
        <w:rPr>
          <w:rFonts w:hint="eastAsia" w:ascii="宋体" w:hAnsi="宋体" w:eastAsia="方正黑体_GBK" w:cs="方正黑体_GBK"/>
          <w:b w:val="0"/>
          <w:bCs/>
          <w:color w:val="auto"/>
          <w:kern w:val="44"/>
          <w:sz w:val="32"/>
          <w:szCs w:val="32"/>
          <w:highlight w:val="none"/>
          <w:lang w:val="en-US" w:eastAsia="zh-CN" w:bidi="ar"/>
        </w:rPr>
        <w:t>第三篇　</w:t>
      </w:r>
      <w:bookmarkEnd w:id="42"/>
      <w:r>
        <w:rPr>
          <w:rFonts w:hint="eastAsia" w:ascii="宋体" w:hAnsi="宋体" w:eastAsia="方正黑体_GBK" w:cs="方正黑体_GBK"/>
          <w:b w:val="0"/>
          <w:bCs/>
          <w:color w:val="auto"/>
          <w:kern w:val="44"/>
          <w:sz w:val="32"/>
          <w:szCs w:val="32"/>
          <w:highlight w:val="none"/>
          <w:lang w:val="en-US" w:eastAsia="zh-CN" w:bidi="ar"/>
        </w:rPr>
        <w:t>优化空间布局</w:t>
      </w:r>
      <w:bookmarkEnd w:id="43"/>
      <w:bookmarkEnd w:id="44"/>
      <w:bookmarkEnd w:id="48"/>
      <w:bookmarkEnd w:id="49"/>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val="0"/>
          <w:color w:val="auto"/>
          <w:kern w:val="2"/>
          <w:sz w:val="32"/>
          <w:szCs w:val="32"/>
          <w:highlight w:val="none"/>
          <w:lang w:val="en-US" w:eastAsia="zh-CN" w:bidi="ar-SA"/>
        </w:rPr>
        <w:t>坚持开发合作、互利共赢、错位发展、联动开发和主体功能约束有效原则，以发挥区域比较优势为着力点，以缩小区域差距、促进各区域共同发展为目标，构建“一城、二通道、三区（示范）、五基地”区域发展空间，推动生产要素自由有序流动，形成区域协调发展新格局。</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jc w:val="center"/>
        <w:textAlignment w:val="auto"/>
        <w:outlineLvl w:val="9"/>
        <w:rPr>
          <w:rFonts w:hint="eastAsia" w:ascii="宋体" w:hAnsi="宋体" w:eastAsia="方正仿宋_GBK"/>
          <w:b/>
          <w:color w:val="auto"/>
          <w:sz w:val="32"/>
          <w:szCs w:val="32"/>
          <w:highlight w:val="none"/>
          <w:lang w:eastAsia="zh-CN"/>
        </w:rPr>
      </w:pPr>
      <w:r>
        <w:rPr>
          <w:rFonts w:hint="eastAsia" w:ascii="宋体" w:hAnsi="宋体" w:eastAsia="方正仿宋_GBK"/>
          <w:b/>
          <w:color w:val="auto"/>
          <w:sz w:val="32"/>
          <w:szCs w:val="32"/>
          <w:highlight w:val="none"/>
          <w:lang w:val="en-US" w:eastAsia="zh-CN"/>
        </w:rPr>
        <w:t>一城</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县城兴街同城。</w:t>
      </w:r>
      <w:r>
        <w:rPr>
          <w:rFonts w:hint="eastAsia" w:ascii="宋体" w:hAnsi="宋体" w:eastAsia="方正仿宋_GBK" w:cs="方正仿宋简体"/>
          <w:b w:val="0"/>
          <w:color w:val="auto"/>
          <w:kern w:val="2"/>
          <w:sz w:val="32"/>
          <w:szCs w:val="32"/>
          <w:highlight w:val="none"/>
          <w:lang w:val="en-US" w:eastAsia="zh-CN" w:bidi="ar-SA"/>
        </w:rPr>
        <w:t>在发展新阶段、新理念、新格局、新机遇、新战略的宏现背景下，主动融入和服务国家“一带一路”“西部大开发新格局”“乡村振兴”“大湾区”“面向南亚东南亚辐射中心”“中国-东盟自由贸易区”“大循环和双循环”等战略，充分利用“七出省、五出境”高速公路网和“八出省、五出境”铁路网在县境内交汇的通道优势，依托省边境经济合作贸易区，发挥道路交通“十”字节作用，提高西畴在云南省多点支撑中的地位。实施“强枢、聚能、融城”三大发展战略，突出“区域合作、两镇联动，物流先导、产业聚力，产城一体、融合共生”，将西畴的交通、人财物、资源要素、信息聚合、区位等优势转化成为通道经济和对外进出口加工贸易重要承载体。坚持“深化改革、高水平开放、创新发展、共荣共享”建设思路，优化政策导向、优化服务标准、拓展发展视野、突出跨境贸易、跨国产业合作、产业承接重点，加速完善产业基地、商贸物流、出口加工、交流协作、信息集成、公共服务等配套基础，抓好区域内部及周边地区的产业分工、合作、协作，加速资源互动和资源高效利用，不断培育不同领域改革开放亮点、产业发展亮点、新业态发展亮点和实力竞争亮点，推进区域产业布局更加科学合理、服务功能更加完善，尽快形成高质量发展的产业体系，将其打造成为省面向东南亚南亚全方位开放前沿重点地带，带动其它地区互动协作合作发展的大平台。</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jc w:val="center"/>
        <w:textAlignment w:val="auto"/>
        <w:outlineLvl w:val="9"/>
        <w:rPr>
          <w:rFonts w:hint="eastAsia" w:ascii="宋体" w:hAnsi="宋体" w:eastAsia="方正仿宋_GBK"/>
          <w:b/>
          <w:color w:val="auto"/>
          <w:sz w:val="32"/>
          <w:szCs w:val="32"/>
          <w:highlight w:val="none"/>
          <w:lang w:val="en-US" w:eastAsia="zh-CN"/>
        </w:rPr>
      </w:pPr>
      <w:r>
        <w:rPr>
          <w:rFonts w:hint="eastAsia" w:ascii="宋体" w:hAnsi="宋体" w:eastAsia="方正仿宋_GBK"/>
          <w:b/>
          <w:color w:val="auto"/>
          <w:sz w:val="32"/>
          <w:szCs w:val="32"/>
          <w:highlight w:val="none"/>
          <w:lang w:val="en-US" w:eastAsia="zh-CN"/>
        </w:rPr>
        <w:t>二通道</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文山经西畴到越南通道。</w:t>
      </w:r>
      <w:r>
        <w:rPr>
          <w:rFonts w:hint="eastAsia" w:ascii="宋体" w:hAnsi="宋体" w:eastAsia="方正仿宋_GBK" w:cs="方正仿宋简体"/>
          <w:b w:val="0"/>
          <w:color w:val="auto"/>
          <w:kern w:val="2"/>
          <w:sz w:val="32"/>
          <w:szCs w:val="32"/>
          <w:highlight w:val="none"/>
          <w:lang w:val="en-US" w:eastAsia="zh-CN" w:bidi="ar-SA"/>
        </w:rPr>
        <w:t>围绕县城、兴街与麻栗坡同城化、协同化发展这一总体发展方向，突出空间节约和高效利用特点，服从和服务于国家和省的主体功能区建设，优化区域产业发展政策，强化区域产业发展措施。坚持详细规划先行，坚持生产核心领域重点，坚持基础设施建设与产业发展同步，以组装、农产品深加工、新兴产业培育为主要发展内容，合理承接东部地区的清洁产业，主动承担文山南部经济圈产业分工任务。突出与文山、砚山及工业园区半小时经济圈、生活圈承接服务，应用好畜禽标准化规模养殖技术，布局和发展一批畜禽产业，提供优质畜家禽产品，做好果蔬饮料、植物饮料、民族特需品、特色工艺品的开发，促进副业发展兴旺。主动对接工业园区产品分装品生产服务、发展相应包装产业，做好电解铝下游产品生产，发展一批铝加工产业，进一步提高走廊沿线的能源消纳能力、资源利用能力、劳动力接纳能力，进一步优化产业发展布局，发展一批生态农产品生产、旅游资源开发、矿产加工、农产品加工、建筑建材生产、康养和体育锻炼产业，抓好森林特色小镇建设，提高廊道经济贡献率。</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河口经西畴到粤港澳大湾区通道。</w:t>
      </w:r>
      <w:r>
        <w:rPr>
          <w:rFonts w:hint="eastAsia" w:ascii="宋体" w:hAnsi="宋体" w:eastAsia="方正仿宋_GBK" w:cs="方正仿宋简体"/>
          <w:b w:val="0"/>
          <w:color w:val="auto"/>
          <w:kern w:val="2"/>
          <w:sz w:val="32"/>
          <w:szCs w:val="32"/>
          <w:highlight w:val="none"/>
          <w:lang w:val="en-US" w:eastAsia="zh-CN" w:bidi="ar-SA"/>
        </w:rPr>
        <w:t>充分发掘交通优势和自然条件，抓好木本油料、优质粮食、烤烟、水果、蔬菜、畜牧、渔业、糖料、乡村旅游、矿产开发等高原生态产业，着力抓好生态农产品科技示范生产、规模生产与集约生产。围绕农业新业态，布局种苗生产车间，自动灌溉设备、营养液自动配置、高效蔬菜育苗设备、节（农）药、节水型农业技术设备组装技术合成应用，发展现代农业、智慧农业、订单农业、订制农业、设施供应与服务产业。发展烤烟、林下、香料产业和木制品深加工等产业，布局相应的农产品加工企业，为西畴融入和服务云南省沿边经济带建设和粤港澳大湾区经济建设搭好平台。</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jc w:val="center"/>
        <w:textAlignment w:val="auto"/>
        <w:outlineLvl w:val="9"/>
        <w:rPr>
          <w:rFonts w:hint="eastAsia" w:ascii="宋体" w:hAnsi="宋体" w:eastAsia="方正仿宋_GBK"/>
          <w:b/>
          <w:color w:val="auto"/>
          <w:sz w:val="32"/>
          <w:szCs w:val="32"/>
          <w:highlight w:val="none"/>
          <w:lang w:val="en-US" w:eastAsia="zh-CN"/>
        </w:rPr>
      </w:pPr>
      <w:r>
        <w:rPr>
          <w:rFonts w:hint="eastAsia" w:ascii="宋体" w:hAnsi="宋体" w:eastAsia="方正仿宋_GBK"/>
          <w:b/>
          <w:color w:val="auto"/>
          <w:sz w:val="32"/>
          <w:szCs w:val="32"/>
          <w:highlight w:val="none"/>
          <w:lang w:val="en-US" w:eastAsia="zh-CN"/>
        </w:rPr>
        <w:t>三区（示范）</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石漠化综合治理研教示范区。</w:t>
      </w:r>
      <w:r>
        <w:rPr>
          <w:rFonts w:hint="eastAsia" w:ascii="宋体" w:hAnsi="宋体" w:eastAsia="方正仿宋_GBK" w:cs="方正仿宋简体"/>
          <w:b w:val="0"/>
          <w:color w:val="auto"/>
          <w:kern w:val="2"/>
          <w:sz w:val="32"/>
          <w:szCs w:val="32"/>
          <w:highlight w:val="none"/>
          <w:lang w:val="en-US" w:eastAsia="zh-CN" w:bidi="ar-SA"/>
        </w:rPr>
        <w:t>以兴街三光、江龙和蚌谷长箐治理成果为依托，赋予“六子登科”治理模式新内涵，加快片区产业层次构建，形成可观可学可用拓展的石漠化治理研教区。以水保障优先，研究石漠化治理新途径，以体现用能方式转变、生态文明意识提高、产业链条延伸为目标，有效推进1万亩连片土地整治和空间治理，为其它石漠化地区治理贡献财富。</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医养康旅一体化发展示范区。</w:t>
      </w:r>
      <w:r>
        <w:rPr>
          <w:rFonts w:hint="eastAsia" w:ascii="宋体" w:hAnsi="宋体" w:eastAsia="方正仿宋_GBK" w:cs="方正仿宋简体"/>
          <w:b w:val="0"/>
          <w:color w:val="auto"/>
          <w:kern w:val="2"/>
          <w:sz w:val="32"/>
          <w:szCs w:val="32"/>
          <w:highlight w:val="none"/>
          <w:lang w:val="en-US" w:eastAsia="zh-CN" w:bidi="ar-SA"/>
        </w:rPr>
        <w:t>加强基础设施建设，积极做好区域潜力调查与分析，坚持大众普惠、城旅协调、定制体验的康旅互促规划思维，以规模设施适度超前原则，统筹地上地下设施建设，合理布局集吃、住、行、游、购、娱、厕、网一体的医养康旅设施和信息导游平台。积极创办学生夏令营、青年自行车运动赛、垂钓赛、汽车技能挑战赛、老年竞技等各类赛事活动，不断丰富康养旅新业态。</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道地药材繁育种植示范区。</w:t>
      </w:r>
      <w:r>
        <w:rPr>
          <w:rFonts w:hint="eastAsia" w:ascii="宋体" w:hAnsi="宋体" w:eastAsia="方正仿宋_GBK" w:cs="方正仿宋简体"/>
          <w:b w:val="0"/>
          <w:color w:val="auto"/>
          <w:kern w:val="2"/>
          <w:sz w:val="32"/>
          <w:szCs w:val="32"/>
          <w:highlight w:val="none"/>
          <w:lang w:val="en-US" w:eastAsia="zh-CN" w:bidi="ar-SA"/>
        </w:rPr>
        <w:t>围绕三七、山豆根（苦参）、重楼等中药材种植，合理布局一批建设规模不等的道地药材繁育种植基地。做好区域中药材的药理性能分析，积极拓展与制药厂合作，实施中药材生产定制，将我县的中药材种植形成制药厂原材料生产与粗加工基地，为远期大型药业集团开设分厂(中心、基地)，及推动形成医药产业发展联合体打基础，不断发展壮大中药材产业发展规模和价值链。</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jc w:val="center"/>
        <w:textAlignment w:val="auto"/>
        <w:outlineLvl w:val="9"/>
        <w:rPr>
          <w:rFonts w:hint="eastAsia" w:ascii="宋体" w:hAnsi="宋体" w:eastAsia="方正仿宋_GBK"/>
          <w:b/>
          <w:color w:val="auto"/>
          <w:sz w:val="32"/>
          <w:szCs w:val="32"/>
          <w:highlight w:val="none"/>
          <w:lang w:val="en-US" w:eastAsia="zh-CN"/>
        </w:rPr>
      </w:pPr>
      <w:r>
        <w:rPr>
          <w:rFonts w:hint="eastAsia" w:ascii="宋体" w:hAnsi="宋体" w:eastAsia="方正仿宋_GBK"/>
          <w:b/>
          <w:color w:val="auto"/>
          <w:sz w:val="32"/>
          <w:szCs w:val="32"/>
          <w:highlight w:val="none"/>
          <w:lang w:val="en-US" w:eastAsia="zh-CN"/>
        </w:rPr>
        <w:t>五基地</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“西畴精神”示范教育基地。</w:t>
      </w:r>
      <w:r>
        <w:rPr>
          <w:rFonts w:hint="eastAsia" w:ascii="宋体" w:hAnsi="宋体" w:eastAsia="方正仿宋_GBK" w:cs="方正仿宋简体"/>
          <w:b w:val="0"/>
          <w:color w:val="auto"/>
          <w:kern w:val="2"/>
          <w:sz w:val="32"/>
          <w:szCs w:val="32"/>
          <w:highlight w:val="none"/>
          <w:lang w:val="en-US" w:eastAsia="zh-CN" w:bidi="ar-SA"/>
        </w:rPr>
        <w:t>充分发挥“西畴精神”教育示范引领作用，做好人物传记、故事编辑、文化创作和对外宣传，推进“西畴精神”成为红色文化品牌，融入文化产业共繁共享。</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绿色农特产品生产加工基地。</w:t>
      </w:r>
      <w:r>
        <w:rPr>
          <w:rFonts w:hint="eastAsia" w:ascii="宋体" w:hAnsi="宋体" w:eastAsia="方正仿宋_GBK" w:cs="方正仿宋简体"/>
          <w:b w:val="0"/>
          <w:color w:val="auto"/>
          <w:kern w:val="2"/>
          <w:sz w:val="32"/>
          <w:szCs w:val="32"/>
          <w:highlight w:val="none"/>
          <w:lang w:val="en-US" w:eastAsia="zh-CN" w:bidi="ar-SA"/>
        </w:rPr>
        <w:t>强化益农信息社作用发挥，加强农业服务平台建设，支持农业车间化、工厂化、观赏化、科教化创新发展，推进农工联合，促进农工互补，做好农业扶持政策调整，集中精力健全一批设施配套产业基地。完善农业服务体系，高质量做家禽、大生猪、肉牛、中药材、果蔬、甘蔗、核桃产业，转变发展理念，用活“两种资源、两个市场”，发展一批农特产品加工企业，做长农产品产业链条。</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绿色石材产业基地。</w:t>
      </w:r>
      <w:r>
        <w:rPr>
          <w:rFonts w:hint="eastAsia" w:ascii="宋体" w:hAnsi="宋体" w:eastAsia="方正仿宋_GBK" w:cs="方正仿宋简体"/>
          <w:b w:val="0"/>
          <w:color w:val="auto"/>
          <w:kern w:val="2"/>
          <w:sz w:val="32"/>
          <w:szCs w:val="32"/>
          <w:highlight w:val="none"/>
          <w:lang w:val="en-US" w:eastAsia="zh-CN" w:bidi="ar-SA"/>
        </w:rPr>
        <w:t>做好投资承诺制度政策应用，统筹石材资源聚合，抓好系列产品研发，推动兴街石材园区建设进度，促进企业投产达产。</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新时代文明实践基地。</w:t>
      </w:r>
      <w:r>
        <w:rPr>
          <w:rFonts w:hint="eastAsia" w:ascii="宋体" w:hAnsi="宋体" w:eastAsia="方正仿宋_GBK" w:cs="方正仿宋简体"/>
          <w:b w:val="0"/>
          <w:color w:val="auto"/>
          <w:kern w:val="2"/>
          <w:sz w:val="32"/>
          <w:szCs w:val="32"/>
          <w:highlight w:val="none"/>
          <w:lang w:val="en-US" w:eastAsia="zh-CN" w:bidi="ar-SA"/>
        </w:rPr>
        <w:t>围绕“举旗帜、聚民心、育新人、兴文化、展形象”这一历史使命，突出社会主义核心价值观，切实开展文明乡风、良好家风、淳朴民风培育系列活动，用思想引领、道德教化、文化传承来提升人民群众的思想觉悟、道德水准、文明素养和全社会文明程度水平，结合“西畴精神”新高地建设，推进习近平新时代中国特色社会主义思想往深走、往心走、往实走，凝聚人民智慧和力量，用“西畴精神”引领群众在西畴大地奋力共筑中国梦，形成具有西畴特色的新时代文明实践基地。</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宋体" w:hAnsi="宋体" w:eastAsia="方正仿宋_GBK" w:cs="方正仿宋简体"/>
          <w:b w:val="0"/>
          <w:color w:val="auto"/>
          <w:kern w:val="2"/>
          <w:sz w:val="32"/>
          <w:szCs w:val="32"/>
          <w:highlight w:val="none"/>
          <w:lang w:val="en-US" w:eastAsia="zh-CN" w:bidi="ar-SA"/>
        </w:rPr>
      </w:pPr>
      <w:r>
        <w:rPr>
          <w:rFonts w:hint="eastAsia" w:ascii="宋体" w:hAnsi="宋体" w:eastAsia="方正仿宋_GBK" w:cs="方正仿宋简体"/>
          <w:b/>
          <w:bCs/>
          <w:color w:val="auto"/>
          <w:kern w:val="2"/>
          <w:sz w:val="32"/>
          <w:szCs w:val="32"/>
          <w:highlight w:val="none"/>
          <w:lang w:val="en-US" w:eastAsia="zh-CN" w:bidi="ar-SA"/>
        </w:rPr>
        <w:t>全国“两山”实践创新基地。</w:t>
      </w:r>
      <w:r>
        <w:rPr>
          <w:rFonts w:hint="eastAsia" w:ascii="宋体" w:hAnsi="宋体" w:eastAsia="方正仿宋_GBK" w:cs="方正仿宋简体"/>
          <w:b w:val="0"/>
          <w:color w:val="auto"/>
          <w:kern w:val="2"/>
          <w:sz w:val="32"/>
          <w:szCs w:val="32"/>
          <w:highlight w:val="none"/>
          <w:lang w:val="en-US" w:eastAsia="zh-CN" w:bidi="ar-SA"/>
        </w:rPr>
        <w:t>围绕节能环保、清洁生产、清洁能源、生态保护与修复、城乡绿色基础设施、生态农业、绿色工业等领域，推动绿色发展，积极改善生态，共建绿色家园。着力在绿色创新技术应用、政策管理及制度措施建设应用上迈出新步伐，将资源消耗、污染排放降低到最小程度，形成生态文明建设的有力践行，人与自然和谐共生的典范。</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宋体" w:hAnsi="宋体" w:eastAsia="方正仿宋简体" w:cs="方正仿宋简体"/>
          <w:b w:val="0"/>
          <w:color w:val="auto"/>
          <w:kern w:val="2"/>
          <w:sz w:val="32"/>
          <w:szCs w:val="32"/>
          <w:highlight w:val="none"/>
          <w:lang w:val="en-US" w:eastAsia="zh-CN" w:bidi="ar-SA"/>
        </w:rPr>
      </w:pPr>
      <w:r>
        <w:rPr>
          <w:rFonts w:hint="eastAsia" w:ascii="宋体" w:hAnsi="宋体" w:eastAsia="方正仿宋简体" w:cs="方正仿宋简体"/>
          <w:b w:val="0"/>
          <w:color w:val="auto"/>
          <w:kern w:val="2"/>
          <w:sz w:val="32"/>
          <w:szCs w:val="32"/>
          <w:highlight w:val="none"/>
          <w:lang w:val="en-US" w:eastAsia="zh-CN" w:bidi="ar-SA"/>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宋体" w:hAnsi="宋体" w:eastAsia="方正小标宋_GBK" w:cs="方正小标宋_GBK"/>
          <w:b w:val="0"/>
          <w:bCs/>
          <w:color w:val="auto"/>
          <w:sz w:val="44"/>
          <w:szCs w:val="44"/>
          <w:highlight w:val="none"/>
          <w:lang w:val="en-US" w:eastAsia="zh-CN"/>
        </w:rPr>
      </w:pPr>
      <w:bookmarkStart w:id="50" w:name="_Toc22389_WPSOffice_Level1"/>
      <w:bookmarkStart w:id="51" w:name="_Toc25247"/>
      <w:bookmarkStart w:id="52" w:name="_Toc8925_WPSOffice_Level1"/>
      <w:r>
        <w:rPr>
          <w:rFonts w:hint="eastAsia" w:ascii="宋体" w:hAnsi="宋体" w:eastAsia="方正小标宋_GBK" w:cs="方正小标宋_GBK"/>
          <w:b w:val="0"/>
          <w:bCs/>
          <w:color w:val="auto"/>
          <w:sz w:val="44"/>
          <w:szCs w:val="44"/>
          <w:highlight w:val="none"/>
          <w:lang w:val="en-US" w:eastAsia="zh-CN"/>
        </w:rPr>
        <w:t>第四篇　</w:t>
      </w:r>
      <w:bookmarkEnd w:id="50"/>
      <w:r>
        <w:rPr>
          <w:rFonts w:hint="eastAsia" w:ascii="宋体" w:hAnsi="宋体" w:eastAsia="方正小标宋_GBK" w:cs="方正小标宋_GBK"/>
          <w:b w:val="0"/>
          <w:bCs/>
          <w:color w:val="auto"/>
          <w:sz w:val="44"/>
          <w:szCs w:val="44"/>
          <w:highlight w:val="none"/>
          <w:lang w:val="en-US" w:eastAsia="zh-CN"/>
        </w:rPr>
        <w:t>打造“西畴精神”实践创新高地</w:t>
      </w:r>
      <w:bookmarkEnd w:id="51"/>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仿宋_GBK" w:cs="方正小标宋_GBK"/>
          <w:b w:val="0"/>
          <w:bCs/>
          <w:color w:val="auto"/>
          <w:sz w:val="32"/>
          <w:szCs w:val="32"/>
          <w:highlight w:val="none"/>
          <w:lang w:val="en-US" w:eastAsia="zh-CN"/>
        </w:rPr>
      </w:pPr>
      <w:bookmarkStart w:id="53" w:name="_Toc13096"/>
      <w:bookmarkStart w:id="54" w:name="_Toc8464_WPSOffice_Level2"/>
      <w:bookmarkStart w:id="55" w:name="_Toc9688"/>
      <w:bookmarkStart w:id="56" w:name="_Toc6966_WPSOffice_Level2"/>
      <w:bookmarkStart w:id="57" w:name="_Toc26350_WPSOffice_Level2"/>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第一章　全面弘扬</w:t>
      </w:r>
      <w:bookmarkEnd w:id="53"/>
      <w:bookmarkEnd w:id="54"/>
      <w:bookmarkEnd w:id="55"/>
      <w:bookmarkEnd w:id="56"/>
      <w:bookmarkEnd w:id="57"/>
      <w:r>
        <w:rPr>
          <w:rFonts w:hint="eastAsia" w:ascii="宋体" w:hAnsi="宋体" w:eastAsia="方正黑体_GBK" w:cs="方正黑体_GBK"/>
          <w:b w:val="0"/>
          <w:bCs/>
          <w:color w:val="auto"/>
          <w:sz w:val="32"/>
          <w:szCs w:val="32"/>
          <w:highlight w:val="none"/>
          <w:lang w:val="en-US" w:eastAsia="zh-CN"/>
        </w:rPr>
        <w:t>“西畴精神”</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jc w:val="both"/>
        <w:textAlignment w:val="auto"/>
        <w:rPr>
          <w:rFonts w:hint="eastAsia" w:ascii="宋体" w:hAnsi="宋体" w:eastAsia="方正仿宋_GBK" w:cstheme="minorBidi"/>
          <w:b w:val="0"/>
          <w:color w:val="auto"/>
          <w:kern w:val="2"/>
          <w:sz w:val="32"/>
          <w:szCs w:val="32"/>
          <w:highlight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jc w:val="both"/>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西畴精神”是西畴人民在长期与大自然抗争中磨炼出来的一种奋斗精神、实干精神、创造精神和只争朝夕精神。在全面开启现代化建设进程中，需秉持、传承、弘扬、创新“西畴精神”，不断为“西畴精神”赋予新内涵和新要求，让“西畴精神”继续感染、激励广大干部群众为民族复兴梦想而奋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58" w:name="_Toc8417_WPSOffice_Level3"/>
      <w:bookmarkStart w:id="59" w:name="_Toc22741"/>
      <w:bookmarkStart w:id="60" w:name="_Toc11131"/>
      <w:bookmarkStart w:id="61" w:name="_Toc17342_WPSOffice_Level3"/>
      <w:bookmarkStart w:id="62" w:name="_Toc20297_WPSOffice_Level3"/>
      <w:r>
        <w:rPr>
          <w:rFonts w:hint="eastAsia" w:ascii="宋体" w:hAnsi="宋体" w:eastAsia="方正楷体_GBK" w:cs="方正楷体_GBK"/>
          <w:b w:val="0"/>
          <w:bCs w:val="0"/>
          <w:color w:val="auto"/>
          <w:sz w:val="32"/>
          <w:szCs w:val="30"/>
          <w:highlight w:val="none"/>
          <w:lang w:val="en-US" w:eastAsia="zh-CN"/>
        </w:rPr>
        <w:t>第一节  完整“刻录”不同时期“西畴精神”轨迹</w:t>
      </w:r>
      <w:bookmarkEnd w:id="58"/>
      <w:bookmarkEnd w:id="59"/>
      <w:bookmarkEnd w:id="60"/>
      <w:bookmarkEnd w:id="61"/>
      <w:bookmarkEnd w:id="6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加强“西畴精神”教育基地设施建设，完善基地服务设施配套，对“西畴精神”发祥地蚌谷木者摸石谷炸石造地、西洒岩头进村公路、鸡街至肖家塘公路、蚌谷长箐片区中低产田地改造、三光石漠梯田建设等工程实施重点保护，使其完美展现人类与自然抗争的结果。对每一个“西畴精神”标志性工程，均配置一间教育活动室，编纂对应的“工程建设精神志”，建好村史馆，实事求是完整刻录当时的时代背景、人物事件过程。继续打造摸石谷、岩头、肖家塘、长箐片区、三光石漠梯田等现场教学基地，对每个教学参观点配套建设必要的停车场、参观道路、观景台等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63" w:name="_Toc6596_WPSOffice_Level3"/>
      <w:bookmarkStart w:id="64" w:name="_Toc4842"/>
      <w:bookmarkStart w:id="65" w:name="_Toc3220_WPSOffice_Level3"/>
      <w:bookmarkStart w:id="66" w:name="_Toc10354_WPSOffice_Level3"/>
      <w:bookmarkStart w:id="67" w:name="_Toc2817"/>
      <w:r>
        <w:rPr>
          <w:rFonts w:hint="eastAsia" w:ascii="宋体" w:hAnsi="宋体" w:eastAsia="方正楷体_GBK" w:cs="方正楷体_GBK"/>
          <w:b w:val="0"/>
          <w:bCs w:val="0"/>
          <w:color w:val="auto"/>
          <w:sz w:val="32"/>
          <w:szCs w:val="30"/>
          <w:highlight w:val="none"/>
          <w:lang w:val="en-US" w:eastAsia="zh-CN"/>
        </w:rPr>
        <w:t>第二节　完善“西畴精神”教育基地功能</w:t>
      </w:r>
      <w:bookmarkEnd w:id="63"/>
      <w:bookmarkEnd w:id="64"/>
      <w:bookmarkEnd w:id="65"/>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充分发挥“西畴精神”教育示范引领作用，依托现有“西畴精神”教学资源，丰富多彩办好“西畴精神”现场教育教学，力争成为新时代推动“中国梦”实现的国家级实践教育基地，推进“西畴精神”成为红色文化品牌，融入文化产业共繁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编纂一批教育丛书。</w:t>
      </w:r>
      <w:r>
        <w:rPr>
          <w:rFonts w:hint="eastAsia" w:ascii="宋体" w:hAnsi="宋体" w:eastAsia="方正仿宋_GBK" w:cstheme="minorBidi"/>
          <w:b w:val="0"/>
          <w:color w:val="auto"/>
          <w:kern w:val="2"/>
          <w:sz w:val="32"/>
          <w:szCs w:val="32"/>
          <w:highlight w:val="none"/>
          <w:lang w:val="en-US" w:eastAsia="zh-CN" w:bidi="ar-SA"/>
        </w:rPr>
        <w:t>以史为鉴、以史为镜，彰显“西畴精神”人物故事，围绕党的领导、瓶颈突破、生产生活改善、战天斗地精神面貌，从群众思想统一、基础设施建设、群众生产生活改善、人民生活水平提高、群众世界观、价值观、人生观的改变等过程，编撰好一批教育丛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拍好一部教育片。</w:t>
      </w:r>
      <w:r>
        <w:rPr>
          <w:rFonts w:hint="eastAsia" w:ascii="宋体" w:hAnsi="宋体" w:eastAsia="方正仿宋_GBK" w:cstheme="minorBidi"/>
          <w:b w:val="0"/>
          <w:color w:val="auto"/>
          <w:kern w:val="2"/>
          <w:sz w:val="32"/>
          <w:szCs w:val="32"/>
          <w:highlight w:val="none"/>
          <w:lang w:val="en-US" w:eastAsia="zh-CN" w:bidi="ar-SA"/>
        </w:rPr>
        <w:t>突出区域地形地貌自然特征，“搬家不如搬石头，等不是办法、干才有希望”的精神精髓，结合小康社会建成和现代化建设，录制好一部教育片。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编好一台歌舞剧。</w:t>
      </w:r>
      <w:r>
        <w:rPr>
          <w:rFonts w:hint="eastAsia" w:ascii="宋体" w:hAnsi="宋体" w:eastAsia="方正仿宋_GBK" w:cstheme="minorBidi"/>
          <w:b w:val="0"/>
          <w:color w:val="auto"/>
          <w:kern w:val="2"/>
          <w:sz w:val="32"/>
          <w:szCs w:val="32"/>
          <w:highlight w:val="none"/>
          <w:lang w:val="en-US" w:eastAsia="zh-CN" w:bidi="ar-SA"/>
        </w:rPr>
        <w:t>依托区域民族特色风情，普写一曲“西畴精神”起源与民族团结奋进的赞歌，用生动的情节、完整的艺术反映“西畴精神”产生、传承、弘扬、奋进的过程，编好一台歌舞剧，将“西畴精神”生动完美呈现。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培育一批解说新人。</w:t>
      </w:r>
      <w:r>
        <w:rPr>
          <w:rFonts w:hint="eastAsia" w:ascii="宋体" w:hAnsi="宋体" w:eastAsia="方正仿宋_GBK" w:cstheme="minorBidi"/>
          <w:b w:val="0"/>
          <w:color w:val="auto"/>
          <w:kern w:val="2"/>
          <w:sz w:val="32"/>
          <w:szCs w:val="32"/>
          <w:highlight w:val="none"/>
          <w:lang w:val="en-US" w:eastAsia="zh-CN" w:bidi="ar-SA"/>
        </w:rPr>
        <w:t>开展好“西畴精神”演讲比赛，激励年轻一代积极参与“西畴精神”解说，从而带动更多解说者的产生，逐步形成人人都是解说员良好局面。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开设一个“大讲堂”。</w:t>
      </w:r>
      <w:r>
        <w:rPr>
          <w:rFonts w:hint="eastAsia" w:ascii="宋体" w:hAnsi="宋体" w:eastAsia="方正仿宋_GBK" w:cstheme="minorBidi"/>
          <w:b w:val="0"/>
          <w:color w:val="auto"/>
          <w:kern w:val="2"/>
          <w:sz w:val="32"/>
          <w:szCs w:val="32"/>
          <w:highlight w:val="none"/>
          <w:lang w:val="en-US" w:eastAsia="zh-CN" w:bidi="ar-SA"/>
        </w:rPr>
        <w:t>强化示范带动，搭建不同类型的宣讲平台，以“万名干部上讲台、万堂党课下基层”活动为载体，构建“领导带头＋干部职工＋学校＋企业＋群众”宣讲新格局，形成主要领导带头宣讲、宣讲团示范宣讲、宣传部门组织宣讲、相关部门专题宣讲的全民宣讲良好局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精组一个宣讲团。</w:t>
      </w:r>
      <w:r>
        <w:rPr>
          <w:rFonts w:hint="eastAsia" w:ascii="宋体" w:hAnsi="宋体" w:eastAsia="方正仿宋_GBK" w:cstheme="minorBidi"/>
          <w:b w:val="0"/>
          <w:color w:val="auto"/>
          <w:kern w:val="2"/>
          <w:sz w:val="32"/>
          <w:szCs w:val="32"/>
          <w:highlight w:val="none"/>
          <w:lang w:val="en-US" w:eastAsia="zh-CN" w:bidi="ar-SA"/>
        </w:rPr>
        <w:t>从“西畴精神”的缔造者、亲历者、见证者、传承者、践行者中选树好先进典型，定期组织到机关、学校、企业等进行巡回宣讲，用他们的亲身经历和感受来感动时代、鼓舞时代、召唤时代，使“西畴精神”更深入民心。</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仿宋_GBK" w:cs="方正小标宋_GBK"/>
          <w:b w:val="0"/>
          <w:bCs/>
          <w:color w:val="auto"/>
          <w:sz w:val="32"/>
          <w:szCs w:val="32"/>
          <w:highlight w:val="none"/>
          <w:lang w:val="en-US" w:eastAsia="zh-CN"/>
        </w:rPr>
      </w:pPr>
      <w:bookmarkStart w:id="68" w:name="_Toc216"/>
      <w:bookmarkStart w:id="69" w:name="_Toc1230_WPSOffice_Level2"/>
      <w:bookmarkStart w:id="70" w:name="_Toc26370"/>
      <w:bookmarkStart w:id="71" w:name="_Toc7780_WPSOffice_Level2"/>
      <w:bookmarkStart w:id="72" w:name="_Toc15591_WPSOffice_Level2"/>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第二章　做好“西畴精神”动能转换</w:t>
      </w:r>
      <w:bookmarkEnd w:id="68"/>
      <w:bookmarkEnd w:id="69"/>
      <w:bookmarkEnd w:id="70"/>
      <w:bookmarkEnd w:id="71"/>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在全面开启社会主义现代化国家建设新征程中，为推进全县经济社会高质量跨越发展，需凝集更多的“西畴精神”力量，汇集更多的“西畴精神”洪流，形成更具时代特征的“西畴精神”源泉，将“西畴精神”转化为推动发展的重要精神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73" w:name="OLE_LINK1"/>
      <w:bookmarkStart w:id="74" w:name="_Toc10354_WPSOffice_Level2"/>
      <w:bookmarkStart w:id="75" w:name="_Toc13471_WPSOffice_Level3"/>
      <w:bookmarkStart w:id="76" w:name="_Toc30118"/>
      <w:bookmarkStart w:id="77" w:name="_Toc14557_WPSOffice_Level3"/>
      <w:bookmarkStart w:id="78" w:name="_Toc18956"/>
      <w:r>
        <w:rPr>
          <w:rFonts w:hint="eastAsia" w:ascii="宋体" w:hAnsi="宋体" w:eastAsia="方正楷体_GBK" w:cs="方正楷体_GBK"/>
          <w:b w:val="0"/>
          <w:bCs w:val="0"/>
          <w:color w:val="auto"/>
          <w:sz w:val="32"/>
          <w:szCs w:val="30"/>
          <w:highlight w:val="none"/>
          <w:lang w:val="en-US" w:eastAsia="zh-CN"/>
        </w:rPr>
        <w:t>第一节　奏响“西畴精神”主旋律</w:t>
      </w:r>
      <w:bookmarkEnd w:id="73"/>
      <w:bookmarkEnd w:id="74"/>
      <w:bookmarkEnd w:id="75"/>
      <w:bookmarkEnd w:id="76"/>
      <w:bookmarkEnd w:id="77"/>
      <w:bookmarkEnd w:id="7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实现“西畴精神”与“五大发展理念”“中华民族精神”、时代要求有机对接，全面奏响“西畴精神”主旋律，扎实开展“西畴精神”实践行动、创新行动、引领行动和示范创建行动。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争当省石漠化地区经济高质量跨越式发展先行者。</w:t>
      </w:r>
      <w:r>
        <w:rPr>
          <w:rFonts w:hint="eastAsia" w:ascii="宋体" w:hAnsi="宋体" w:eastAsia="方正仿宋_GBK" w:cstheme="minorBidi"/>
          <w:b w:val="0"/>
          <w:bCs w:val="0"/>
          <w:color w:val="auto"/>
          <w:kern w:val="2"/>
          <w:sz w:val="32"/>
          <w:szCs w:val="32"/>
          <w:highlight w:val="none"/>
          <w:lang w:val="en-US" w:eastAsia="zh-CN" w:bidi="ar-SA"/>
        </w:rPr>
        <w:t>围绕高质量发展目标要求，打一场基础设施高级化、产业链条现代化、公共服务标准化建设持久战和年度目标攻坚战，推进区域经济和群众收入实现五年翻一番，走出一条石漠化地区经济高质量跨越式发展的路子，为全省石漠化地区发展创造和总结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争当省生态文明排头兵建设先行者。</w:t>
      </w:r>
      <w:r>
        <w:rPr>
          <w:rFonts w:hint="eastAsia" w:ascii="宋体" w:hAnsi="宋体" w:eastAsia="方正仿宋_GBK" w:cstheme="minorBidi"/>
          <w:b w:val="0"/>
          <w:bCs w:val="0"/>
          <w:color w:val="auto"/>
          <w:kern w:val="2"/>
          <w:sz w:val="32"/>
          <w:szCs w:val="32"/>
          <w:highlight w:val="none"/>
          <w:lang w:val="en-US" w:eastAsia="zh-CN" w:bidi="ar-SA"/>
        </w:rPr>
        <w:t>牢固树立和践行“绿水青山就是金山银山”理念，以留住青山赢得未来韬略，本着资源安全集约高效利用，注重“两污”治理和节能减排，打造好生产空间；注重公共设施和公共服务，抓好美丽乡镇、美丽乡村、特色小镇建设，努力创造舒适清新宜居的生活空间；做好生态红线控制，抓好林木保护和水源地建设，抓好林木资源优化与升级，积极转化用能结构，打造碧水蓝天绿叶的生态空间，使美丽西畴建设走在云南石漠化区域治理前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争当省乡村振兴创新建设先行者。</w:t>
      </w:r>
      <w:r>
        <w:rPr>
          <w:rFonts w:hint="eastAsia" w:ascii="宋体" w:hAnsi="宋体" w:eastAsia="方正仿宋_GBK" w:cstheme="minorBidi"/>
          <w:b w:val="0"/>
          <w:bCs w:val="0"/>
          <w:color w:val="auto"/>
          <w:kern w:val="2"/>
          <w:sz w:val="32"/>
          <w:szCs w:val="32"/>
          <w:highlight w:val="none"/>
          <w:lang w:val="en-US" w:eastAsia="zh-CN" w:bidi="ar-SA"/>
        </w:rPr>
        <w:t>围绕产业兴旺“六化”发展、生态宜居“五有”建设、乡风文明“四率”提升、治理有效“三项”工程、生活富裕“三个”维度建设重点，积极探索乡村产业、人才、文化、生态和组织振兴、村容村貌治理、资金筹措高度契合的有效路径，打造乡村振兴西畴模式，使乡村振兴创新建设走在全省的前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争当区域协调发展践行者。</w:t>
      </w:r>
      <w:r>
        <w:rPr>
          <w:rFonts w:hint="eastAsia" w:ascii="宋体" w:hAnsi="宋体" w:eastAsia="方正仿宋_GBK" w:cstheme="minorBidi"/>
          <w:b w:val="0"/>
          <w:bCs w:val="0"/>
          <w:color w:val="auto"/>
          <w:kern w:val="2"/>
          <w:sz w:val="32"/>
          <w:szCs w:val="32"/>
          <w:highlight w:val="none"/>
          <w:lang w:val="en-US" w:eastAsia="zh-CN" w:bidi="ar-SA"/>
        </w:rPr>
        <w:t>顺应时代发展，充分发挥自身主观能动性，加快文山南部经济圈构建，围绕兴街及县城陆港物流枢纽、天文公路和新（马街）珠（珠琳）公路及乡镇环圈经济廊道、大区域特色农产品生产加工、对外贸易聚散和飞地经济聚集为主要载体的区域协作融合发展平台打造，努力成为区域经济社会协调发展的倡导者、组织者、奋斗者和有效践行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79" w:name="_Toc23656_WPSOffice_Level3"/>
      <w:bookmarkStart w:id="80" w:name="_Toc24870_WPSOffice_Level2"/>
      <w:bookmarkStart w:id="81" w:name="_Toc26092_WPSOffice_Level3"/>
      <w:bookmarkStart w:id="82" w:name="_Toc17159"/>
      <w:bookmarkStart w:id="83" w:name="_Toc30317"/>
      <w:r>
        <w:rPr>
          <w:rFonts w:hint="eastAsia" w:ascii="宋体" w:hAnsi="宋体" w:eastAsia="方正楷体_GBK" w:cs="方正楷体_GBK"/>
          <w:b w:val="0"/>
          <w:bCs w:val="0"/>
          <w:color w:val="auto"/>
          <w:sz w:val="32"/>
          <w:szCs w:val="30"/>
          <w:highlight w:val="none"/>
          <w:lang w:val="en-US" w:eastAsia="zh-CN"/>
        </w:rPr>
        <w:t>第二节　切实开展“西畴精神”实践行动</w:t>
      </w:r>
      <w:bookmarkEnd w:id="79"/>
      <w:bookmarkEnd w:id="80"/>
      <w:bookmarkEnd w:id="81"/>
      <w:bookmarkEnd w:id="82"/>
      <w:bookmarkEnd w:id="8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积极开展“西畴精神”在基础设施建设、产业绿色发展、公共服务均等化等方面的实践创新活动，不断丰富“西畴精神”内涵，让“西畴精神”更加光彩耀眼。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积极开展“西畴精神”创新行动。</w:t>
      </w:r>
      <w:r>
        <w:rPr>
          <w:rFonts w:hint="eastAsia" w:ascii="宋体" w:hAnsi="宋体" w:eastAsia="方正仿宋_GBK" w:cstheme="minorBidi"/>
          <w:b w:val="0"/>
          <w:bCs w:val="0"/>
          <w:color w:val="auto"/>
          <w:kern w:val="2"/>
          <w:sz w:val="32"/>
          <w:szCs w:val="32"/>
          <w:highlight w:val="none"/>
          <w:lang w:val="en-US" w:eastAsia="zh-CN" w:bidi="ar-SA"/>
        </w:rPr>
        <w:t>鼓励经济社会发展体制、机制、制度、措施创新。鼓励发展中的思路、方法和政策、科技、市场、资源应用创新。鼓励发展中的要素市场化配置创新，鼓励发展中管理、监督、制衡创新。让工作创新带动“西畴精神”的创新，让“西畴精神”的创新推动和加快高质量发展的步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积极开展“西畴精神”引领行动。</w:t>
      </w:r>
      <w:r>
        <w:rPr>
          <w:rFonts w:hint="eastAsia" w:ascii="宋体" w:hAnsi="宋体" w:eastAsia="方正仿宋_GBK" w:cstheme="minorBidi"/>
          <w:b w:val="0"/>
          <w:bCs w:val="0"/>
          <w:color w:val="auto"/>
          <w:kern w:val="2"/>
          <w:sz w:val="32"/>
          <w:szCs w:val="32"/>
          <w:highlight w:val="none"/>
          <w:lang w:val="en-US" w:eastAsia="zh-CN" w:bidi="ar-SA"/>
        </w:rPr>
        <w:t>加强各级、各行业、各组织、各团体的政治思想和“西畴精神”思想宣传与教育，全力做好政治思想和“西畴精神”引领工作，用政治思想和“西畴精神”激发群众的发展意识、目标意识和效能意识，提升全民素质，增强现代化建设的信心和决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积极开展“西畴精神”示范行动。</w:t>
      </w:r>
      <w:r>
        <w:rPr>
          <w:rFonts w:hint="eastAsia" w:ascii="宋体" w:hAnsi="宋体" w:eastAsia="方正仿宋_GBK" w:cstheme="minorBidi"/>
          <w:b w:val="0"/>
          <w:bCs w:val="0"/>
          <w:color w:val="auto"/>
          <w:kern w:val="2"/>
          <w:sz w:val="32"/>
          <w:szCs w:val="32"/>
          <w:highlight w:val="none"/>
          <w:lang w:val="en-US" w:eastAsia="zh-CN" w:bidi="ar-SA"/>
        </w:rPr>
        <w:t>让经济发展、项目实施、产业培育、民生改善、生态建设、民族团结、社会稳定、基层党建、石漠化综合治理、乡村振兴等各项工作，在践行“西畴精神”中取得新突破，让人民群众切身感受到新气象、新变化，切实把弘扬“西畴精神”落实到行动上，体现在工作中。</w:t>
      </w:r>
    </w:p>
    <w:p>
      <w:pPr>
        <w:rPr>
          <w:rFonts w:hint="eastAsia" w:ascii="宋体" w:hAnsi="宋体" w:eastAsia="方正小标宋_GBK" w:cs="方正小标宋_GBK"/>
          <w:color w:val="auto"/>
          <w:sz w:val="36"/>
          <w:szCs w:val="36"/>
          <w:highlight w:val="none"/>
          <w:lang w:val="en-US" w:eastAsia="zh-CN"/>
        </w:rPr>
      </w:pPr>
      <w:r>
        <w:rPr>
          <w:rFonts w:hint="eastAsia" w:ascii="宋体" w:hAnsi="宋体" w:eastAsia="方正小标宋_GBK" w:cs="方正小标宋_GBK"/>
          <w:color w:val="auto"/>
          <w:sz w:val="36"/>
          <w:szCs w:val="36"/>
          <w:highlight w:val="none"/>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宋体" w:hAnsi="宋体" w:eastAsia="方正小标宋_GBK" w:cs="方正小标宋_GBK"/>
          <w:b w:val="0"/>
          <w:bCs/>
          <w:color w:val="auto"/>
          <w:sz w:val="44"/>
          <w:szCs w:val="44"/>
          <w:highlight w:val="none"/>
          <w:lang w:val="en-US" w:eastAsia="zh-CN"/>
        </w:rPr>
      </w:pPr>
      <w:bookmarkStart w:id="84" w:name="_Toc18284"/>
      <w:bookmarkStart w:id="85" w:name="_Toc19985_WPSOffice_Level1"/>
      <w:bookmarkStart w:id="86" w:name="_Toc21766_WPSOffice_Level1"/>
      <w:bookmarkStart w:id="87" w:name="_Toc25842_WPSOffice_Level1"/>
      <w:bookmarkStart w:id="88" w:name="_Toc9759_WPSOffice_Level1"/>
      <w:bookmarkStart w:id="89" w:name="_Toc7060_WPSOffice_Level1"/>
      <w:bookmarkStart w:id="90" w:name="_Toc24659_WPSOffice_Level1"/>
      <w:bookmarkStart w:id="91" w:name="_Toc22143"/>
      <w:r>
        <w:rPr>
          <w:rFonts w:hint="eastAsia" w:ascii="宋体" w:hAnsi="宋体" w:eastAsia="方正小标宋_GBK" w:cs="方正小标宋_GBK"/>
          <w:b w:val="0"/>
          <w:bCs/>
          <w:color w:val="auto"/>
          <w:sz w:val="44"/>
          <w:szCs w:val="44"/>
          <w:highlight w:val="none"/>
          <w:lang w:val="en-US" w:eastAsia="zh-CN"/>
        </w:rPr>
        <w:t xml:space="preserve">第五篇  </w:t>
      </w:r>
      <w:bookmarkEnd w:id="84"/>
      <w:bookmarkEnd w:id="85"/>
      <w:bookmarkEnd w:id="86"/>
      <w:bookmarkEnd w:id="87"/>
      <w:bookmarkEnd w:id="88"/>
      <w:bookmarkEnd w:id="89"/>
      <w:r>
        <w:rPr>
          <w:rFonts w:hint="eastAsia" w:ascii="宋体" w:hAnsi="宋体" w:eastAsia="方正小标宋_GBK" w:cs="方正小标宋_GBK"/>
          <w:b w:val="0"/>
          <w:bCs/>
          <w:color w:val="auto"/>
          <w:sz w:val="44"/>
          <w:szCs w:val="44"/>
          <w:highlight w:val="none"/>
          <w:lang w:val="en-US" w:eastAsia="zh-CN"/>
        </w:rPr>
        <w:t>打造“绿水青山就是金山银山”实践创新基地</w:t>
      </w:r>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strike w:val="0"/>
          <w:dstrike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default"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strike w:val="0"/>
          <w:dstrike w:val="0"/>
          <w:color w:val="auto"/>
          <w:kern w:val="2"/>
          <w:sz w:val="32"/>
          <w:szCs w:val="32"/>
          <w:highlight w:val="none"/>
          <w:lang w:val="en-US" w:eastAsia="zh-CN" w:bidi="ar-SA"/>
        </w:rPr>
        <w:t>建立健全</w:t>
      </w:r>
      <w:r>
        <w:rPr>
          <w:rFonts w:hint="eastAsia" w:ascii="宋体" w:hAnsi="宋体" w:eastAsia="方正仿宋_GBK" w:cstheme="minorBidi"/>
          <w:b w:val="0"/>
          <w:bCs w:val="0"/>
          <w:color w:val="auto"/>
          <w:kern w:val="2"/>
          <w:sz w:val="32"/>
          <w:szCs w:val="32"/>
          <w:highlight w:val="none"/>
          <w:lang w:val="en-US" w:eastAsia="zh-CN" w:bidi="ar-SA"/>
        </w:rPr>
        <w:t>生态保护红线、环境质量底线、资源利用上线和生态环境准入清单等长效体制机制。实行生态环境保护“党政同责、一岗双责”，创新推进石漠化综合治理，推动具有地方特色的制度和行为实践创新。抓好基础设施建设、</w:t>
      </w:r>
      <w:r>
        <w:rPr>
          <w:rFonts w:hint="eastAsia" w:ascii="宋体" w:hAnsi="宋体" w:eastAsia="方正仿宋_GBK" w:cstheme="minorBidi"/>
          <w:b w:val="0"/>
          <w:bCs w:val="0"/>
          <w:strike w:val="0"/>
          <w:dstrike w:val="0"/>
          <w:color w:val="auto"/>
          <w:kern w:val="2"/>
          <w:sz w:val="32"/>
          <w:szCs w:val="32"/>
          <w:highlight w:val="none"/>
          <w:lang w:val="en-US" w:eastAsia="zh-CN" w:bidi="ar-SA"/>
        </w:rPr>
        <w:t>实践</w:t>
      </w:r>
      <w:r>
        <w:rPr>
          <w:rFonts w:hint="eastAsia" w:ascii="宋体" w:hAnsi="宋体" w:eastAsia="方正仿宋_GBK" w:cstheme="minorBidi"/>
          <w:b w:val="0"/>
          <w:bCs w:val="0"/>
          <w:color w:val="auto"/>
          <w:kern w:val="2"/>
          <w:sz w:val="32"/>
          <w:szCs w:val="32"/>
          <w:highlight w:val="none"/>
          <w:lang w:val="en-US" w:eastAsia="zh-CN" w:bidi="ar-SA"/>
        </w:rPr>
        <w:t>平台搭建和发展短板补齐，努力改善发展的基础条件。狠抓城乡人居环境建设，做好公共服务供给，推进经济增长、改革开放、城乡融合、生态环境、人民生活高质量发展，推动“两山”转化模式创新，构建</w:t>
      </w:r>
      <w:r>
        <w:rPr>
          <w:rFonts w:hint="default" w:ascii="宋体" w:hAnsi="宋体" w:eastAsia="方正仿宋_GBK" w:cstheme="minorBidi"/>
          <w:b w:val="0"/>
          <w:bCs w:val="0"/>
          <w:color w:val="auto"/>
          <w:kern w:val="2"/>
          <w:sz w:val="32"/>
          <w:szCs w:val="32"/>
          <w:highlight w:val="none"/>
          <w:lang w:val="en-US" w:eastAsia="zh-CN" w:bidi="ar-SA"/>
        </w:rPr>
        <w:t>现代文明之美、自然风光之美和山水田园之美融为一体的和谐</w:t>
      </w:r>
      <w:r>
        <w:rPr>
          <w:rFonts w:hint="eastAsia" w:ascii="宋体" w:hAnsi="宋体" w:eastAsia="方正仿宋_GBK" w:cstheme="minorBidi"/>
          <w:b w:val="0"/>
          <w:bCs w:val="0"/>
          <w:color w:val="auto"/>
          <w:kern w:val="2"/>
          <w:sz w:val="32"/>
          <w:szCs w:val="32"/>
          <w:highlight w:val="none"/>
          <w:lang w:val="en-US" w:eastAsia="zh-CN" w:bidi="ar-SA"/>
        </w:rPr>
        <w:t>美丽</w:t>
      </w:r>
      <w:r>
        <w:rPr>
          <w:rFonts w:hint="default" w:ascii="宋体" w:hAnsi="宋体" w:eastAsia="方正仿宋_GBK" w:cstheme="minorBidi"/>
          <w:b w:val="0"/>
          <w:bCs w:val="0"/>
          <w:color w:val="auto"/>
          <w:kern w:val="2"/>
          <w:sz w:val="32"/>
          <w:szCs w:val="32"/>
          <w:highlight w:val="none"/>
          <w:lang w:val="en-US" w:eastAsia="zh-CN" w:bidi="ar-SA"/>
        </w:rPr>
        <w:t>家园。</w:t>
      </w:r>
      <w:bookmarkStart w:id="92" w:name="_Toc24807_WPSOffice_Level2"/>
      <w:bookmarkStart w:id="93" w:name="_Toc9180"/>
      <w:bookmarkStart w:id="94" w:name="_Toc27112_WPSOffice_Level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宋体" w:hAnsi="宋体" w:eastAsia="方正仿宋_GBK" w:cs="方正小标宋_GBK"/>
          <w:b w:val="0"/>
          <w:bCs/>
          <w:color w:val="auto"/>
          <w:kern w:val="2"/>
          <w:sz w:val="32"/>
          <w:szCs w:val="32"/>
          <w:highlight w:val="none"/>
          <w:lang w:val="en-US" w:eastAsia="zh-CN" w:bidi="ar-SA"/>
        </w:rPr>
      </w:pPr>
      <w:bookmarkStart w:id="95" w:name="_Toc32703_WPSOffice_Level2"/>
      <w:bookmarkStart w:id="96" w:name="_Toc2024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第一章　</w:t>
      </w:r>
      <w:bookmarkStart w:id="97" w:name="_Toc20461"/>
      <w:bookmarkStart w:id="98" w:name="_Toc8559_WPSOffice_Level3"/>
      <w:r>
        <w:rPr>
          <w:rFonts w:hint="eastAsia" w:ascii="宋体" w:hAnsi="宋体" w:eastAsia="方正黑体_GBK" w:cs="方正黑体_GBK"/>
          <w:b w:val="0"/>
          <w:bCs/>
          <w:color w:val="auto"/>
          <w:kern w:val="2"/>
          <w:sz w:val="32"/>
          <w:szCs w:val="32"/>
          <w:highlight w:val="none"/>
          <w:lang w:val="en-US" w:eastAsia="zh-CN" w:bidi="ar-SA"/>
        </w:rPr>
        <w:t>持续推进主体功能区</w:t>
      </w:r>
      <w:bookmarkEnd w:id="97"/>
      <w:bookmarkEnd w:id="98"/>
      <w:r>
        <w:rPr>
          <w:rFonts w:hint="eastAsia" w:ascii="宋体" w:hAnsi="宋体" w:eastAsia="方正黑体_GBK" w:cs="方正黑体_GBK"/>
          <w:b w:val="0"/>
          <w:bCs/>
          <w:color w:val="auto"/>
          <w:kern w:val="2"/>
          <w:sz w:val="32"/>
          <w:szCs w:val="32"/>
          <w:highlight w:val="none"/>
          <w:lang w:val="en-US" w:eastAsia="zh-CN" w:bidi="ar-SA"/>
        </w:rPr>
        <w:t>战略落实</w:t>
      </w:r>
      <w:bookmarkEnd w:id="92"/>
      <w:bookmarkEnd w:id="95"/>
      <w:bookmarkEnd w:id="9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宋体" w:hAnsi="宋体" w:eastAsia="方正仿宋_GBK" w:cs="微软雅黑"/>
          <w:i w:val="0"/>
          <w:caps w:val="0"/>
          <w:color w:val="auto"/>
          <w:spacing w:val="0"/>
          <w:sz w:val="32"/>
          <w:szCs w:val="24"/>
          <w:highlight w:val="none"/>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方正仿宋_GBK" w:cstheme="minorBidi"/>
          <w:b w:val="0"/>
          <w:bCs w:val="0"/>
          <w:color w:val="auto"/>
          <w:kern w:val="2"/>
          <w:sz w:val="32"/>
          <w:szCs w:val="32"/>
          <w:highlight w:val="none"/>
          <w:lang w:val="en-US" w:eastAsia="zh-CN" w:bidi="ar-SA"/>
        </w:rPr>
      </w:pPr>
      <w:r>
        <w:rPr>
          <w:rFonts w:ascii="宋体" w:hAnsi="宋体" w:eastAsia="方正仿宋_GBK" w:cs="微软雅黑"/>
          <w:i w:val="0"/>
          <w:caps w:val="0"/>
          <w:color w:val="auto"/>
          <w:spacing w:val="0"/>
          <w:sz w:val="32"/>
          <w:szCs w:val="24"/>
          <w:highlight w:val="none"/>
          <w:shd w:val="clear" w:fill="FFFFFF"/>
        </w:rPr>
        <w:t>　</w:t>
      </w:r>
      <w:r>
        <w:rPr>
          <w:rFonts w:hint="eastAsia" w:ascii="宋体" w:hAnsi="宋体" w:eastAsia="方正仿宋_GBK" w:cs="微软雅黑"/>
          <w:i w:val="0"/>
          <w:caps w:val="0"/>
          <w:color w:val="auto"/>
          <w:spacing w:val="0"/>
          <w:sz w:val="32"/>
          <w:szCs w:val="24"/>
          <w:highlight w:val="none"/>
          <w:shd w:val="clear" w:fill="FFFFFF"/>
          <w:lang w:val="en-US" w:eastAsia="zh-CN"/>
        </w:rPr>
        <w:t xml:space="preserve"> </w:t>
      </w:r>
      <w:r>
        <w:rPr>
          <w:rFonts w:hint="eastAsia" w:ascii="宋体" w:hAnsi="宋体" w:eastAsia="方正仿宋_GBK" w:cs="方正仿宋_GBK"/>
          <w:color w:val="auto"/>
          <w:sz w:val="32"/>
          <w:szCs w:val="32"/>
          <w:highlight w:val="none"/>
          <w:lang w:val="en-US" w:eastAsia="zh-CN"/>
        </w:rPr>
        <w:t xml:space="preserve"> </w:t>
      </w:r>
      <w:r>
        <w:rPr>
          <w:rFonts w:hint="eastAsia" w:ascii="宋体" w:hAnsi="宋体" w:eastAsia="方正仿宋_GBK" w:cstheme="minorBidi"/>
          <w:b w:val="0"/>
          <w:bCs w:val="0"/>
          <w:color w:val="auto"/>
          <w:kern w:val="2"/>
          <w:sz w:val="32"/>
          <w:szCs w:val="32"/>
          <w:highlight w:val="none"/>
          <w:lang w:val="en-US" w:eastAsia="zh-CN" w:bidi="ar-SA"/>
        </w:rPr>
        <w:t>以国家西南生态安全屏障建设为重点，突出石漠化治理、水土保持、植树造林、植被恢复、新能源利用等各项生态工程建设，继续抓好国家和省主体功能区规划制度措施落实，进一步增强生态产品的供给能力。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99" w:name="_Toc425"/>
      <w:bookmarkStart w:id="100" w:name="_Toc220_WPSOffice_Level3"/>
      <w:bookmarkStart w:id="101" w:name="_Toc30704_WPSOffice_Level3"/>
      <w:r>
        <w:rPr>
          <w:rFonts w:hint="eastAsia" w:ascii="宋体" w:hAnsi="宋体" w:eastAsia="方正楷体_GBK" w:cs="方正楷体_GBK"/>
          <w:b w:val="0"/>
          <w:bCs w:val="0"/>
          <w:color w:val="auto"/>
          <w:sz w:val="32"/>
          <w:szCs w:val="30"/>
          <w:highlight w:val="none"/>
          <w:lang w:val="en-US" w:eastAsia="zh-CN"/>
        </w:rPr>
        <w:t>第一节  严格发展空间管控</w:t>
      </w:r>
      <w:bookmarkEnd w:id="99"/>
      <w:bookmarkEnd w:id="100"/>
      <w:bookmarkEnd w:id="10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全面落实各级主体功能区建设对西畴区域功能分区战略、政策、制度、措施，不断提升西畴区域功能分区建设水平。突出“生态保护红线、城镇开发边界、乡村建设红线、耕地保护红线”应用，严格规范不同发展空间。坚持规划纲要的统领性地位，注重专项规划的质量与品位，同步科学调整和修订好《西畴县土地利用总体规划》《西畴县城乡统筹总体规划》和相关控制性详规，指导生产有序发展。坚决维护规划的严肃性和权威性，坚持“一次性规划，长期使用，一张蓝图干到底”理念，坚持规划治理“五个一”原则，走精治、法治、共治规划执行路子。在规划的指导下，本着空间资源高效利用原则，按照规划的时空分布，依次按类进行有序开发，严格开发强度控制，严防摊饼求大、多占少用、土地资源长期闲置。区别不同发展空间，科学开展经济社会活动，健全相关保护制度措施，严格空间管控，科学推动各项空间的有效融合，提高空间利用效率，推动“绿水青山就是金山银山”有效践行，激发空间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02" w:name="_Toc8417"/>
      <w:bookmarkStart w:id="103" w:name="_Toc28470_WPSOffice_Level3"/>
      <w:bookmarkStart w:id="104" w:name="_Toc32703_WPSOffice_Level3"/>
      <w:r>
        <w:rPr>
          <w:rFonts w:hint="eastAsia" w:ascii="宋体" w:hAnsi="宋体" w:eastAsia="方正楷体_GBK" w:cs="方正楷体_GBK"/>
          <w:b w:val="0"/>
          <w:bCs w:val="0"/>
          <w:color w:val="auto"/>
          <w:sz w:val="32"/>
          <w:szCs w:val="30"/>
          <w:highlight w:val="none"/>
          <w:lang w:val="en-US" w:eastAsia="zh-CN"/>
        </w:rPr>
        <w:t>第二节  突出生态工程建设</w:t>
      </w:r>
      <w:bookmarkEnd w:id="102"/>
      <w:bookmarkEnd w:id="103"/>
      <w:bookmarkEnd w:id="104"/>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560" w:lineRule="exact"/>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olor w:val="auto"/>
          <w:sz w:val="32"/>
          <w:szCs w:val="32"/>
          <w:highlight w:val="none"/>
          <w:lang w:val="en-US" w:eastAsia="zh-CN"/>
        </w:rPr>
        <w:t xml:space="preserve">    </w:t>
      </w:r>
      <w:r>
        <w:rPr>
          <w:rFonts w:hint="eastAsia" w:ascii="宋体" w:hAnsi="宋体" w:eastAsia="方正仿宋_GBK" w:cstheme="minorBidi"/>
          <w:b w:val="0"/>
          <w:bCs w:val="0"/>
          <w:color w:val="auto"/>
          <w:kern w:val="2"/>
          <w:sz w:val="32"/>
          <w:szCs w:val="32"/>
          <w:highlight w:val="none"/>
          <w:lang w:val="en-US" w:eastAsia="zh-CN" w:bidi="ar-SA"/>
        </w:rPr>
        <w:t>科学推进石漠化综合治理，进一步提高治理区域效益。坚持水保障优先原则，突出“河、库、渠、管网联通建设和水源点保护、河道清洁与治理，持续推进水保障重大建设工程，提高水资源对经济社会发展保障能力。抓好天然林保护、封山育林、植树造林、幼林抚育、退耕还林改造、村中片林建设、林木结构高速与建设、名木古树保护和新能源利用，改善生态环境质量。</w:t>
      </w:r>
      <w:r>
        <w:rPr>
          <w:rFonts w:hint="default" w:ascii="宋体" w:hAnsi="宋体" w:eastAsia="方正仿宋_GBK" w:cstheme="minorBidi"/>
          <w:b w:val="0"/>
          <w:bCs w:val="0"/>
          <w:color w:val="auto"/>
          <w:kern w:val="2"/>
          <w:sz w:val="32"/>
          <w:szCs w:val="32"/>
          <w:highlight w:val="none"/>
          <w:lang w:val="en-US" w:eastAsia="zh-CN" w:bidi="ar-SA"/>
        </w:rPr>
        <w:t>抓住国家天然林保护二期工程实施机遇，以保护森林资源为重点，科学营林为基础，</w:t>
      </w:r>
      <w:r>
        <w:rPr>
          <w:rFonts w:hint="eastAsia" w:ascii="宋体" w:hAnsi="宋体" w:eastAsia="方正仿宋_GBK" w:cstheme="minorBidi"/>
          <w:b w:val="0"/>
          <w:bCs w:val="0"/>
          <w:color w:val="auto"/>
          <w:kern w:val="2"/>
          <w:sz w:val="32"/>
          <w:szCs w:val="32"/>
          <w:highlight w:val="none"/>
          <w:lang w:val="en-US" w:eastAsia="zh-CN" w:bidi="ar-SA"/>
        </w:rPr>
        <w:t>提升生态空间比重，实施绿化西畴大地行动计划和年度实施计划，</w:t>
      </w:r>
      <w:r>
        <w:rPr>
          <w:rFonts w:hint="default" w:ascii="宋体" w:hAnsi="宋体" w:eastAsia="方正仿宋_GBK" w:cstheme="minorBidi"/>
          <w:b w:val="0"/>
          <w:bCs w:val="0"/>
          <w:color w:val="auto"/>
          <w:kern w:val="2"/>
          <w:sz w:val="32"/>
          <w:szCs w:val="32"/>
          <w:highlight w:val="none"/>
          <w:lang w:val="en-US" w:eastAsia="zh-CN" w:bidi="ar-SA"/>
        </w:rPr>
        <w:t>突出抓好城镇环线周围、交通沿线、荒坡荒滩、水库坝塘、河流沟渠、村庄庭院、房前屋后的绿化美化</w:t>
      </w:r>
      <w:r>
        <w:rPr>
          <w:rFonts w:hint="eastAsia" w:ascii="宋体" w:hAnsi="宋体" w:eastAsia="方正仿宋_GBK" w:cstheme="minorBidi"/>
          <w:b w:val="0"/>
          <w:bCs w:val="0"/>
          <w:color w:val="auto"/>
          <w:kern w:val="2"/>
          <w:sz w:val="32"/>
          <w:szCs w:val="32"/>
          <w:highlight w:val="none"/>
          <w:lang w:val="en-US" w:eastAsia="zh-CN" w:bidi="ar-SA"/>
        </w:rPr>
        <w:t>，</w:t>
      </w:r>
      <w:r>
        <w:rPr>
          <w:rFonts w:hint="default" w:ascii="宋体" w:hAnsi="宋体" w:eastAsia="方正仿宋_GBK" w:cstheme="minorBidi"/>
          <w:b w:val="0"/>
          <w:bCs w:val="0"/>
          <w:color w:val="auto"/>
          <w:kern w:val="2"/>
          <w:sz w:val="32"/>
          <w:szCs w:val="32"/>
          <w:highlight w:val="none"/>
          <w:lang w:val="en-US" w:eastAsia="zh-CN" w:bidi="ar-SA"/>
        </w:rPr>
        <w:t>对植被稀疏、立地条件差的农林荒山采取造、封、管结合措施恢复植被。探索通过赎买、租赁、转换、协议、混合所有制</w:t>
      </w:r>
      <w:r>
        <w:rPr>
          <w:rFonts w:hint="eastAsia" w:ascii="宋体" w:hAnsi="宋体" w:eastAsia="方正仿宋_GBK" w:cstheme="minorBidi"/>
          <w:b w:val="0"/>
          <w:bCs w:val="0"/>
          <w:color w:val="auto"/>
          <w:kern w:val="2"/>
          <w:sz w:val="32"/>
          <w:szCs w:val="32"/>
          <w:highlight w:val="none"/>
          <w:lang w:val="en-US" w:eastAsia="zh-CN" w:bidi="ar-SA"/>
        </w:rPr>
        <w:t>等</w:t>
      </w:r>
      <w:r>
        <w:rPr>
          <w:rFonts w:hint="default" w:ascii="宋体" w:hAnsi="宋体" w:eastAsia="方正仿宋_GBK" w:cstheme="minorBidi"/>
          <w:b w:val="0"/>
          <w:bCs w:val="0"/>
          <w:color w:val="auto"/>
          <w:kern w:val="2"/>
          <w:sz w:val="32"/>
          <w:szCs w:val="32"/>
          <w:highlight w:val="none"/>
          <w:lang w:val="en-US" w:eastAsia="zh-CN" w:bidi="ar-SA"/>
        </w:rPr>
        <w:t>方式，加强集体天然林和重点区位森林保护。</w:t>
      </w:r>
      <w:r>
        <w:rPr>
          <w:rFonts w:hint="eastAsia" w:ascii="宋体" w:hAnsi="宋体" w:eastAsia="方正仿宋_GBK" w:cstheme="minorBidi"/>
          <w:b w:val="0"/>
          <w:bCs w:val="0"/>
          <w:color w:val="auto"/>
          <w:kern w:val="2"/>
          <w:sz w:val="32"/>
          <w:szCs w:val="32"/>
          <w:highlight w:val="none"/>
          <w:lang w:val="en-US" w:eastAsia="zh-CN" w:bidi="ar-SA"/>
        </w:rPr>
        <w:t>加大</w:t>
      </w:r>
      <w:r>
        <w:rPr>
          <w:rFonts w:hint="default" w:ascii="宋体" w:hAnsi="宋体" w:eastAsia="方正仿宋_GBK" w:cstheme="minorBidi"/>
          <w:b w:val="0"/>
          <w:bCs w:val="0"/>
          <w:color w:val="auto"/>
          <w:kern w:val="2"/>
          <w:sz w:val="32"/>
          <w:szCs w:val="32"/>
          <w:highlight w:val="none"/>
          <w:lang w:val="en-US" w:eastAsia="zh-CN" w:bidi="ar-SA"/>
        </w:rPr>
        <w:t>低效林改造工程</w:t>
      </w:r>
      <w:r>
        <w:rPr>
          <w:rFonts w:hint="eastAsia" w:ascii="宋体" w:hAnsi="宋体" w:eastAsia="方正仿宋_GBK" w:cstheme="minorBidi"/>
          <w:b w:val="0"/>
          <w:bCs w:val="0"/>
          <w:color w:val="auto"/>
          <w:kern w:val="2"/>
          <w:sz w:val="32"/>
          <w:szCs w:val="32"/>
          <w:highlight w:val="none"/>
          <w:lang w:val="en-US" w:eastAsia="zh-CN" w:bidi="ar-SA"/>
        </w:rPr>
        <w:t>覆盖力度</w:t>
      </w:r>
      <w:r>
        <w:rPr>
          <w:rFonts w:hint="default" w:ascii="宋体" w:hAnsi="宋体" w:eastAsia="方正仿宋_GBK" w:cstheme="minorBidi"/>
          <w:b w:val="0"/>
          <w:bCs w:val="0"/>
          <w:color w:val="auto"/>
          <w:kern w:val="2"/>
          <w:sz w:val="32"/>
          <w:szCs w:val="32"/>
          <w:highlight w:val="none"/>
          <w:lang w:val="en-US" w:eastAsia="zh-CN" w:bidi="ar-SA"/>
        </w:rPr>
        <w:t>，适地适树种植苗木，推进林木结构科学化，努力增加森林资源总量。</w:t>
      </w:r>
      <w:r>
        <w:rPr>
          <w:rFonts w:hint="eastAsia" w:ascii="宋体" w:hAnsi="宋体" w:eastAsia="方正仿宋_GBK" w:cstheme="minorBidi"/>
          <w:b w:val="0"/>
          <w:bCs w:val="0"/>
          <w:color w:val="auto"/>
          <w:kern w:val="2"/>
          <w:sz w:val="32"/>
          <w:szCs w:val="32"/>
          <w:highlight w:val="none"/>
          <w:lang w:val="en-US" w:eastAsia="zh-CN" w:bidi="ar-SA"/>
        </w:rPr>
        <w:t>持续</w:t>
      </w:r>
      <w:r>
        <w:rPr>
          <w:rFonts w:hint="default" w:ascii="宋体" w:hAnsi="宋体" w:eastAsia="方正仿宋_GBK" w:cstheme="minorBidi"/>
          <w:b w:val="0"/>
          <w:bCs w:val="0"/>
          <w:color w:val="auto"/>
          <w:kern w:val="2"/>
          <w:sz w:val="32"/>
          <w:szCs w:val="32"/>
          <w:highlight w:val="none"/>
          <w:lang w:val="en-US" w:eastAsia="zh-CN" w:bidi="ar-SA"/>
        </w:rPr>
        <w:t>推进防护林工程和水土保持治理，加强自然保护区建设和野生动植物、生物多样性保护。</w:t>
      </w:r>
      <w:r>
        <w:rPr>
          <w:rFonts w:hint="eastAsia" w:ascii="宋体" w:hAnsi="宋体" w:eastAsia="方正仿宋_GBK" w:cstheme="minorBidi"/>
          <w:b w:val="0"/>
          <w:bCs w:val="0"/>
          <w:color w:val="auto"/>
          <w:kern w:val="2"/>
          <w:sz w:val="32"/>
          <w:szCs w:val="32"/>
          <w:highlight w:val="none"/>
          <w:lang w:val="en-US" w:eastAsia="zh-CN" w:bidi="ar-SA"/>
        </w:rPr>
        <w:t>积极开展城乡“两污”、工业循环用水、工业废物利用、农业生产资料废弃物收集、生态环境定期评价等生态环境工程。落实各级碳排放达峰行动，促进低碳发展。</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2"/>
        <w:rPr>
          <w:rFonts w:hint="eastAsia" w:ascii="宋体" w:hAnsi="宋体" w:eastAsia="方正楷体_GBK" w:cs="方正楷体_GBK"/>
          <w:b/>
          <w:color w:val="auto"/>
          <w:kern w:val="0"/>
          <w:sz w:val="32"/>
          <w:szCs w:val="27"/>
          <w:highlight w:val="none"/>
          <w:lang w:val="en-US" w:eastAsia="zh-CN" w:bidi="ar"/>
        </w:rPr>
      </w:pPr>
      <w:bookmarkStart w:id="105" w:name="_Toc14975"/>
      <w:bookmarkStart w:id="106" w:name="_Toc23376_WPSOffice_Level3"/>
      <w:bookmarkStart w:id="107" w:name="_Toc24243_WPSOffice_Level3"/>
      <w:r>
        <w:rPr>
          <w:rFonts w:hint="eastAsia" w:ascii="宋体" w:hAnsi="宋体" w:eastAsia="方正楷体_GBK" w:cs="方正楷体_GBK"/>
          <w:b w:val="0"/>
          <w:bCs w:val="0"/>
          <w:color w:val="auto"/>
          <w:kern w:val="2"/>
          <w:sz w:val="32"/>
          <w:szCs w:val="30"/>
          <w:highlight w:val="none"/>
          <w:lang w:val="en-US" w:eastAsia="zh-CN" w:bidi="ar-SA"/>
        </w:rPr>
        <w:t>第三节  创新生态环境治理模式</w:t>
      </w:r>
      <w:bookmarkEnd w:id="105"/>
      <w:bookmarkEnd w:id="106"/>
      <w:bookmarkEnd w:id="10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坚持“谁污染、谁治理、谁受益、谁治理”原则，制定和</w:t>
      </w:r>
      <w:r>
        <w:rPr>
          <w:rFonts w:hint="default" w:ascii="宋体" w:hAnsi="宋体" w:eastAsia="方正仿宋_GBK" w:cstheme="minorBidi"/>
          <w:b w:val="0"/>
          <w:bCs w:val="0"/>
          <w:color w:val="auto"/>
          <w:kern w:val="2"/>
          <w:sz w:val="32"/>
          <w:szCs w:val="32"/>
          <w:highlight w:val="none"/>
          <w:lang w:val="en-US" w:eastAsia="zh-CN" w:bidi="ar-SA"/>
        </w:rPr>
        <w:t>落实工程减排、结构减排和管理减排各项措施，确保主要污染物、农村垃圾、难降解生产资料污染物排放量持续削减。</w:t>
      </w:r>
      <w:r>
        <w:rPr>
          <w:rFonts w:hint="eastAsia" w:ascii="宋体" w:hAnsi="宋体" w:eastAsia="方正仿宋_GBK" w:cstheme="minorBidi"/>
          <w:b w:val="0"/>
          <w:bCs w:val="0"/>
          <w:color w:val="auto"/>
          <w:kern w:val="2"/>
          <w:sz w:val="32"/>
          <w:szCs w:val="32"/>
          <w:highlight w:val="none"/>
          <w:lang w:val="en-US" w:eastAsia="zh-CN" w:bidi="ar-SA"/>
        </w:rPr>
        <w:t>强化</w:t>
      </w:r>
      <w:r>
        <w:rPr>
          <w:rFonts w:hint="default" w:ascii="宋体" w:hAnsi="宋体" w:eastAsia="方正仿宋_GBK" w:cstheme="minorBidi"/>
          <w:b w:val="0"/>
          <w:bCs w:val="0"/>
          <w:color w:val="auto"/>
          <w:kern w:val="2"/>
          <w:sz w:val="32"/>
          <w:szCs w:val="32"/>
          <w:highlight w:val="none"/>
          <w:lang w:val="en-US" w:eastAsia="zh-CN" w:bidi="ar-SA"/>
        </w:rPr>
        <w:t>土壤污染防控，全面完成土壤染污状况调查</w:t>
      </w:r>
      <w:r>
        <w:rPr>
          <w:rFonts w:hint="eastAsia" w:ascii="宋体" w:hAnsi="宋体" w:eastAsia="方正仿宋_GBK" w:cstheme="minorBidi"/>
          <w:b w:val="0"/>
          <w:bCs w:val="0"/>
          <w:color w:val="auto"/>
          <w:kern w:val="2"/>
          <w:sz w:val="32"/>
          <w:szCs w:val="32"/>
          <w:highlight w:val="none"/>
          <w:lang w:val="en-US" w:eastAsia="zh-CN" w:bidi="ar-SA"/>
        </w:rPr>
        <w:t>详查</w:t>
      </w:r>
      <w:r>
        <w:rPr>
          <w:rFonts w:hint="default" w:ascii="宋体" w:hAnsi="宋体" w:eastAsia="方正仿宋_GBK" w:cstheme="minorBidi"/>
          <w:b w:val="0"/>
          <w:bCs w:val="0"/>
          <w:color w:val="auto"/>
          <w:kern w:val="2"/>
          <w:sz w:val="32"/>
          <w:szCs w:val="32"/>
          <w:highlight w:val="none"/>
          <w:lang w:val="en-US" w:eastAsia="zh-CN" w:bidi="ar-SA"/>
        </w:rPr>
        <w:t>、土壤环境质量类别划定、土壤环境质量分类清单</w:t>
      </w:r>
      <w:r>
        <w:rPr>
          <w:rFonts w:hint="eastAsia" w:ascii="宋体" w:hAnsi="宋体" w:eastAsia="方正仿宋_GBK" w:cstheme="minorBidi"/>
          <w:b w:val="0"/>
          <w:bCs w:val="0"/>
          <w:color w:val="auto"/>
          <w:kern w:val="2"/>
          <w:sz w:val="32"/>
          <w:szCs w:val="32"/>
          <w:highlight w:val="none"/>
          <w:lang w:val="en-US" w:eastAsia="zh-CN" w:bidi="ar-SA"/>
        </w:rPr>
        <w:t>制定</w:t>
      </w:r>
      <w:r>
        <w:rPr>
          <w:rFonts w:hint="default" w:ascii="宋体" w:hAnsi="宋体" w:eastAsia="方正仿宋_GBK" w:cstheme="minorBidi"/>
          <w:b w:val="0"/>
          <w:bCs w:val="0"/>
          <w:color w:val="auto"/>
          <w:kern w:val="2"/>
          <w:sz w:val="32"/>
          <w:szCs w:val="32"/>
          <w:highlight w:val="none"/>
          <w:lang w:val="en-US" w:eastAsia="zh-CN" w:bidi="ar-SA"/>
        </w:rPr>
        <w:t>，</w:t>
      </w:r>
      <w:r>
        <w:rPr>
          <w:rFonts w:hint="eastAsia" w:ascii="宋体" w:hAnsi="宋体" w:eastAsia="方正仿宋_GBK" w:cstheme="minorBidi"/>
          <w:b w:val="0"/>
          <w:bCs w:val="0"/>
          <w:color w:val="auto"/>
          <w:kern w:val="2"/>
          <w:sz w:val="32"/>
          <w:szCs w:val="32"/>
          <w:highlight w:val="none"/>
          <w:lang w:val="en-US" w:eastAsia="zh-CN" w:bidi="ar-SA"/>
        </w:rPr>
        <w:t>建立土地安全利用措施，</w:t>
      </w:r>
      <w:r>
        <w:rPr>
          <w:rFonts w:hint="default" w:ascii="宋体" w:hAnsi="宋体" w:eastAsia="方正仿宋_GBK" w:cstheme="minorBidi"/>
          <w:b w:val="0"/>
          <w:bCs w:val="0"/>
          <w:color w:val="auto"/>
          <w:kern w:val="2"/>
          <w:sz w:val="32"/>
          <w:szCs w:val="32"/>
          <w:highlight w:val="none"/>
          <w:lang w:val="en-US" w:eastAsia="zh-CN" w:bidi="ar-SA"/>
        </w:rPr>
        <w:t>实施农用地分类管理，对污染区域实行</w:t>
      </w:r>
      <w:r>
        <w:rPr>
          <w:rFonts w:hint="eastAsia" w:ascii="宋体" w:hAnsi="宋体" w:eastAsia="方正仿宋_GBK" w:cstheme="minorBidi"/>
          <w:b w:val="0"/>
          <w:bCs w:val="0"/>
          <w:color w:val="auto"/>
          <w:kern w:val="2"/>
          <w:sz w:val="32"/>
          <w:szCs w:val="32"/>
          <w:highlight w:val="none"/>
          <w:lang w:val="en-US" w:eastAsia="zh-CN" w:bidi="ar-SA"/>
        </w:rPr>
        <w:t>重点</w:t>
      </w:r>
      <w:r>
        <w:rPr>
          <w:rFonts w:hint="default" w:ascii="宋体" w:hAnsi="宋体" w:eastAsia="方正仿宋_GBK" w:cstheme="minorBidi"/>
          <w:b w:val="0"/>
          <w:bCs w:val="0"/>
          <w:color w:val="auto"/>
          <w:kern w:val="2"/>
          <w:sz w:val="32"/>
          <w:szCs w:val="32"/>
          <w:highlight w:val="none"/>
          <w:lang w:val="en-US" w:eastAsia="zh-CN" w:bidi="ar-SA"/>
        </w:rPr>
        <w:t>治理</w:t>
      </w:r>
      <w:r>
        <w:rPr>
          <w:rFonts w:hint="eastAsia" w:ascii="宋体" w:hAnsi="宋体" w:eastAsia="方正仿宋_GBK" w:cstheme="minorBidi"/>
          <w:b w:val="0"/>
          <w:bCs w:val="0"/>
          <w:color w:val="auto"/>
          <w:kern w:val="2"/>
          <w:sz w:val="32"/>
          <w:szCs w:val="32"/>
          <w:highlight w:val="none"/>
          <w:lang w:val="en-US" w:eastAsia="zh-CN" w:bidi="ar-SA"/>
        </w:rPr>
        <w:t>、限时达标修复、</w:t>
      </w:r>
      <w:r>
        <w:rPr>
          <w:rFonts w:hint="default" w:ascii="宋体" w:hAnsi="宋体" w:eastAsia="方正仿宋_GBK" w:cstheme="minorBidi"/>
          <w:b w:val="0"/>
          <w:bCs w:val="0"/>
          <w:color w:val="auto"/>
          <w:kern w:val="2"/>
          <w:sz w:val="32"/>
          <w:szCs w:val="32"/>
          <w:highlight w:val="none"/>
          <w:lang w:val="en-US" w:eastAsia="zh-CN" w:bidi="ar-SA"/>
        </w:rPr>
        <w:t>种植结构调整</w:t>
      </w:r>
      <w:r>
        <w:rPr>
          <w:rFonts w:hint="eastAsia" w:ascii="宋体" w:hAnsi="宋体" w:eastAsia="方正仿宋_GBK" w:cstheme="minorBidi"/>
          <w:b w:val="0"/>
          <w:bCs w:val="0"/>
          <w:color w:val="auto"/>
          <w:kern w:val="2"/>
          <w:sz w:val="32"/>
          <w:szCs w:val="32"/>
          <w:highlight w:val="none"/>
          <w:lang w:val="en-US" w:eastAsia="zh-CN" w:bidi="ar-SA"/>
        </w:rPr>
        <w:t>防范</w:t>
      </w:r>
      <w:r>
        <w:rPr>
          <w:rFonts w:hint="default" w:ascii="宋体" w:hAnsi="宋体" w:eastAsia="方正仿宋_GBK" w:cstheme="minorBidi"/>
          <w:b w:val="0"/>
          <w:bCs w:val="0"/>
          <w:color w:val="auto"/>
          <w:kern w:val="2"/>
          <w:sz w:val="32"/>
          <w:szCs w:val="32"/>
          <w:highlight w:val="none"/>
          <w:lang w:val="en-US" w:eastAsia="zh-CN" w:bidi="ar-SA"/>
        </w:rPr>
        <w:t>。加强</w:t>
      </w:r>
      <w:r>
        <w:rPr>
          <w:rFonts w:hint="eastAsia" w:ascii="宋体" w:hAnsi="宋体" w:eastAsia="方正仿宋_GBK" w:cstheme="minorBidi"/>
          <w:b w:val="0"/>
          <w:bCs w:val="0"/>
          <w:color w:val="auto"/>
          <w:kern w:val="2"/>
          <w:sz w:val="32"/>
          <w:szCs w:val="32"/>
          <w:highlight w:val="none"/>
          <w:lang w:val="en-US" w:eastAsia="zh-CN" w:bidi="ar-SA"/>
        </w:rPr>
        <w:t>鸡街河、盘龙河、畴阳河</w:t>
      </w:r>
      <w:r>
        <w:rPr>
          <w:rFonts w:hint="default" w:ascii="宋体" w:hAnsi="宋体" w:eastAsia="方正仿宋_GBK" w:cstheme="minorBidi"/>
          <w:b w:val="0"/>
          <w:bCs w:val="0"/>
          <w:color w:val="auto"/>
          <w:kern w:val="2"/>
          <w:sz w:val="32"/>
          <w:szCs w:val="32"/>
          <w:highlight w:val="none"/>
          <w:lang w:val="en-US" w:eastAsia="zh-CN" w:bidi="ar-SA"/>
        </w:rPr>
        <w:t>流域污染综合治理，深入开展</w:t>
      </w:r>
      <w:r>
        <w:rPr>
          <w:rFonts w:hint="eastAsia" w:ascii="宋体" w:hAnsi="宋体" w:eastAsia="方正仿宋_GBK" w:cstheme="minorBidi"/>
          <w:b w:val="0"/>
          <w:bCs w:val="0"/>
          <w:color w:val="auto"/>
          <w:kern w:val="2"/>
          <w:sz w:val="32"/>
          <w:szCs w:val="32"/>
          <w:highlight w:val="none"/>
          <w:lang w:val="en-US" w:eastAsia="zh-CN" w:bidi="ar-SA"/>
        </w:rPr>
        <w:t>城镇乡村</w:t>
      </w:r>
      <w:r>
        <w:rPr>
          <w:rFonts w:hint="default" w:ascii="宋体" w:hAnsi="宋体" w:eastAsia="方正仿宋_GBK" w:cstheme="minorBidi"/>
          <w:b w:val="0"/>
          <w:bCs w:val="0"/>
          <w:color w:val="auto"/>
          <w:kern w:val="2"/>
          <w:sz w:val="32"/>
          <w:szCs w:val="32"/>
          <w:highlight w:val="none"/>
          <w:lang w:val="en-US" w:eastAsia="zh-CN" w:bidi="ar-SA"/>
        </w:rPr>
        <w:t>水污染防治行动，实施生态清洁河流和不达标水源地</w:t>
      </w:r>
      <w:r>
        <w:rPr>
          <w:rFonts w:hint="eastAsia" w:ascii="宋体" w:hAnsi="宋体" w:eastAsia="方正仿宋_GBK" w:cstheme="minorBidi"/>
          <w:b w:val="0"/>
          <w:bCs w:val="0"/>
          <w:color w:val="auto"/>
          <w:kern w:val="2"/>
          <w:sz w:val="32"/>
          <w:szCs w:val="32"/>
          <w:highlight w:val="none"/>
          <w:lang w:val="en-US" w:eastAsia="zh-CN" w:bidi="ar-SA"/>
        </w:rPr>
        <w:t>行动</w:t>
      </w:r>
      <w:r>
        <w:rPr>
          <w:rFonts w:hint="default" w:ascii="宋体" w:hAnsi="宋体" w:eastAsia="方正仿宋_GBK" w:cstheme="minorBidi"/>
          <w:b w:val="0"/>
          <w:bCs w:val="0"/>
          <w:color w:val="auto"/>
          <w:kern w:val="2"/>
          <w:sz w:val="32"/>
          <w:szCs w:val="32"/>
          <w:highlight w:val="none"/>
          <w:lang w:val="en-US" w:eastAsia="zh-CN" w:bidi="ar-SA"/>
        </w:rPr>
        <w:t>，着力解决河塘淤积，水体恶化问题。</w:t>
      </w:r>
      <w:r>
        <w:rPr>
          <w:rFonts w:hint="eastAsia" w:ascii="宋体" w:hAnsi="宋体" w:eastAsia="方正仿宋_GBK" w:cstheme="minorBidi"/>
          <w:b w:val="0"/>
          <w:bCs w:val="0"/>
          <w:color w:val="auto"/>
          <w:kern w:val="2"/>
          <w:sz w:val="32"/>
          <w:szCs w:val="32"/>
          <w:highlight w:val="none"/>
          <w:lang w:val="en-US" w:eastAsia="zh-CN" w:bidi="ar-SA"/>
        </w:rPr>
        <w:t>坚持“集中整治，连片推动”治理方式，</w:t>
      </w:r>
      <w:r>
        <w:rPr>
          <w:rFonts w:hint="default" w:ascii="宋体" w:hAnsi="宋体" w:eastAsia="方正仿宋_GBK" w:cstheme="minorBidi"/>
          <w:b w:val="0"/>
          <w:bCs w:val="0"/>
          <w:color w:val="auto"/>
          <w:kern w:val="2"/>
          <w:sz w:val="32"/>
          <w:szCs w:val="32"/>
          <w:highlight w:val="none"/>
          <w:lang w:val="en-US" w:eastAsia="zh-CN" w:bidi="ar-SA"/>
        </w:rPr>
        <w:t>集中治理农业面源污染</w:t>
      </w:r>
      <w:r>
        <w:rPr>
          <w:rFonts w:hint="eastAsia" w:ascii="宋体" w:hAnsi="宋体" w:eastAsia="方正仿宋_GBK" w:cstheme="minorBidi"/>
          <w:b w:val="0"/>
          <w:bCs w:val="0"/>
          <w:color w:val="auto"/>
          <w:kern w:val="2"/>
          <w:sz w:val="32"/>
          <w:szCs w:val="32"/>
          <w:highlight w:val="none"/>
          <w:lang w:val="en-US" w:eastAsia="zh-CN" w:bidi="ar-SA"/>
        </w:rPr>
        <w:t>。建立健全资源有偿使用、生态补偿、生态环境损害赔偿、资源产权、生态产品价值监管考核、生态文明建设目标考核、约束指标管理、领导干部自然资产离任审计等系列制度。</w:t>
      </w:r>
      <w:r>
        <w:rPr>
          <w:rFonts w:hint="default" w:ascii="宋体" w:hAnsi="宋体" w:eastAsia="方正仿宋_GBK" w:cstheme="minorBidi"/>
          <w:b w:val="0"/>
          <w:bCs w:val="0"/>
          <w:color w:val="auto"/>
          <w:kern w:val="2"/>
          <w:sz w:val="32"/>
          <w:szCs w:val="32"/>
          <w:highlight w:val="none"/>
          <w:lang w:val="en-US" w:eastAsia="zh-CN" w:bidi="ar-SA"/>
        </w:rPr>
        <w:t>健全完善环境安全防控体系建设，实施风险评估制度和等级评价制度。</w:t>
      </w:r>
      <w:r>
        <w:rPr>
          <w:rFonts w:hint="eastAsia" w:ascii="宋体" w:hAnsi="宋体" w:eastAsia="方正仿宋_GBK" w:cstheme="minorBidi"/>
          <w:b w:val="0"/>
          <w:bCs w:val="0"/>
          <w:color w:val="auto"/>
          <w:kern w:val="2"/>
          <w:sz w:val="32"/>
          <w:szCs w:val="32"/>
          <w:highlight w:val="none"/>
          <w:lang w:val="en-US" w:eastAsia="zh-CN" w:bidi="ar-SA"/>
        </w:rPr>
        <w:t>探索建立各项治理工程建设标准。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default"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2025年，区域主要河流水质达标率90%，县城水源地水质达标率100%，乡村重要供水水源地水质达标率90%。水土流失治理面积10平方公里以上。</w:t>
      </w:r>
    </w:p>
    <w:bookmarkEnd w:id="93"/>
    <w:bookmarkEnd w:id="94"/>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仿宋_GBK" w:cs="方正小标宋_GBK"/>
          <w:b w:val="0"/>
          <w:bCs/>
          <w:color w:val="auto"/>
          <w:sz w:val="32"/>
          <w:szCs w:val="32"/>
          <w:highlight w:val="none"/>
          <w:lang w:val="en-US" w:eastAsia="zh-CN"/>
        </w:rPr>
      </w:pPr>
      <w:bookmarkStart w:id="108" w:name="_Toc23376_WPSOffice_Level2"/>
      <w:bookmarkStart w:id="109" w:name="_Toc24243_WPSOffice_Level2"/>
      <w:bookmarkStart w:id="110" w:name="_Toc29513"/>
      <w:bookmarkStart w:id="111" w:name="_Toc26618_WPSOffice_Level2"/>
      <w:bookmarkStart w:id="112" w:name="_Toc8703"/>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第二章  改善与提升城乡人居环境质量</w:t>
      </w:r>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color w:val="auto"/>
          <w:sz w:val="32"/>
          <w:szCs w:val="32"/>
          <w:highlight w:val="none"/>
          <w:lang w:eastAsia="zh-CN"/>
        </w:rPr>
      </w:pPr>
      <w:r>
        <w:rPr>
          <w:rFonts w:hint="eastAsia" w:ascii="宋体" w:hAnsi="宋体" w:eastAsia="方正仿宋_GBK" w:cstheme="minorBidi"/>
          <w:b w:val="0"/>
          <w:bCs w:val="0"/>
          <w:color w:val="auto"/>
          <w:kern w:val="2"/>
          <w:sz w:val="32"/>
          <w:szCs w:val="32"/>
          <w:highlight w:val="none"/>
          <w:lang w:val="en-US" w:eastAsia="zh-CN" w:bidi="ar-SA"/>
        </w:rPr>
        <w:t>深入推进爱国卫生运动，着力对资源承载较差地区搬迁和农村宜居宜业建设，持续做好城乡人居环境全面提升，加快打造美丽乡村升级版，</w:t>
      </w:r>
      <w:r>
        <w:rPr>
          <w:rFonts w:hint="default" w:ascii="宋体" w:hAnsi="宋体" w:eastAsia="方正仿宋_GBK" w:cstheme="minorBidi"/>
          <w:b w:val="0"/>
          <w:bCs w:val="0"/>
          <w:color w:val="auto"/>
          <w:kern w:val="2"/>
          <w:sz w:val="32"/>
          <w:szCs w:val="32"/>
          <w:highlight w:val="none"/>
          <w:lang w:val="en-US" w:eastAsia="zh-CN" w:bidi="ar-SA"/>
        </w:rPr>
        <w:t>推动新农村建设再上新台阶。</w:t>
      </w:r>
      <w:r>
        <w:rPr>
          <w:rFonts w:hint="eastAsia" w:ascii="宋体" w:hAnsi="宋体" w:eastAsia="方正仿宋_GBK" w:cstheme="minorBidi"/>
          <w:b w:val="0"/>
          <w:bCs w:val="0"/>
          <w:color w:val="auto"/>
          <w:kern w:val="2"/>
          <w:sz w:val="32"/>
          <w:szCs w:val="32"/>
          <w:highlight w:val="none"/>
          <w:lang w:val="en-US" w:eastAsia="zh-CN" w:bidi="ar-SA"/>
        </w:rPr>
        <w:t>以城乡一体化建设为目标，科学合理做好城乡“两污”和面源污染治理，实施农村旧房改造、生产用水用电配置、自来水接入、养殖小区废物处理、村庄（社区）绿化美化亮化等城乡公共基础设施建设，参照国家小城镇硬件设施建设标准与要求，结合实际，不断创新和完善城乡人居环境机制建设。按照“共建共享、全面规划、分步实施”原则，创新推进农村“5分钱工程”建设，深入落实“美丽中国”“靓丽云南”“美丽文山”“美丽西畴”建设行动，坚决打好蓝天、碧水、净土保卫战和污染防治攻坚战。创新“河长制”“林长制”“路长制”行动，打造“美丽西畴”和“美丽乡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13" w:name="_Toc13743"/>
      <w:bookmarkStart w:id="114" w:name="_Toc8224_WPSOffice_Level3"/>
      <w:r>
        <w:rPr>
          <w:rFonts w:hint="eastAsia" w:ascii="宋体" w:hAnsi="宋体" w:eastAsia="方正楷体_GBK" w:cs="方正楷体_GBK"/>
          <w:b w:val="0"/>
          <w:bCs w:val="0"/>
          <w:color w:val="auto"/>
          <w:sz w:val="32"/>
          <w:szCs w:val="30"/>
          <w:highlight w:val="none"/>
          <w:lang w:val="en-US" w:eastAsia="zh-CN"/>
        </w:rPr>
        <w:t>第一节　全面提高资源利用效率</w:t>
      </w:r>
      <w:bookmarkEnd w:id="113"/>
      <w:bookmarkEnd w:id="11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大力实施水网工程建设，发展节水工业、节水农业。加强土地综合整治，提高土地资源产出率。加强矿山保护与开发，引导企业科学开采、合理开采。切实做好小城镇开发连线控制，全面推行垃圾分类及医疗废弃物回收利用工作，加快兴街垃圾焚烧发电厂和医疗废弃物处理厂项目建设，提高资源循环利用效率。严格产业准入负面清单制度，注重产业承接选择，合理布局发展一批农产品加工企业和清洁产业，延伸产业链条，提高可持续发展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简体" w:cs="方正楷体简体"/>
          <w:b w:val="0"/>
          <w:bCs w:val="0"/>
          <w:color w:val="auto"/>
          <w:sz w:val="32"/>
          <w:szCs w:val="30"/>
          <w:highlight w:val="none"/>
          <w:lang w:val="en-US" w:eastAsia="zh-CN"/>
        </w:rPr>
      </w:pPr>
      <w:bookmarkStart w:id="115" w:name="_Toc28444"/>
      <w:bookmarkStart w:id="116" w:name="_Toc27292_WPSOffice_Level3"/>
      <w:r>
        <w:rPr>
          <w:rFonts w:hint="eastAsia" w:ascii="宋体" w:hAnsi="宋体" w:eastAsia="方正楷体简体" w:cs="方正楷体简体"/>
          <w:b w:val="0"/>
          <w:bCs w:val="0"/>
          <w:color w:val="auto"/>
          <w:sz w:val="32"/>
          <w:szCs w:val="30"/>
          <w:highlight w:val="none"/>
          <w:lang w:val="en-US" w:eastAsia="zh-CN"/>
        </w:rPr>
        <w:t>第二节　全面推动绿色低碳发展</w:t>
      </w:r>
      <w:bookmarkEnd w:id="115"/>
      <w:bookmarkEnd w:id="1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推进清洁生产，大力发展环保产业，推进重点产业和重要领域绿色改造，积极发展绿色产业、推行绿色创新、发展绿色金融，推进农业、旅游、能源等产业绿色创新，强化工业企业绿色生产、低碳排放和资源损坏管理，鼓励物流贸易绿色发展，探索建立生态产品价值实现机制，更加自觉地推动绿色循环低碳发展。倡导绿色出行，深入开展绿色生活创建活动，增强全社会生态环保意识。制定和落实工程减排、结构减排和管理减排各项措施，确保主要污染物、农村垃圾、难降解生产资料污染物排放量持续削减。增加森林和生态系统碳汇，控制工业、交通等重点领域碳排放，打造西畴生态绿色品牌，推动“绿水青山就是金山银山”价值转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17" w:name="_Toc11299"/>
      <w:bookmarkStart w:id="118" w:name="_Toc8721_WPSOffice_Level3"/>
      <w:r>
        <w:rPr>
          <w:rFonts w:hint="eastAsia" w:ascii="宋体" w:hAnsi="宋体" w:eastAsia="方正楷体_GBK" w:cs="方正楷体_GBK"/>
          <w:b w:val="0"/>
          <w:bCs w:val="0"/>
          <w:color w:val="auto"/>
          <w:sz w:val="32"/>
          <w:szCs w:val="30"/>
          <w:highlight w:val="none"/>
          <w:lang w:val="en-US" w:eastAsia="zh-CN"/>
        </w:rPr>
        <w:t>第三节　完善生态文明制度体系建设</w:t>
      </w:r>
      <w:bookmarkEnd w:id="117"/>
      <w:bookmarkEnd w:id="1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坚持“谁污染、谁治理，谁污染、谁付费”原则，健全源头严防、过程严控、后果严惩、责任追究的全过程监管体系。完善领导干部自然资源资产离任审计制度。建立健全石漠化综合治理、生态红线公开、耕地红线公开、资源有偿使用、生态补偿、生态环境损害赔偿、资源产权、生态产品价值监管考核、生态文明建设目标考核、约束指标管理等系列长效机制，健全完善环境安全防控体系。</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bookmarkStart w:id="119" w:name="_Toc12538_WPSOffice_Level2"/>
      <w:bookmarkStart w:id="120" w:name="_Toc14233"/>
      <w:bookmarkStart w:id="121" w:name="_Toc8224_WPSOffice_Level2"/>
      <w:bookmarkStart w:id="122" w:name="_Toc31932_WPSOffice_Level2"/>
      <w:bookmarkStart w:id="123" w:name="_Toc14857"/>
      <w:r>
        <w:rPr>
          <w:rFonts w:hint="eastAsia" w:ascii="宋体" w:hAnsi="宋体" w:eastAsia="方正黑体_GBK" w:cs="方正黑体_GBK"/>
          <w:b w:val="0"/>
          <w:bCs/>
          <w:color w:val="auto"/>
          <w:sz w:val="32"/>
          <w:szCs w:val="32"/>
          <w:highlight w:val="none"/>
          <w:lang w:val="en-US" w:eastAsia="zh-CN"/>
        </w:rPr>
        <w:t>第三章　争当生态文明建设排头兵</w:t>
      </w:r>
      <w:bookmarkEnd w:id="119"/>
      <w:bookmarkEnd w:id="120"/>
      <w:bookmarkEnd w:id="121"/>
      <w:bookmarkEnd w:id="122"/>
      <w:bookmarkEnd w:id="12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积极落实环境保护“三线一单”，广泛倡导低碳生活，推进企业节能改造，增强群众环保意识，不断强化完善生态文明制度建设，推进生态文明建设各项工作走在省州前列。围绕资源利用、环境治理、生态保护、增长质量、绿色生活建设，突出科学素质、人工智能、互联网+应用、新技术等，积极提高资源使用效率和生产效率。健全生态文明建设和生态环境保护制度，构建全社会共同参与的生态保护格局，倡导绿色生活方式和消费模式，积极打造“绿色能源、绿色食品、健康生活目的地”，让绿色成为“美丽西畴”建设的主色调。加强城乡管理智慧平台和数据中心体系建设，</w:t>
      </w:r>
      <w:r>
        <w:rPr>
          <w:rFonts w:hint="default" w:ascii="宋体" w:hAnsi="宋体" w:eastAsia="方正仿宋_GBK" w:cstheme="minorBidi"/>
          <w:b w:val="0"/>
          <w:bCs w:val="0"/>
          <w:color w:val="auto"/>
          <w:kern w:val="2"/>
          <w:sz w:val="32"/>
          <w:szCs w:val="32"/>
          <w:highlight w:val="none"/>
          <w:lang w:val="en-US" w:eastAsia="zh-CN" w:bidi="ar-SA"/>
        </w:rPr>
        <w:t>全面实施</w:t>
      </w:r>
      <w:r>
        <w:rPr>
          <w:rFonts w:hint="eastAsia" w:ascii="宋体" w:hAnsi="宋体" w:eastAsia="方正仿宋_GBK" w:cstheme="minorBidi"/>
          <w:b w:val="0"/>
          <w:bCs w:val="0"/>
          <w:color w:val="auto"/>
          <w:kern w:val="2"/>
          <w:sz w:val="32"/>
          <w:szCs w:val="32"/>
          <w:highlight w:val="none"/>
          <w:lang w:val="en-US" w:eastAsia="zh-CN" w:bidi="ar-SA"/>
        </w:rPr>
        <w:t>经济</w:t>
      </w:r>
      <w:r>
        <w:rPr>
          <w:rFonts w:hint="default" w:ascii="宋体" w:hAnsi="宋体" w:eastAsia="方正仿宋_GBK" w:cstheme="minorBidi"/>
          <w:b w:val="0"/>
          <w:bCs w:val="0"/>
          <w:color w:val="auto"/>
          <w:kern w:val="2"/>
          <w:sz w:val="32"/>
          <w:szCs w:val="32"/>
          <w:highlight w:val="none"/>
          <w:lang w:val="en-US" w:eastAsia="zh-CN" w:bidi="ar-SA"/>
        </w:rPr>
        <w:t>林业发展战略，</w:t>
      </w:r>
      <w:r>
        <w:rPr>
          <w:rFonts w:hint="eastAsia" w:ascii="宋体" w:hAnsi="宋体" w:eastAsia="方正仿宋_GBK" w:cstheme="minorBidi"/>
          <w:b w:val="0"/>
          <w:bCs w:val="0"/>
          <w:color w:val="auto"/>
          <w:kern w:val="2"/>
          <w:sz w:val="32"/>
          <w:szCs w:val="32"/>
          <w:highlight w:val="none"/>
          <w:lang w:val="en-US" w:eastAsia="zh-CN" w:bidi="ar-SA"/>
        </w:rPr>
        <w:t>积极做好资源承载较差地区群众搬迁、生态修复工作，确保森林覆盖率、林地面积，受保护国土面积、环境投资、清洁产业等指标高于国家和省的相关标准，主要污染物排放、城镇污水处理、空气质量、水环境质量等指标达到相关要求，建成一批生态文明乡村，奋力开创百姓富、生态美的西畴新未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简体"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 xml:space="preserve"> 2025年，环境保护投资占GDP的比重大于3%，农业灌溉水有效利用系数大于0.5m³/万元、农村生活用能中清洁能源所占比例大于40%、秸秆综合利用率大于85%、规模化畜禽养殖场粪便综合利用率大于95%、化肥施用强度（折纯）小于280千克/公顷，单位GDP二氧化碳降低率（%）控制在19%以下，新投产工业项目用地单位面积投资强度达标率为95%，单位工业用地面积实现工业增加值三年年均增长率6%以上，单位工业增加值新鲜水耗小于25m³/万元、工业用水重复率大于80%、工业固体废物处置利用率大于80%，生态公益林占林业用地面积比例大于30%、受保护地区占国土面积比例大于18%、空气、水、噪声环境质量达到相关标准，城镇人均公共绿地面积大于10平方米，农村40户以上村庄公园面积大于5亩，集中式饮用水源水质达标率和村镇饮用水卫生合格率达100%，农村卫生厕所普及率大于95%，清洁生产示范企业大于10户。生态型经济成为西畴县域经济发展的鲜明特色，大力开展生态文明示范创建，建成国家级生态文明示范县。</w:t>
      </w:r>
    </w:p>
    <w:tbl>
      <w:tblPr>
        <w:tblStyle w:val="2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844"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auto"/>
                <w:sz w:val="22"/>
                <w:szCs w:val="22"/>
                <w:highlight w:val="none"/>
                <w:u w:val="none"/>
              </w:rPr>
            </w:pPr>
            <w:r>
              <w:rPr>
                <w:rFonts w:hint="eastAsia" w:ascii="宋体" w:hAnsi="宋体" w:eastAsia="方正仿宋_GBK" w:cs="方正仿宋_GBK"/>
                <w:b/>
                <w:bCs/>
                <w:i w:val="0"/>
                <w:color w:val="auto"/>
                <w:kern w:val="0"/>
                <w:sz w:val="32"/>
                <w:szCs w:val="32"/>
                <w:highlight w:val="none"/>
                <w:u w:val="none"/>
                <w:lang w:val="en-US" w:eastAsia="zh-CN" w:bidi="ar"/>
              </w:rPr>
              <w:t>专栏3：</w:t>
            </w:r>
            <w:r>
              <w:rPr>
                <w:rFonts w:hint="eastAsia" w:ascii="宋体" w:hAnsi="宋体" w:eastAsia="方正仿宋_GBK" w:cs="方正仿宋_GBK"/>
                <w:i w:val="0"/>
                <w:color w:val="auto"/>
                <w:kern w:val="0"/>
                <w:sz w:val="32"/>
                <w:szCs w:val="32"/>
                <w:highlight w:val="none"/>
                <w:u w:val="none"/>
                <w:lang w:val="en-US" w:eastAsia="zh-CN" w:bidi="ar"/>
              </w:rPr>
              <w:t>绿水青山就是金山银山转换工程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低效林改造工程：</w:t>
            </w:r>
            <w:r>
              <w:rPr>
                <w:rFonts w:hint="eastAsia" w:ascii="宋体" w:hAnsi="宋体" w:eastAsia="宋体" w:cs="宋体"/>
                <w:i w:val="0"/>
                <w:color w:val="auto"/>
                <w:kern w:val="0"/>
                <w:sz w:val="22"/>
                <w:szCs w:val="22"/>
                <w:highlight w:val="none"/>
                <w:u w:val="none"/>
                <w:lang w:val="en-US" w:eastAsia="zh-CN" w:bidi="ar"/>
              </w:rPr>
              <w:t>对核桃退耕还林区实施低效林改造，改造面积不少于3万亩。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4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低效作物替代工程：</w:t>
            </w:r>
            <w:r>
              <w:rPr>
                <w:rFonts w:hint="eastAsia" w:ascii="宋体" w:hAnsi="宋体" w:eastAsia="宋体" w:cs="宋体"/>
                <w:i w:val="0"/>
                <w:color w:val="auto"/>
                <w:kern w:val="0"/>
                <w:sz w:val="22"/>
                <w:szCs w:val="22"/>
                <w:highlight w:val="none"/>
                <w:u w:val="none"/>
                <w:lang w:val="en-US" w:eastAsia="zh-CN" w:bidi="ar"/>
              </w:rPr>
              <w:t>调减低效作物，壮大优势产业，改种中药材、水果等，替代面积不少于3万亩。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884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比较优势发挥工程：</w:t>
            </w:r>
            <w:r>
              <w:rPr>
                <w:rFonts w:hint="eastAsia" w:ascii="宋体" w:hAnsi="宋体" w:eastAsia="宋体" w:cs="宋体"/>
                <w:i w:val="0"/>
                <w:color w:val="auto"/>
                <w:kern w:val="0"/>
                <w:sz w:val="22"/>
                <w:szCs w:val="22"/>
                <w:highlight w:val="none"/>
                <w:u w:val="none"/>
                <w:lang w:val="en-US" w:eastAsia="zh-CN" w:bidi="ar"/>
              </w:rPr>
              <w:t>对区域中药材进行药品有效成份检测，区别于其它地区同类产品成份，突出区域中药材发展优势，中药材种植面积不低于7万亩。林下种养殖面积不低于3万亩。力争引进中药材初加工厂或制药企业分厂一个。突出国家级“限制开发区”优势，发展蔬菜种植，种植面积6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资源利用工程：</w:t>
            </w:r>
            <w:r>
              <w:rPr>
                <w:rFonts w:hint="eastAsia" w:ascii="宋体" w:hAnsi="宋体" w:eastAsia="宋体" w:cs="宋体"/>
                <w:i w:val="0"/>
                <w:color w:val="auto"/>
                <w:kern w:val="0"/>
                <w:sz w:val="22"/>
                <w:szCs w:val="22"/>
                <w:highlight w:val="none"/>
                <w:u w:val="none"/>
                <w:lang w:val="en-US" w:eastAsia="zh-CN" w:bidi="ar"/>
              </w:rPr>
              <w:t>农作物秸秆综合利用率达85%以上，农膜回收率80%以上，畜禽规模养殖粪便处理设施配套率和综合利用率达90%以上。</w:t>
            </w:r>
          </w:p>
        </w:tc>
      </w:tr>
    </w:tbl>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方正小标宋_GBK" w:cs="方正小标宋_GBK"/>
          <w:b/>
          <w:color w:val="auto"/>
          <w:kern w:val="44"/>
          <w:sz w:val="36"/>
          <w:szCs w:val="36"/>
          <w:highlight w:val="none"/>
          <w:lang w:val="en-US" w:eastAsia="zh-CN" w:bidi="ar"/>
        </w:rPr>
      </w:pPr>
      <w:r>
        <w:rPr>
          <w:rFonts w:hint="eastAsia" w:ascii="宋体" w:hAnsi="宋体" w:eastAsia="方正小标宋_GBK" w:cs="方正小标宋_GBK"/>
          <w:b/>
          <w:color w:val="auto"/>
          <w:kern w:val="44"/>
          <w:sz w:val="36"/>
          <w:szCs w:val="36"/>
          <w:highlight w:val="none"/>
          <w:lang w:val="en-US" w:eastAsia="zh-CN" w:bidi="ar"/>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宋体" w:hAnsi="宋体" w:eastAsia="方正小标宋_GBK" w:cs="方正小标宋_GBK"/>
          <w:b w:val="0"/>
          <w:bCs/>
          <w:color w:val="auto"/>
          <w:sz w:val="44"/>
          <w:szCs w:val="44"/>
          <w:highlight w:val="none"/>
          <w:lang w:val="en-US" w:eastAsia="zh-CN"/>
        </w:rPr>
      </w:pPr>
      <w:bookmarkStart w:id="124" w:name="_Toc4682"/>
      <w:r>
        <w:rPr>
          <w:rFonts w:hint="eastAsia" w:ascii="宋体" w:hAnsi="宋体" w:eastAsia="方正小标宋_GBK" w:cs="方正小标宋_GBK"/>
          <w:b w:val="0"/>
          <w:bCs/>
          <w:color w:val="auto"/>
          <w:sz w:val="44"/>
          <w:szCs w:val="44"/>
          <w:highlight w:val="none"/>
          <w:lang w:val="en-US" w:eastAsia="zh-CN"/>
        </w:rPr>
        <w:t>第六篇</w:t>
      </w:r>
      <w:bookmarkEnd w:id="45"/>
      <w:bookmarkEnd w:id="46"/>
      <w:bookmarkEnd w:id="47"/>
      <w:r>
        <w:rPr>
          <w:rFonts w:hint="eastAsia" w:ascii="宋体" w:hAnsi="宋体" w:eastAsia="方正小标宋_GBK" w:cs="方正小标宋_GBK"/>
          <w:b w:val="0"/>
          <w:bCs/>
          <w:color w:val="auto"/>
          <w:sz w:val="44"/>
          <w:szCs w:val="44"/>
          <w:highlight w:val="none"/>
          <w:lang w:val="en-US" w:eastAsia="zh-CN"/>
        </w:rPr>
        <w:t xml:space="preserve"> </w:t>
      </w:r>
      <w:r>
        <w:rPr>
          <w:rFonts w:hint="eastAsia" w:ascii="宋体" w:hAnsi="宋体" w:eastAsia="方正小标宋_GBK" w:cs="方正小标宋_GBK"/>
          <w:b w:val="0"/>
          <w:bCs/>
          <w:color w:val="auto"/>
          <w:spacing w:val="-11"/>
          <w:sz w:val="44"/>
          <w:szCs w:val="44"/>
          <w:highlight w:val="none"/>
          <w:lang w:val="en-US" w:eastAsia="zh-CN"/>
        </w:rPr>
        <w:t>打造石漠化地区高质量发展创新示范区</w:t>
      </w:r>
      <w:bookmarkEnd w:id="52"/>
      <w:bookmarkEnd w:id="12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宋体" w:hAnsi="宋体" w:eastAsia="方正仿宋_GBK" w:cs="方正仿宋_GBK"/>
          <w:b w:val="0"/>
          <w:bCs w:val="0"/>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val="0"/>
          <w:bCs w:val="0"/>
          <w:color w:val="auto"/>
          <w:kern w:val="2"/>
          <w:sz w:val="32"/>
          <w:szCs w:val="32"/>
          <w:highlight w:val="none"/>
          <w:lang w:val="en-US" w:eastAsia="zh-CN" w:bidi="ar-SA"/>
        </w:rPr>
        <w:t>　</w:t>
      </w:r>
      <w:r>
        <w:rPr>
          <w:rFonts w:hint="eastAsia" w:ascii="宋体" w:hAnsi="宋体" w:eastAsia="方正仿宋_GBK" w:cstheme="minorBidi"/>
          <w:b w:val="0"/>
          <w:color w:val="auto"/>
          <w:kern w:val="2"/>
          <w:sz w:val="32"/>
          <w:szCs w:val="32"/>
          <w:highlight w:val="none"/>
          <w:lang w:val="en-US" w:eastAsia="zh-CN" w:bidi="ar-SA"/>
        </w:rPr>
        <w:t>　坚持开发合作、互利共赢、错位发展、联动开发和主体功能约束有效原则，实施质量强县战略，以发挥区域优势为着力点，以缩小区域差距、促进各区域共同发展为目标，构建“一城、二通道、三区（示范）、五基地”区域发展空间，推动生产要素自由有序流动，形成区域协调发展新格局。</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仿宋_GBK" w:cs="方正小标宋_GBK"/>
          <w:b w:val="0"/>
          <w:bCs/>
          <w:color w:val="auto"/>
          <w:sz w:val="32"/>
          <w:szCs w:val="32"/>
          <w:highlight w:val="none"/>
          <w:lang w:val="en-US" w:eastAsia="zh-CN"/>
        </w:rPr>
      </w:pPr>
      <w:bookmarkStart w:id="125" w:name="_Toc17051_WPSOffice_Level2"/>
      <w:bookmarkStart w:id="126" w:name="_Toc28470_WPSOffice_Level2"/>
      <w:bookmarkStart w:id="127" w:name="_Toc31980"/>
      <w:bookmarkStart w:id="128" w:name="_Toc11258"/>
      <w:bookmarkStart w:id="129" w:name="_Toc30219_WPSOffice_Level2"/>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第一章　高质量建设立体基础设施网络</w:t>
      </w:r>
      <w:bookmarkEnd w:id="125"/>
      <w:bookmarkEnd w:id="126"/>
      <w:bookmarkEnd w:id="127"/>
      <w:bookmarkEnd w:id="128"/>
      <w:bookmarkEnd w:id="129"/>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方正仿宋_GBK" w:cs="方正仿宋_GBK"/>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val="0"/>
          <w:bCs w:val="0"/>
          <w:color w:val="auto"/>
          <w:sz w:val="32"/>
          <w:szCs w:val="32"/>
          <w:highlight w:val="none"/>
          <w:lang w:eastAsia="zh-CN"/>
        </w:rPr>
        <w:t>　</w:t>
      </w:r>
      <w:r>
        <w:rPr>
          <w:rFonts w:hint="eastAsia" w:ascii="宋体" w:hAnsi="宋体" w:eastAsia="方正仿宋_GBK" w:cstheme="minorBidi"/>
          <w:b w:val="0"/>
          <w:color w:val="auto"/>
          <w:kern w:val="2"/>
          <w:sz w:val="32"/>
          <w:szCs w:val="32"/>
          <w:highlight w:val="none"/>
          <w:lang w:val="en-US" w:eastAsia="zh-CN" w:bidi="ar-SA"/>
        </w:rPr>
        <w:t>　以“基础设施高级化”为指导，以优质高效服务于开发式、开放式经济社会建设为引领，高质量持续推进陆路运输重大基础工程建设，提升基础设施服务经济社会现代化建设的保障能力。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30" w:name="_Toc27815"/>
      <w:bookmarkStart w:id="131" w:name="_Toc23803_WPSOffice_Level3"/>
      <w:bookmarkStart w:id="132" w:name="_Toc8925_WPSOffice_Level3"/>
      <w:bookmarkStart w:id="133" w:name="_Toc12538_WPSOffice_Level3"/>
      <w:bookmarkStart w:id="134" w:name="_Toc14102"/>
      <w:r>
        <w:rPr>
          <w:rFonts w:hint="eastAsia" w:ascii="宋体" w:hAnsi="宋体" w:eastAsia="方正楷体_GBK" w:cs="方正楷体_GBK"/>
          <w:b w:val="0"/>
          <w:bCs w:val="0"/>
          <w:color w:val="auto"/>
          <w:sz w:val="32"/>
          <w:szCs w:val="30"/>
          <w:highlight w:val="none"/>
          <w:lang w:val="en-US" w:eastAsia="zh-CN"/>
        </w:rPr>
        <w:t>第一节　推动安全高效公路服务网络</w:t>
      </w:r>
      <w:bookmarkEnd w:id="130"/>
      <w:bookmarkEnd w:id="131"/>
      <w:r>
        <w:rPr>
          <w:rFonts w:hint="eastAsia" w:ascii="宋体" w:hAnsi="宋体" w:eastAsia="方正楷体_GBK" w:cs="方正楷体_GBK"/>
          <w:b w:val="0"/>
          <w:bCs w:val="0"/>
          <w:color w:val="auto"/>
          <w:sz w:val="32"/>
          <w:szCs w:val="30"/>
          <w:highlight w:val="none"/>
          <w:lang w:val="en-US" w:eastAsia="zh-CN"/>
        </w:rPr>
        <w:t>建设</w:t>
      </w:r>
      <w:bookmarkEnd w:id="132"/>
      <w:bookmarkEnd w:id="133"/>
      <w:bookmarkEnd w:id="13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全方位抓好天文高速、那兴高速建设土地征用、矿山利用、矛盾调解等各项服务的同时。高效服务好马关至西畴、西畴至富宁高速公路建设各项工作，确保按省的预期要求如期开工。积极争取将砚山至西畴、县城至州府直通高速公路加密前期工作纳入上级计划，力争前期工作取得积极进展并早日实现开工建设。统筹好文山至西畴至富宁、关岭至天保铁路基础设施，产业发展避让等工作，做好区域铁路站点布局争取，与主线搭接设施研究与申报，确保关联设施建设与发展布局同区域铁路建设同期推进，做好机场筹建，争取选址论证工作，力争在规划期内进入上级盘子。积极开展好9乡（镇）间的等级油路连通建设项目研究，做好项目申报与资金争取，力争2035年实现乡镇间等级油路互连互通。分期分批段对通乡通村现有公路进行提升改造，提升公路路面等级，保证通乡通村现有公路安全、便捷、高效。有序对农村等外路面改造与乡村振兴建设同步推进。多渠道筹措建设资金，做好各类产业园区（基地）、产业小区、农产品加工小区配套公路建设，满足产业发展需求。依托云计算、大数据中心，做好等级公路沿线、农村公路隐患点、自然灾害易发区域等数据采集、存储、分析、汇总和可视化运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eastAsia" w:ascii="宋体" w:hAnsi="宋体" w:eastAsia="方正仿宋_GBK" w:cs="方正仿宋_GBK"/>
          <w:b/>
          <w:bCs/>
          <w:color w:val="auto"/>
          <w:kern w:val="2"/>
          <w:sz w:val="32"/>
          <w:szCs w:val="32"/>
          <w:highlight w:val="none"/>
          <w:lang w:val="en-US" w:eastAsia="zh-CN" w:bidi="ar-SA"/>
        </w:rPr>
      </w:pPr>
      <w:r>
        <w:rPr>
          <w:rFonts w:hint="eastAsia" w:ascii="宋体" w:hAnsi="宋体" w:eastAsia="方正仿宋_GBK" w:cs="方正仿宋_GBK"/>
          <w:b/>
          <w:bCs/>
          <w:color w:val="auto"/>
          <w:kern w:val="2"/>
          <w:sz w:val="32"/>
          <w:szCs w:val="32"/>
          <w:highlight w:val="none"/>
          <w:lang w:val="en-US" w:eastAsia="zh-CN" w:bidi="ar-SA"/>
        </w:rPr>
        <w:t>专栏4：</w:t>
      </w:r>
      <w:r>
        <w:rPr>
          <w:rFonts w:hint="eastAsia" w:ascii="宋体" w:hAnsi="宋体" w:eastAsia="方正仿宋_GBK" w:cs="方正仿宋_GBK"/>
          <w:b w:val="0"/>
          <w:bCs w:val="0"/>
          <w:color w:val="auto"/>
          <w:kern w:val="2"/>
          <w:sz w:val="32"/>
          <w:szCs w:val="32"/>
          <w:highlight w:val="none"/>
          <w:lang w:val="en-US" w:eastAsia="zh-CN" w:bidi="ar-SA"/>
        </w:rPr>
        <w:t>道路交通重点工程</w:t>
      </w:r>
      <w:bookmarkStart w:id="135" w:name="_Toc17813"/>
      <w:bookmarkStart w:id="136" w:name="_Toc13786_WPSOffice_Level3"/>
      <w:bookmarkStart w:id="137" w:name="_Toc28263_WPSOffice_Level3"/>
    </w:p>
    <w:tbl>
      <w:tblPr>
        <w:tblStyle w:val="20"/>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0" w:hRule="atLeast"/>
        </w:trPr>
        <w:tc>
          <w:tcPr>
            <w:tcW w:w="88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高速公路：</w:t>
            </w:r>
            <w:r>
              <w:rPr>
                <w:rFonts w:hint="eastAsia" w:ascii="宋体" w:hAnsi="宋体" w:eastAsia="宋体" w:cs="宋体"/>
                <w:i w:val="0"/>
                <w:color w:val="auto"/>
                <w:kern w:val="0"/>
                <w:sz w:val="22"/>
                <w:szCs w:val="22"/>
                <w:highlight w:val="none"/>
                <w:u w:val="none"/>
                <w:lang w:val="en-US" w:eastAsia="zh-CN" w:bidi="ar"/>
              </w:rPr>
              <w:t>文山-天保、那洒-兴街、马关-西畴、西畴-富宁高速公路。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87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铁路：</w:t>
            </w:r>
            <w:r>
              <w:rPr>
                <w:rFonts w:hint="eastAsia" w:ascii="宋体" w:hAnsi="宋体" w:eastAsia="宋体" w:cs="宋体"/>
                <w:i w:val="0"/>
                <w:color w:val="auto"/>
                <w:kern w:val="0"/>
                <w:sz w:val="22"/>
                <w:szCs w:val="22"/>
                <w:highlight w:val="none"/>
                <w:u w:val="none"/>
                <w:lang w:val="en-US" w:eastAsia="zh-CN" w:bidi="ar"/>
              </w:rPr>
              <w:t>沿边铁路(文山-西畴-富宁)、关岭至天保铁路(广南-西畴-天保)及配套工程。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87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高等级公路：</w:t>
            </w:r>
            <w:r>
              <w:rPr>
                <w:rFonts w:hint="eastAsia" w:ascii="宋体" w:hAnsi="宋体" w:eastAsia="宋体" w:cs="宋体"/>
                <w:i w:val="0"/>
                <w:color w:val="auto"/>
                <w:kern w:val="0"/>
                <w:sz w:val="22"/>
                <w:szCs w:val="22"/>
                <w:highlight w:val="none"/>
                <w:u w:val="none"/>
                <w:lang w:val="en-US" w:eastAsia="zh-CN" w:bidi="ar"/>
              </w:rPr>
              <w:t>马关至西畴至富宁二级油路、珠街至西畴、西畴-砚山机场二级油路、柏林-磨山。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887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环乡主干道工程：</w:t>
            </w:r>
            <w:r>
              <w:rPr>
                <w:rFonts w:hint="eastAsia" w:ascii="宋体" w:hAnsi="宋体" w:eastAsia="宋体" w:cs="宋体"/>
                <w:i w:val="0"/>
                <w:color w:val="auto"/>
                <w:kern w:val="0"/>
                <w:sz w:val="22"/>
                <w:szCs w:val="22"/>
                <w:highlight w:val="none"/>
                <w:u w:val="none"/>
                <w:lang w:val="en-US" w:eastAsia="zh-CN" w:bidi="ar"/>
              </w:rPr>
              <w:t>鸡街至董马、董马至法斗、法斗至坪寨、坪寨至柏林、蚌谷至法斗、法斗至六河。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7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农村公路改扩建工程：</w:t>
            </w:r>
            <w:r>
              <w:rPr>
                <w:rFonts w:hint="eastAsia" w:ascii="宋体" w:hAnsi="宋体" w:eastAsia="宋体" w:cs="宋体"/>
                <w:b w:val="0"/>
                <w:bCs/>
                <w:i w:val="0"/>
                <w:color w:val="auto"/>
                <w:kern w:val="0"/>
                <w:sz w:val="22"/>
                <w:szCs w:val="22"/>
                <w:highlight w:val="none"/>
                <w:u w:val="none"/>
                <w:lang w:val="en-US" w:eastAsia="zh-CN" w:bidi="ar"/>
              </w:rPr>
              <w:t>有序</w:t>
            </w:r>
            <w:r>
              <w:rPr>
                <w:rFonts w:hint="eastAsia" w:ascii="宋体" w:hAnsi="宋体" w:eastAsia="宋体" w:cs="宋体"/>
                <w:i w:val="0"/>
                <w:color w:val="auto"/>
                <w:kern w:val="0"/>
                <w:sz w:val="22"/>
                <w:szCs w:val="22"/>
                <w:highlight w:val="none"/>
                <w:u w:val="none"/>
                <w:lang w:val="en-US" w:eastAsia="zh-CN" w:bidi="ar"/>
              </w:rPr>
              <w:t>对农村等外公路进行提档升级。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887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产业道路工程：</w:t>
            </w:r>
            <w:r>
              <w:rPr>
                <w:rFonts w:hint="eastAsia" w:ascii="宋体" w:hAnsi="宋体" w:eastAsia="宋体" w:cs="宋体"/>
                <w:i w:val="0"/>
                <w:color w:val="auto"/>
                <w:kern w:val="0"/>
                <w:sz w:val="22"/>
                <w:szCs w:val="22"/>
                <w:highlight w:val="none"/>
                <w:u w:val="none"/>
                <w:lang w:val="en-US" w:eastAsia="zh-CN" w:bidi="ar"/>
              </w:rPr>
              <w:t>对产业园区、产业小区道路进行连接。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88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市政道路：</w:t>
            </w:r>
            <w:r>
              <w:rPr>
                <w:rFonts w:hint="eastAsia" w:ascii="宋体" w:hAnsi="宋体" w:eastAsia="宋体" w:cs="宋体"/>
                <w:i w:val="0"/>
                <w:color w:val="auto"/>
                <w:kern w:val="0"/>
                <w:sz w:val="22"/>
                <w:szCs w:val="22"/>
                <w:highlight w:val="none"/>
                <w:u w:val="none"/>
                <w:lang w:val="en-US" w:eastAsia="zh-CN" w:bidi="ar"/>
              </w:rPr>
              <w:t>对西洒、兴街小镇新建区域进行市政道路配套。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38" w:name="_Toc22389_WPSOffice_Level3"/>
      <w:bookmarkStart w:id="139" w:name="_Toc712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r>
        <w:rPr>
          <w:rFonts w:hint="eastAsia" w:ascii="宋体" w:hAnsi="宋体" w:eastAsia="方正楷体_GBK" w:cs="方正楷体_GBK"/>
          <w:b w:val="0"/>
          <w:bCs w:val="0"/>
          <w:color w:val="auto"/>
          <w:sz w:val="32"/>
          <w:szCs w:val="30"/>
          <w:highlight w:val="none"/>
          <w:lang w:val="en-US" w:eastAsia="zh-CN"/>
        </w:rPr>
        <w:t>第二节　建设综合给水网络</w:t>
      </w:r>
      <w:bookmarkEnd w:id="135"/>
      <w:bookmarkEnd w:id="136"/>
      <w:bookmarkEnd w:id="137"/>
      <w:bookmarkEnd w:id="138"/>
      <w:bookmarkEnd w:id="139"/>
    </w:p>
    <w:p>
      <w:pPr>
        <w:keepNext w:val="0"/>
        <w:keepLines w:val="0"/>
        <w:pageBreakBefore w:val="0"/>
        <w:widowControl w:val="0"/>
        <w:tabs>
          <w:tab w:val="left" w:pos="546"/>
        </w:tabs>
        <w:kinsoku/>
        <w:wordWrap/>
        <w:overflowPunct/>
        <w:topLinePunct w:val="0"/>
        <w:autoSpaceDE/>
        <w:autoSpaceDN/>
        <w:bidi w:val="0"/>
        <w:adjustRightInd/>
        <w:snapToGrid/>
        <w:spacing w:line="560" w:lineRule="exact"/>
        <w:ind w:firstLine="641"/>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根据区域产业发展布局，强化水利基础设施项目的包装策划储备，加大各级预算内资金和地方债券资金争取，加快社会资本投入，着力推进水利设施建设，做好水安全运行保障，高效服务于经济社会发展。强化水源点的布局与建设，重点抓好大堡、龙泉、老玉坡等水库建设，力争水库增容达3000万立方米以上，加强水源点建设，抓好河道提水、地下提水、水系连通工程建设，合理进行水资源调配，强化水资源市场化管理，形成资源节约与高效利用的用水机制，做好智慧水利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default" w:ascii="宋体" w:hAnsi="宋体" w:eastAsia="方正仿宋_GBK" w:cs="方正仿宋_GBK"/>
          <w:b w:val="0"/>
          <w:bCs w:val="0"/>
          <w:color w:val="auto"/>
          <w:kern w:val="2"/>
          <w:sz w:val="32"/>
          <w:szCs w:val="32"/>
          <w:highlight w:val="none"/>
          <w:lang w:val="en-US" w:eastAsia="zh-CN" w:bidi="ar-SA"/>
        </w:rPr>
      </w:pPr>
      <w:r>
        <w:rPr>
          <w:rFonts w:hint="eastAsia" w:ascii="宋体" w:hAnsi="宋体" w:eastAsia="方正仿宋_GBK" w:cs="方正仿宋_GBK"/>
          <w:b/>
          <w:bCs/>
          <w:color w:val="auto"/>
          <w:kern w:val="2"/>
          <w:sz w:val="32"/>
          <w:szCs w:val="32"/>
          <w:highlight w:val="none"/>
          <w:lang w:val="en-US" w:eastAsia="zh-CN" w:bidi="ar-SA"/>
        </w:rPr>
        <w:t>专栏5：</w:t>
      </w:r>
      <w:r>
        <w:rPr>
          <w:rFonts w:hint="default" w:ascii="宋体" w:hAnsi="宋体" w:eastAsia="方正仿宋_GBK" w:cs="方正仿宋_GBK"/>
          <w:b w:val="0"/>
          <w:bCs w:val="0"/>
          <w:color w:val="auto"/>
          <w:kern w:val="2"/>
          <w:sz w:val="32"/>
          <w:szCs w:val="32"/>
          <w:highlight w:val="none"/>
          <w:lang w:val="en-US" w:eastAsia="zh-CN" w:bidi="ar-SA"/>
        </w:rPr>
        <w:t>水</w:t>
      </w:r>
      <w:r>
        <w:rPr>
          <w:rFonts w:hint="eastAsia" w:ascii="宋体" w:hAnsi="宋体" w:eastAsia="方正仿宋_GBK" w:cs="方正仿宋_GBK"/>
          <w:b w:val="0"/>
          <w:bCs w:val="0"/>
          <w:color w:val="auto"/>
          <w:kern w:val="2"/>
          <w:sz w:val="32"/>
          <w:szCs w:val="32"/>
          <w:highlight w:val="none"/>
          <w:lang w:val="en-US" w:eastAsia="zh-CN" w:bidi="ar-SA"/>
        </w:rPr>
        <w:t>安全</w:t>
      </w:r>
      <w:r>
        <w:rPr>
          <w:rFonts w:hint="default" w:ascii="宋体" w:hAnsi="宋体" w:eastAsia="方正仿宋_GBK" w:cs="方正仿宋_GBK"/>
          <w:b w:val="0"/>
          <w:bCs w:val="0"/>
          <w:color w:val="auto"/>
          <w:kern w:val="2"/>
          <w:sz w:val="32"/>
          <w:szCs w:val="32"/>
          <w:highlight w:val="none"/>
          <w:lang w:val="en-US" w:eastAsia="zh-CN" w:bidi="ar-SA"/>
        </w:rPr>
        <w:t>保障重大工程</w:t>
      </w:r>
      <w:bookmarkStart w:id="140" w:name="_Toc23121_WPSOffice_Level3"/>
      <w:bookmarkStart w:id="141" w:name="_Toc10645"/>
      <w:bookmarkStart w:id="142" w:name="_Toc4379_WPSOffice_Level3"/>
    </w:p>
    <w:tbl>
      <w:tblPr>
        <w:tblStyle w:val="20"/>
        <w:tblW w:w="8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0" w:hRule="atLeast"/>
        </w:trPr>
        <w:tc>
          <w:tcPr>
            <w:tcW w:w="8882"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水源点建设工程：</w:t>
            </w:r>
            <w:r>
              <w:rPr>
                <w:rFonts w:hint="eastAsia" w:ascii="宋体" w:hAnsi="宋体" w:eastAsia="宋体" w:cs="宋体"/>
                <w:i w:val="0"/>
                <w:color w:val="auto"/>
                <w:kern w:val="0"/>
                <w:sz w:val="22"/>
                <w:szCs w:val="22"/>
                <w:highlight w:val="none"/>
                <w:u w:val="none"/>
                <w:lang w:val="en-US" w:eastAsia="zh-CN" w:bidi="ar"/>
              </w:rPr>
              <w:t>做好大堡、龙泉、木兰、三板桥等水库建设。水库增容3000万立方米。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882"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水连通工程：</w:t>
            </w:r>
            <w:r>
              <w:rPr>
                <w:rFonts w:hint="eastAsia" w:ascii="宋体" w:hAnsi="宋体" w:eastAsia="宋体" w:cs="宋体"/>
                <w:i w:val="0"/>
                <w:color w:val="auto"/>
                <w:kern w:val="0"/>
                <w:sz w:val="22"/>
                <w:szCs w:val="22"/>
                <w:highlight w:val="none"/>
                <w:u w:val="none"/>
                <w:lang w:val="en-US" w:eastAsia="zh-CN" w:bidi="ar"/>
              </w:rPr>
              <w:t>大堡、龙泉、木兰等水库进行管网配套。对已建的67件供水工程进行管网改造和标准化水处理厂，西洒至董马片区水系连通工程，龙泉水库至兴街镇、蚌谷乡水系连通工程。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82"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农业用水工程：</w:t>
            </w:r>
            <w:r>
              <w:rPr>
                <w:rFonts w:hint="eastAsia" w:ascii="宋体" w:hAnsi="宋体" w:eastAsia="宋体" w:cs="宋体"/>
                <w:i w:val="0"/>
                <w:color w:val="auto"/>
                <w:kern w:val="0"/>
                <w:sz w:val="22"/>
                <w:szCs w:val="22"/>
                <w:highlight w:val="none"/>
                <w:u w:val="none"/>
                <w:lang w:val="en-US" w:eastAsia="zh-CN" w:bidi="ar"/>
              </w:rPr>
              <w:t>石漠化连片推进地区产业用水、耕地高效节水灌溉、莲花塘等中型灌区。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882"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b/>
                <w:bCs/>
                <w:i w:val="0"/>
                <w:color w:val="auto"/>
                <w:kern w:val="0"/>
                <w:sz w:val="21"/>
                <w:szCs w:val="21"/>
                <w:highlight w:val="none"/>
                <w:u w:val="none"/>
                <w:lang w:val="en-US" w:eastAsia="zh-CN" w:bidi="ar"/>
              </w:rPr>
              <w:t>工业用水工程：</w:t>
            </w:r>
            <w:r>
              <w:rPr>
                <w:rFonts w:hint="eastAsia" w:ascii="宋体" w:hAnsi="宋体" w:eastAsia="宋体" w:cs="宋体"/>
                <w:i w:val="0"/>
                <w:color w:val="auto"/>
                <w:kern w:val="0"/>
                <w:sz w:val="21"/>
                <w:szCs w:val="21"/>
                <w:highlight w:val="none"/>
                <w:u w:val="none"/>
                <w:lang w:val="en-US" w:eastAsia="zh-CN" w:bidi="ar"/>
              </w:rPr>
              <w:t>做好工业园区、县城和兴街小城镇拓展区工业用水。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888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水旱灾害防预工程：</w:t>
            </w:r>
            <w:r>
              <w:rPr>
                <w:rFonts w:hint="eastAsia" w:ascii="宋体" w:hAnsi="宋体" w:eastAsia="宋体" w:cs="宋体"/>
                <w:i w:val="0"/>
                <w:color w:val="auto"/>
                <w:kern w:val="0"/>
                <w:sz w:val="22"/>
                <w:szCs w:val="22"/>
                <w:highlight w:val="none"/>
                <w:u w:val="none"/>
                <w:lang w:val="en-US" w:eastAsia="zh-CN" w:bidi="ar"/>
              </w:rPr>
              <w:t>鸡街河（汤谷段）、畴阳河（岔河段）、畴阳河（大锡板、小锡板1段）河道治理，山洪沟治理。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2"/>
        <w:rPr>
          <w:rFonts w:hint="eastAsia" w:ascii="宋体" w:hAnsi="宋体" w:eastAsia="方正仿宋_GBK" w:cs="黑体"/>
          <w:b w:val="0"/>
          <w:bCs w:val="0"/>
          <w:color w:val="auto"/>
          <w:sz w:val="32"/>
          <w:szCs w:val="30"/>
          <w:highlight w:val="none"/>
          <w:lang w:val="en-US" w:eastAsia="zh-CN"/>
        </w:rPr>
      </w:pPr>
      <w:bookmarkStart w:id="143" w:name="_Toc19449_WPSOffice_Level3"/>
      <w:bookmarkStart w:id="144" w:name="_Toc2856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r>
        <w:rPr>
          <w:rFonts w:hint="eastAsia" w:ascii="宋体" w:hAnsi="宋体" w:eastAsia="方正楷体_GBK" w:cs="方正楷体_GBK"/>
          <w:b w:val="0"/>
          <w:bCs w:val="0"/>
          <w:color w:val="auto"/>
          <w:sz w:val="32"/>
          <w:szCs w:val="30"/>
          <w:highlight w:val="none"/>
          <w:lang w:val="en-US" w:eastAsia="zh-CN"/>
        </w:rPr>
        <w:t>第三节　构建安全高效信息网</w:t>
      </w:r>
      <w:bookmarkEnd w:id="140"/>
      <w:bookmarkEnd w:id="141"/>
      <w:bookmarkEnd w:id="142"/>
      <w:bookmarkEnd w:id="143"/>
      <w:bookmarkEnd w:id="144"/>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1"/>
        <w:jc w:val="both"/>
        <w:textAlignment w:val="auto"/>
        <w:rPr>
          <w:rFonts w:hint="eastAsia" w:ascii="宋体" w:hAnsi="宋体" w:eastAsia="方正仿宋_GBK" w:cs="方正仿宋_GBK"/>
          <w:b/>
          <w:bCs/>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实施“千兆光纤进小区、百兆光纤进乡村”工程和移动基站补全工程，加快5G网络部署及创新应用落地，进一步完善信息终端和服务供给与网络保障设施建设，加快乡村基础设施数字化转型，发展农村数字经济，夯实数字农业基础，推进农业数字化转型，做好农村智慧物流配送体系、农业装备智能化、科技信息服务，着力构建5G技术融合应用、创新发展的产业业态。以实体经济投入为主，政府引导性投入为辅，推动实体经济和兴街园区区块链、信息化、数字化建设，提升工业和园区生产管理数字化利用水平。加强乡村网络文化阵地、智慧党建、乡村治理能力建设，全力推进“资源+市场”双引擎驱动，围绕高质量高品质5G网络打造，强化我县产业发展中的数据应用，赋能“一部手机”系列应用，加强数据中心、云计算平台和边缘计算数据应用，构建5G融合应用的新业态、新模式不断涌现，形成景区环境检测、人流预警、自助服务、安全应急、智慧停车、智慧酒店一批重点行业场景应用产业业态，推进新基建快速落地，全面支撑“数字西畴”建设。</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方正仿宋_GBK" w:cs="方正仿宋_GBK"/>
          <w:b w:val="0"/>
          <w:bCs w:val="0"/>
          <w:color w:val="auto"/>
          <w:kern w:val="2"/>
          <w:sz w:val="32"/>
          <w:szCs w:val="32"/>
          <w:highlight w:val="none"/>
          <w:lang w:val="en-US" w:eastAsia="zh-CN" w:bidi="ar-SA"/>
        </w:rPr>
      </w:pPr>
      <w:r>
        <w:rPr>
          <w:rFonts w:hint="eastAsia" w:ascii="宋体" w:hAnsi="宋体" w:eastAsia="方正仿宋_GBK" w:cs="方正仿宋_GBK"/>
          <w:b/>
          <w:bCs/>
          <w:color w:val="auto"/>
          <w:kern w:val="2"/>
          <w:sz w:val="32"/>
          <w:szCs w:val="32"/>
          <w:highlight w:val="none"/>
          <w:lang w:val="en-US" w:eastAsia="zh-CN" w:bidi="ar-SA"/>
        </w:rPr>
        <w:t>专栏6：</w:t>
      </w:r>
      <w:r>
        <w:rPr>
          <w:rFonts w:hint="eastAsia" w:ascii="宋体" w:hAnsi="宋体" w:eastAsia="方正仿宋_GBK" w:cs="方正仿宋_GBK"/>
          <w:b w:val="0"/>
          <w:bCs w:val="0"/>
          <w:color w:val="auto"/>
          <w:kern w:val="2"/>
          <w:sz w:val="32"/>
          <w:szCs w:val="32"/>
          <w:highlight w:val="none"/>
          <w:lang w:val="en-US" w:eastAsia="zh-CN" w:bidi="ar-SA"/>
        </w:rPr>
        <w:t>新基建基础设施工程</w:t>
      </w:r>
    </w:p>
    <w:tbl>
      <w:tblPr>
        <w:tblStyle w:val="2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88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信息基础工程：</w:t>
            </w:r>
            <w:r>
              <w:rPr>
                <w:rFonts w:hint="eastAsia" w:ascii="宋体" w:hAnsi="宋体" w:eastAsia="宋体" w:cs="宋体"/>
                <w:b w:val="0"/>
                <w:bCs/>
                <w:i w:val="0"/>
                <w:color w:val="auto"/>
                <w:kern w:val="0"/>
                <w:sz w:val="22"/>
                <w:szCs w:val="22"/>
                <w:highlight w:val="none"/>
                <w:u w:val="none"/>
                <w:lang w:val="en-US" w:eastAsia="zh-CN" w:bidi="ar"/>
              </w:rPr>
              <w:t>建</w:t>
            </w:r>
            <w:r>
              <w:rPr>
                <w:rFonts w:hint="eastAsia" w:ascii="宋体" w:hAnsi="宋体" w:eastAsia="宋体" w:cs="宋体"/>
                <w:i w:val="0"/>
                <w:color w:val="auto"/>
                <w:kern w:val="0"/>
                <w:sz w:val="22"/>
                <w:szCs w:val="22"/>
                <w:highlight w:val="none"/>
                <w:u w:val="none"/>
                <w:lang w:val="en-US" w:eastAsia="zh-CN" w:bidi="ar"/>
              </w:rPr>
              <w:t>移动基站30座，城乡千兆宽带全覆盖，5G基站580个。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8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信息运用工程</w:t>
            </w:r>
            <w:r>
              <w:rPr>
                <w:rFonts w:hint="eastAsia" w:ascii="宋体" w:hAnsi="宋体" w:eastAsia="宋体" w:cs="宋体"/>
                <w:i w:val="0"/>
                <w:color w:val="auto"/>
                <w:kern w:val="0"/>
                <w:sz w:val="22"/>
                <w:szCs w:val="22"/>
                <w:highlight w:val="none"/>
                <w:u w:val="none"/>
                <w:lang w:val="en-US" w:eastAsia="zh-CN" w:bidi="ar"/>
              </w:rPr>
              <w:t>：建农村雪亮工程、大数据智能平台、“互联网+政务服务”、大数据信息中心、智慧物流、数字西畴、“互联网+运用”等。</w:t>
            </w:r>
          </w:p>
        </w:tc>
      </w:tr>
    </w:tbl>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方正楷体_GBK" w:cs="方正楷体_GBK"/>
          <w:b w:val="0"/>
          <w:color w:val="auto"/>
          <w:kern w:val="2"/>
          <w:sz w:val="32"/>
          <w:szCs w:val="32"/>
          <w:highlight w:val="none"/>
          <w:lang w:val="en-US" w:eastAsia="zh-CN" w:bidi="ar-SA"/>
        </w:rPr>
      </w:pPr>
      <w:bookmarkStart w:id="145" w:name="_Toc6405_WPSOffice_Level3"/>
      <w:bookmarkStart w:id="146" w:name="_Toc5111_WPSOffice_Level3"/>
      <w:bookmarkStart w:id="147" w:name="_Toc25512"/>
      <w:bookmarkStart w:id="148" w:name="_Toc8477_WPSOffice_Level3"/>
      <w:bookmarkStart w:id="149" w:name="_Toc31559"/>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方正楷体_GBK" w:cs="方正楷体_GBK"/>
          <w:b w:val="0"/>
          <w:color w:val="auto"/>
          <w:kern w:val="2"/>
          <w:sz w:val="32"/>
          <w:szCs w:val="32"/>
          <w:highlight w:val="none"/>
          <w:lang w:val="en-US" w:eastAsia="zh-CN" w:bidi="ar-SA"/>
        </w:rPr>
      </w:pPr>
      <w:r>
        <w:rPr>
          <w:rFonts w:hint="eastAsia" w:ascii="宋体" w:hAnsi="宋体" w:eastAsia="方正楷体_GBK" w:cs="方正楷体_GBK"/>
          <w:b w:val="0"/>
          <w:color w:val="auto"/>
          <w:kern w:val="2"/>
          <w:sz w:val="32"/>
          <w:szCs w:val="32"/>
          <w:highlight w:val="none"/>
          <w:lang w:val="en-US" w:eastAsia="zh-CN" w:bidi="ar-SA"/>
        </w:rPr>
        <w:t>第四节　健全综合能源网</w:t>
      </w:r>
      <w:bookmarkEnd w:id="145"/>
      <w:bookmarkEnd w:id="146"/>
      <w:bookmarkEnd w:id="147"/>
      <w:bookmarkEnd w:id="148"/>
      <w:bookmarkEnd w:id="149"/>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1"/>
        <w:jc w:val="both"/>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抓好电力供应网络建设，根据经济发展布局和社会发展需要，合理对区域变电站进行升级改造或增设，切实做好电力向产业基地（园区）、产品加工区、旅游景区的延伸，构建结构合理、安全运转、立体配置的能源综合保障网络，满足产业发展用电需求。加快我县的新能源开发和新能源技术应用，加大抽水蓄能电站、太阳能光伏发电、垃圾发电、液化气、天然气、充电桩等建设，推进清洁能源在我县的利用。</w:t>
      </w:r>
    </w:p>
    <w:tbl>
      <w:tblPr>
        <w:tblStyle w:val="20"/>
        <w:tblW w:w="8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82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方正仿宋_GBK" w:cs="方正仿宋_GBK"/>
                <w:b/>
                <w:bCs/>
                <w:color w:val="auto"/>
                <w:kern w:val="2"/>
                <w:sz w:val="32"/>
                <w:szCs w:val="32"/>
                <w:highlight w:val="none"/>
                <w:lang w:val="en-US" w:eastAsia="zh-CN" w:bidi="ar-SA"/>
              </w:rPr>
              <w:t>专栏7：</w:t>
            </w:r>
            <w:r>
              <w:rPr>
                <w:rFonts w:hint="eastAsia" w:ascii="宋体" w:hAnsi="宋体" w:eastAsia="方正仿宋_GBK" w:cs="方正仿宋_GBK"/>
                <w:b w:val="0"/>
                <w:bCs w:val="0"/>
                <w:color w:val="auto"/>
                <w:kern w:val="2"/>
                <w:sz w:val="32"/>
                <w:szCs w:val="32"/>
                <w:highlight w:val="none"/>
                <w:lang w:val="en-US" w:eastAsia="zh-CN" w:bidi="ar-SA"/>
              </w:rPr>
              <w:t>能源建设工程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8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新能源工程：</w:t>
            </w:r>
            <w:r>
              <w:rPr>
                <w:rFonts w:hint="eastAsia" w:ascii="宋体" w:hAnsi="宋体" w:eastAsia="宋体" w:cs="宋体"/>
                <w:i w:val="0"/>
                <w:color w:val="auto"/>
                <w:kern w:val="0"/>
                <w:sz w:val="22"/>
                <w:szCs w:val="22"/>
                <w:highlight w:val="none"/>
                <w:u w:val="none"/>
                <w:lang w:val="en-US" w:eastAsia="zh-CN" w:bidi="ar"/>
              </w:rPr>
              <w:t>集中式和分布式太阳能光伏发电、天然气储气设施及管网建设、民用燃气管道及配套设施。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8829"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能源建设工程：</w:t>
            </w:r>
            <w:r>
              <w:rPr>
                <w:rFonts w:hint="eastAsia" w:ascii="宋体" w:hAnsi="宋体" w:eastAsia="宋体" w:cs="宋体"/>
                <w:i w:val="0"/>
                <w:color w:val="auto"/>
                <w:kern w:val="0"/>
                <w:sz w:val="22"/>
                <w:szCs w:val="22"/>
                <w:highlight w:val="none"/>
                <w:u w:val="none"/>
                <w:lang w:val="en-US" w:eastAsia="zh-CN" w:bidi="ar"/>
              </w:rPr>
              <w:t>兴街电缆电网入地、9乡镇变电站增容、电动汽车充电基础设施、公共充电桩200个、兴街垃圾焚烧发电、鸡街抽水蓄能电站。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88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b/>
                <w:bCs/>
                <w:i w:val="0"/>
                <w:color w:val="auto"/>
                <w:kern w:val="0"/>
                <w:sz w:val="22"/>
                <w:szCs w:val="22"/>
                <w:highlight w:val="none"/>
                <w:u w:val="none"/>
                <w:lang w:val="en-US" w:eastAsia="zh-CN" w:bidi="ar"/>
              </w:rPr>
              <w:t>加油站：</w:t>
            </w:r>
            <w:r>
              <w:rPr>
                <w:rFonts w:hint="eastAsia" w:ascii="宋体" w:hAnsi="宋体" w:eastAsia="宋体" w:cs="宋体"/>
                <w:i w:val="0"/>
                <w:color w:val="auto"/>
                <w:kern w:val="0"/>
                <w:sz w:val="22"/>
                <w:szCs w:val="22"/>
                <w:highlight w:val="none"/>
                <w:u w:val="none"/>
                <w:lang w:val="en-US" w:eastAsia="zh-CN" w:bidi="ar"/>
              </w:rPr>
              <w:t>新建5个乡镇加油站。</w:t>
            </w:r>
          </w:p>
        </w:tc>
      </w:tr>
    </w:tbl>
    <w:p>
      <w:pPr>
        <w:rPr>
          <w:rFonts w:hint="eastAsia" w:ascii="宋体" w:hAnsi="宋体" w:eastAsia="方正仿宋_GBK" w:cs="方正小标宋_GBK"/>
          <w:b w:val="0"/>
          <w:bCs/>
          <w:color w:val="auto"/>
          <w:kern w:val="2"/>
          <w:sz w:val="32"/>
          <w:szCs w:val="32"/>
          <w:highlight w:val="none"/>
          <w:lang w:val="en-US" w:eastAsia="zh-CN" w:bidi="ar-SA"/>
        </w:rPr>
      </w:pPr>
      <w:bookmarkStart w:id="150" w:name="_Toc18515"/>
      <w:bookmarkStart w:id="151" w:name="_Toc20842_WPSOffice_Level1"/>
      <w:bookmarkStart w:id="152" w:name="_Toc5172_WPSOffice_Level1"/>
      <w:bookmarkStart w:id="153" w:name="_Toc17040_WPSOffice_Level1"/>
      <w:bookmarkStart w:id="154" w:name="_Toc23687"/>
      <w:bookmarkStart w:id="155" w:name="_Toc19000_WPSOffice_Level1"/>
      <w:bookmarkStart w:id="156" w:name="_Toc24977_WPSOffice_Level2"/>
      <w:bookmarkStart w:id="157" w:name="_Toc13227_WPSOffice_Level1"/>
      <w:r>
        <w:rPr>
          <w:rFonts w:hint="eastAsia" w:ascii="宋体" w:hAnsi="宋体" w:eastAsia="方正仿宋_GBK" w:cs="方正小标宋_GBK"/>
          <w:b w:val="0"/>
          <w:bCs/>
          <w:color w:val="auto"/>
          <w:kern w:val="2"/>
          <w:sz w:val="32"/>
          <w:szCs w:val="32"/>
          <w:highlight w:val="none"/>
          <w:lang w:val="en-US" w:eastAsia="zh-CN" w:bidi="ar-SA"/>
        </w:rPr>
        <w:br w:type="page"/>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第二章　推动产业转型升级 加快构建现代产业体系</w:t>
      </w:r>
      <w:bookmarkEnd w:id="150"/>
      <w:bookmarkEnd w:id="151"/>
      <w:bookmarkEnd w:id="152"/>
      <w:bookmarkEnd w:id="153"/>
      <w:bookmarkEnd w:id="154"/>
      <w:bookmarkEnd w:id="155"/>
      <w:bookmarkEnd w:id="156"/>
      <w:bookmarkEnd w:id="157"/>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宋体" w:hAnsi="宋体" w:eastAsia="方正仿宋_GBK" w:cstheme="minorBidi"/>
          <w:b w:val="0"/>
          <w:color w:val="auto"/>
          <w:kern w:val="2"/>
          <w:sz w:val="32"/>
          <w:szCs w:val="32"/>
          <w:highlight w:val="none"/>
          <w:lang w:val="en-US" w:eastAsia="zh-CN" w:bidi="ar-SA"/>
        </w:rPr>
      </w:pP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default"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立足于主体功能区建设，深入落实国家产业发展支持政策和省“5个万亿、8个千亿”和州“四大产业”扶持政策。以供给侧结构性改革为重点，着力产业发展基础设施和服务设施建设，采取龙头企业+基地、合资、合作、股份等模式，借助“互联网＋”应用，依靠科技进步，实施质量强县战略和经济增长倍增行动，持续推进产业建设重大工程，打一场石漠化地区“产业发展持久战”和“年度产业培育攻坚战”，促进产业节约集成，做强做大产业基础，促进产业链条延伸，提高全员劳动生产率，促进产业区域重点产业体系形成。加强产业发展制度建设，强化产业发展投入，推动产业发展设施变革、质量变革、效率变革、动力变革，打好产业发展持久战和年度产业发展攻坚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58" w:name="_Toc8256"/>
      <w:bookmarkStart w:id="159" w:name="_Toc28371_WPSOffice_Level2"/>
      <w:bookmarkStart w:id="160" w:name="_Toc31056"/>
      <w:bookmarkStart w:id="161" w:name="_Toc2001_WPSOffice_Level2"/>
      <w:bookmarkStart w:id="162" w:name="_Toc30219_WPSOffice_Level3"/>
      <w:r>
        <w:rPr>
          <w:rFonts w:hint="eastAsia" w:ascii="宋体" w:hAnsi="宋体" w:eastAsia="方正楷体_GBK" w:cs="方正楷体_GBK"/>
          <w:b w:val="0"/>
          <w:bCs w:val="0"/>
          <w:color w:val="auto"/>
          <w:sz w:val="32"/>
          <w:szCs w:val="30"/>
          <w:highlight w:val="none"/>
          <w:lang w:val="en-US" w:eastAsia="zh-CN"/>
        </w:rPr>
        <w:t>第一节　优化产业发展布局</w:t>
      </w:r>
      <w:bookmarkEnd w:id="158"/>
      <w:bookmarkEnd w:id="159"/>
      <w:bookmarkEnd w:id="160"/>
      <w:bookmarkEnd w:id="161"/>
      <w:bookmarkEnd w:id="16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突出资源优化配置和资源高效利用“两个重点”，合理做好产业分区，促进区域产业有序向布局合理、合作协作紧密、特色鲜明、成本可控、要素聚集、活力增强的方向迈进，促进产业布局优化。在广大农村地区，抓好粮食生产安全的条件下，进一步调整和优化烤烟、甘蔗、水果、蔬菜、中药材等种植区域，对农业投入产出比在1:1.5以下的农产品品种进行优化，逐步替代低效作物，不断优化生猪、肉牛、家禽养殖区域，力争重点产业种植面积养殖数量达到一定规模，产量和质量进一步提高，推进高产优质高效农业发展。在县城周边、兴街周边及县城至兴街区间，规范铝土矿、金矿、非金属矿山开采，重点抓好绿色石材、农业产业研发与农产品加工、做好东部地区清洁产业、低能耗产业、优势产业承接，同时对资源配置好但效益低下企业进行技术稼接或企业稼接，发展资源节约型工业与建筑业。在县城和乡（镇）政府所在地，重点发展贸易、金融、公共服务、养老、托育、家政、健身、配送、中介、保洁、小区物业管理服务业。在香坪山、三光、岔河、汤谷、鸡街沿河地区，重点发展康养旅游业发展。高质量推动服务业在城乡间有效连接。2025年，区域产业布局更为合理，特征更为明显，分工更为明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63" w:name="_Toc345"/>
      <w:bookmarkStart w:id="164" w:name="_Toc23386_WPSOffice_Level2"/>
      <w:bookmarkStart w:id="165" w:name="_Toc24977_WPSOffice_Level3"/>
      <w:bookmarkStart w:id="166" w:name="_Toc19886"/>
      <w:bookmarkStart w:id="167" w:name="_Toc12934_WPSOffice_Level3"/>
      <w:r>
        <w:rPr>
          <w:rFonts w:hint="eastAsia" w:ascii="宋体" w:hAnsi="宋体" w:eastAsia="方正楷体_GBK" w:cs="方正楷体_GBK"/>
          <w:b w:val="0"/>
          <w:bCs w:val="0"/>
          <w:color w:val="auto"/>
          <w:sz w:val="32"/>
          <w:szCs w:val="30"/>
          <w:highlight w:val="none"/>
          <w:lang w:val="en-US" w:eastAsia="zh-CN"/>
        </w:rPr>
        <w:t>第二节  加快产业体系构建</w:t>
      </w:r>
      <w:bookmarkEnd w:id="163"/>
      <w:bookmarkEnd w:id="164"/>
      <w:bookmarkEnd w:id="165"/>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2" w:firstLine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实施产业引领主导、资源集约核心、产城融合先行和新兴产业谋划布局“四大战略”，着力构建以着实、融合、高效、协调为特色，</w:t>
      </w:r>
      <w:bookmarkStart w:id="168" w:name="_Hlk55121217"/>
      <w:r>
        <w:rPr>
          <w:rFonts w:hint="eastAsia" w:ascii="宋体" w:hAnsi="宋体" w:eastAsia="方正仿宋_GBK" w:cstheme="minorBidi"/>
          <w:b w:val="0"/>
          <w:color w:val="auto"/>
          <w:kern w:val="2"/>
          <w:sz w:val="32"/>
          <w:szCs w:val="32"/>
          <w:highlight w:val="none"/>
          <w:lang w:val="en-US" w:eastAsia="zh-CN" w:bidi="ar-SA"/>
        </w:rPr>
        <w:t>创新驱动发展为根本</w:t>
      </w:r>
      <w:bookmarkEnd w:id="168"/>
      <w:r>
        <w:rPr>
          <w:rFonts w:hint="eastAsia" w:ascii="宋体" w:hAnsi="宋体" w:eastAsia="方正仿宋_GBK" w:cstheme="minorBidi"/>
          <w:b w:val="0"/>
          <w:color w:val="auto"/>
          <w:kern w:val="2"/>
          <w:sz w:val="32"/>
          <w:szCs w:val="32"/>
          <w:highlight w:val="none"/>
          <w:lang w:val="en-US" w:eastAsia="zh-CN" w:bidi="ar-SA"/>
        </w:rPr>
        <w:t>动力的</w:t>
      </w:r>
      <w:bookmarkStart w:id="169" w:name="_Hlk51887375"/>
      <w:r>
        <w:rPr>
          <w:rFonts w:hint="eastAsia" w:ascii="宋体" w:hAnsi="宋体" w:eastAsia="方正仿宋_GBK" w:cstheme="minorBidi"/>
          <w:b w:val="0"/>
          <w:color w:val="auto"/>
          <w:kern w:val="2"/>
          <w:sz w:val="32"/>
          <w:szCs w:val="32"/>
          <w:highlight w:val="none"/>
          <w:lang w:val="en-US" w:eastAsia="zh-CN" w:bidi="ar-SA"/>
        </w:rPr>
        <w:t>“2+5+N”现代化产业体系</w:t>
      </w:r>
      <w:bookmarkEnd w:id="169"/>
      <w:r>
        <w:rPr>
          <w:rFonts w:hint="eastAsia" w:ascii="宋体" w:hAnsi="宋体" w:eastAsia="方正仿宋_GBK" w:cstheme="minorBidi"/>
          <w:b w:val="0"/>
          <w:color w:val="auto"/>
          <w:kern w:val="2"/>
          <w:sz w:val="32"/>
          <w:szCs w:val="32"/>
          <w:highlight w:val="none"/>
          <w:lang w:val="en-US" w:eastAsia="zh-CN" w:bidi="ar-SA"/>
        </w:rPr>
        <w:t>，推动产业由低端向中高端迈进、工业化进程由初中期向中后期迈进、经济发展由中高速增长向高质量跨越式发展迈进。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bCs/>
          <w:color w:val="auto"/>
          <w:kern w:val="2"/>
          <w:sz w:val="32"/>
          <w:szCs w:val="32"/>
          <w:highlight w:val="none"/>
          <w:lang w:val="en-US" w:eastAsia="zh-CN" w:bidi="ar-SA"/>
        </w:rPr>
        <w:t>构建以特色种养业为重点的农产业体系。</w:t>
      </w:r>
      <w:r>
        <w:rPr>
          <w:rFonts w:hint="eastAsia" w:ascii="宋体" w:hAnsi="宋体" w:eastAsia="方正仿宋_GBK" w:cstheme="minorBidi"/>
          <w:b w:val="0"/>
          <w:color w:val="auto"/>
          <w:kern w:val="2"/>
          <w:sz w:val="32"/>
          <w:szCs w:val="32"/>
          <w:highlight w:val="none"/>
          <w:lang w:val="en-US" w:eastAsia="zh-CN" w:bidi="ar-SA"/>
        </w:rPr>
        <w:t>牢牢把住粮食安全生产主动权，毫不放松抓好粮食生产“米袋子”工程。以广大人民群众为基础，以专业合作社为重点，以龙头企业为支撑，以乡村振兴产业构建为突破，推进肉牛、家禽在“一村一品”作用发挥，逐步形成“群众+合作社+龙头企业”“散养+小区+标准化育肥”“互联网+生产技术指导+市场信息发布+支持政策”“集中检疫+定点屠宰+加工+物流+市场”“废弃物+技术=资源”等模式，抓好“三品一标”认证，构建以乌骨鸡、中药材、蔬菜为重点的高原特色产品产业链体系。</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bCs/>
          <w:color w:val="auto"/>
          <w:kern w:val="2"/>
          <w:sz w:val="32"/>
          <w:szCs w:val="32"/>
          <w:highlight w:val="none"/>
          <w:lang w:val="en-US" w:eastAsia="zh-CN" w:bidi="ar-SA"/>
        </w:rPr>
        <w:t>构建以旅游贸易为重点的服务业体系。</w:t>
      </w:r>
      <w:r>
        <w:rPr>
          <w:rFonts w:hint="eastAsia" w:ascii="宋体" w:hAnsi="宋体" w:eastAsia="方正仿宋_GBK" w:cstheme="minorBidi"/>
          <w:b w:val="0"/>
          <w:color w:val="auto"/>
          <w:kern w:val="2"/>
          <w:sz w:val="32"/>
          <w:szCs w:val="32"/>
          <w:highlight w:val="none"/>
          <w:lang w:val="en-US" w:eastAsia="zh-CN" w:bidi="ar-SA"/>
        </w:rPr>
        <w:t>围绕东南亚农产品流通加工和我国东中部资源市场需求，着力抓好贸易企业培育和大型贸易集团引进，扶持壮大一批外贸企业，扩大内外贸易，促进“贸易强县”战略尽快形成；重点发展现代物流（包括跨境物流）、商贸物流、旅游、信息及智慧服务（也称服务型制造）等生产性服务业。在香坪山、三光、岔河、汤谷、鸡街沿河地区，抓好旅游企业引进与培育，发展壮大康养旅游业，促进旅游贸易服务业体系形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bCs/>
          <w:color w:val="auto"/>
          <w:kern w:val="2"/>
          <w:sz w:val="32"/>
          <w:szCs w:val="32"/>
          <w:highlight w:val="none"/>
          <w:lang w:val="en-US" w:eastAsia="zh-CN" w:bidi="ar-SA"/>
        </w:rPr>
        <w:t>构建以小商品生产加工为主的工业体系。</w:t>
      </w:r>
      <w:r>
        <w:rPr>
          <w:rFonts w:hint="eastAsia" w:ascii="宋体" w:hAnsi="宋体" w:eastAsia="方正仿宋_GBK" w:cstheme="minorBidi"/>
          <w:b w:val="0"/>
          <w:color w:val="auto"/>
          <w:kern w:val="2"/>
          <w:sz w:val="32"/>
          <w:szCs w:val="32"/>
          <w:highlight w:val="none"/>
          <w:lang w:val="en-US" w:eastAsia="zh-CN" w:bidi="ar-SA"/>
        </w:rPr>
        <w:t>以《西畴县产业准入负面清单（试行）》为指导，以市场为依托，做好产业承接，抓好企业引进，重点发展以绿色农产品精深加工、新型建材产业（重点突出新建筑工厂化生产）、包装产业和对外贸易加工产业为骨干的制造业，并延伸产业链条，拉动一批新兴产业发展，提升价值链。发展以劳动密集型为重点的小商品生产工业，构建符合主体功能区发展的具有西畴特色小商品加工生产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2025年，基本形成以高原特色农产品生产与加工、智慧物流</w:t>
      </w:r>
      <w:bookmarkStart w:id="170" w:name="_Hlk50889315"/>
      <w:r>
        <w:rPr>
          <w:rFonts w:hint="eastAsia" w:ascii="宋体" w:hAnsi="宋体" w:eastAsia="方正仿宋_GBK" w:cstheme="minorBidi"/>
          <w:b w:val="0"/>
          <w:color w:val="auto"/>
          <w:kern w:val="2"/>
          <w:sz w:val="32"/>
          <w:szCs w:val="32"/>
          <w:highlight w:val="none"/>
          <w:lang w:val="en-US" w:eastAsia="zh-CN" w:bidi="ar-SA"/>
        </w:rPr>
        <w:t>，以及新型建材产业、包装产业、数字产业、旅游业和外贸加工产业等为支撑</w:t>
      </w:r>
      <w:bookmarkEnd w:id="170"/>
      <w:r>
        <w:rPr>
          <w:rFonts w:hint="eastAsia" w:ascii="宋体" w:hAnsi="宋体" w:eastAsia="方正仿宋_GBK" w:cstheme="minorBidi"/>
          <w:b w:val="0"/>
          <w:color w:val="auto"/>
          <w:kern w:val="2"/>
          <w:sz w:val="32"/>
          <w:szCs w:val="32"/>
          <w:highlight w:val="none"/>
          <w:lang w:val="en-US" w:eastAsia="zh-CN" w:bidi="ar-SA"/>
        </w:rPr>
        <w:t>的“2+5+N”优势产业集群，“创新引领、要素协同、链条完整、竞争有力”特征明显，产业集中度明显提高，产业集聚力明显增强，支柱产业增加值</w:t>
      </w:r>
      <w:bookmarkStart w:id="171" w:name="_Hlk50286520"/>
      <w:r>
        <w:rPr>
          <w:rFonts w:hint="eastAsia" w:ascii="宋体" w:hAnsi="宋体" w:eastAsia="方正仿宋_GBK" w:cstheme="minorBidi"/>
          <w:b w:val="0"/>
          <w:color w:val="auto"/>
          <w:kern w:val="2"/>
          <w:sz w:val="32"/>
          <w:szCs w:val="32"/>
          <w:highlight w:val="none"/>
          <w:lang w:val="en-US" w:eastAsia="zh-CN" w:bidi="ar-SA"/>
        </w:rPr>
        <w:t>对GDP贡献率</w:t>
      </w:r>
      <w:bookmarkEnd w:id="171"/>
      <w:r>
        <w:rPr>
          <w:rFonts w:hint="eastAsia" w:ascii="宋体" w:hAnsi="宋体" w:eastAsia="方正仿宋_GBK" w:cstheme="minorBidi"/>
          <w:b w:val="0"/>
          <w:color w:val="auto"/>
          <w:kern w:val="2"/>
          <w:sz w:val="32"/>
          <w:szCs w:val="32"/>
          <w:highlight w:val="none"/>
          <w:lang w:val="en-US" w:eastAsia="zh-CN" w:bidi="ar-SA"/>
        </w:rPr>
        <w:t>达40%以上，优势产业</w:t>
      </w:r>
      <w:bookmarkStart w:id="172" w:name="_Hlk55945322"/>
      <w:r>
        <w:rPr>
          <w:rFonts w:hint="eastAsia" w:ascii="宋体" w:hAnsi="宋体" w:eastAsia="方正仿宋_GBK" w:cstheme="minorBidi"/>
          <w:b w:val="0"/>
          <w:color w:val="auto"/>
          <w:kern w:val="2"/>
          <w:sz w:val="32"/>
          <w:szCs w:val="32"/>
          <w:highlight w:val="none"/>
          <w:lang w:val="en-US" w:eastAsia="zh-CN" w:bidi="ar-SA"/>
        </w:rPr>
        <w:t>增加值对GDP贡献率达</w:t>
      </w:r>
      <w:bookmarkEnd w:id="172"/>
      <w:r>
        <w:rPr>
          <w:rFonts w:hint="eastAsia" w:ascii="宋体" w:hAnsi="宋体" w:eastAsia="方正仿宋_GBK" w:cstheme="minorBidi"/>
          <w:b w:val="0"/>
          <w:color w:val="auto"/>
          <w:kern w:val="2"/>
          <w:sz w:val="32"/>
          <w:szCs w:val="32"/>
          <w:highlight w:val="none"/>
          <w:lang w:val="en-US" w:eastAsia="zh-CN" w:bidi="ar-SA"/>
        </w:rPr>
        <w:t>25%以上，其他产业增加值对GDP贡献率达35%以上，财政税收比重大幅提高。2035年，三大产业体系全面形成，成为县域经济主要支柱，对GDP贡献率达70%以上。</w:t>
      </w:r>
      <w:bookmarkStart w:id="173" w:name="_Toc24325_WPSOffice_Level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74" w:name="_Toc12184_WPSOffice_Level3"/>
      <w:bookmarkStart w:id="175" w:name="_Toc28975"/>
      <w:r>
        <w:rPr>
          <w:rFonts w:hint="eastAsia" w:ascii="宋体" w:hAnsi="宋体" w:eastAsia="方正楷体_GBK" w:cs="方正楷体_GBK"/>
          <w:b w:val="0"/>
          <w:bCs w:val="0"/>
          <w:color w:val="auto"/>
          <w:sz w:val="32"/>
          <w:szCs w:val="30"/>
          <w:highlight w:val="none"/>
          <w:lang w:val="en-US" w:eastAsia="zh-CN"/>
        </w:rPr>
        <w:t xml:space="preserve">第三节  </w:t>
      </w:r>
      <w:bookmarkEnd w:id="173"/>
      <w:r>
        <w:rPr>
          <w:rFonts w:hint="eastAsia" w:ascii="宋体" w:hAnsi="宋体" w:eastAsia="方正楷体_GBK" w:cs="方正楷体_GBK"/>
          <w:b w:val="0"/>
          <w:bCs w:val="0"/>
          <w:color w:val="auto"/>
          <w:sz w:val="32"/>
          <w:szCs w:val="30"/>
          <w:highlight w:val="none"/>
          <w:lang w:val="en-US" w:eastAsia="zh-CN"/>
        </w:rPr>
        <w:t>做优做特现代农业</w:t>
      </w:r>
      <w:bookmarkEnd w:id="166"/>
      <w:bookmarkEnd w:id="167"/>
      <w:bookmarkEnd w:id="174"/>
      <w:bookmarkEnd w:id="17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围绕“农业供给保障有力、资源利用高效、农产品产地环境良好、生态系统稳定、农民生活富裕、田园风光优美的农业可持续发展新格局基本形成”这一总体要求。坚持“产能为本、保育优先、创新驱动、依法治理、惠及民生、保障安全”的指导方针，全力补上全面小康“三农”领域突出短板，加快发展资源节约型、环境友好型和生态保育型农业，实施产业兴旺科技支撑行动和开展智慧下乡助农活动，抓实农业发展方式转变、“一村一品”培育、质量效益提高，确保粮食安全、农产品质量安全、生态安全、乡村产业兴旺和农民持续增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bCs/>
          <w:color w:val="auto"/>
          <w:sz w:val="32"/>
          <w:szCs w:val="32"/>
          <w:highlight w:val="none"/>
          <w:lang w:eastAsia="zh-CN"/>
        </w:rPr>
        <w:t>坚持“四个优先”。</w:t>
      </w:r>
      <w:r>
        <w:rPr>
          <w:rFonts w:hint="eastAsia" w:ascii="宋体" w:hAnsi="宋体" w:eastAsia="方正仿宋_GBK" w:cstheme="minorBidi"/>
          <w:b w:val="0"/>
          <w:color w:val="auto"/>
          <w:kern w:val="2"/>
          <w:sz w:val="32"/>
          <w:szCs w:val="32"/>
          <w:highlight w:val="none"/>
          <w:lang w:val="en-US" w:eastAsia="zh-CN" w:bidi="ar-SA"/>
        </w:rPr>
        <w:t>优先将优秀干部充实到“三农”战线，注重选拔熟悉“三农”工作的干部充实地方各级党政班子，把精锐力量充实到基层一线。优先破除妨碍城乡要素自由流动、平等交换的体制机制壁垒，改变农村要素单向流出格局，推动资源要素向农村流动。优先财政保障，公共财政更大力度向“三农”倾斜，有效支持农村人居环境整治、村庄基础设施建设等重点领域。优先推进城乡基本公共服务标准统一、建立健全并轨制度，实现从形式上的普惠向实质上的公平转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bCs/>
          <w:color w:val="auto"/>
          <w:kern w:val="2"/>
          <w:sz w:val="32"/>
          <w:szCs w:val="32"/>
          <w:highlight w:val="none"/>
          <w:lang w:val="en-US" w:eastAsia="zh-CN" w:bidi="ar-SA"/>
        </w:rPr>
        <w:t>加强农业基础设施建设。</w:t>
      </w:r>
      <w:r>
        <w:rPr>
          <w:rFonts w:hint="eastAsia" w:ascii="宋体" w:hAnsi="宋体" w:eastAsia="方正仿宋_GBK" w:cstheme="minorBidi"/>
          <w:b w:val="0"/>
          <w:color w:val="auto"/>
          <w:kern w:val="2"/>
          <w:sz w:val="32"/>
          <w:szCs w:val="32"/>
          <w:highlight w:val="none"/>
          <w:lang w:val="en-US" w:eastAsia="zh-CN" w:bidi="ar-SA"/>
        </w:rPr>
        <w:t>全面落实十九大提出的土地承包经营权政策，实行永久基本农田特殊保护制度，</w:t>
      </w:r>
      <w:r>
        <w:rPr>
          <w:rFonts w:hint="default" w:ascii="宋体" w:hAnsi="宋体" w:eastAsia="方正仿宋_GBK" w:cstheme="minorBidi"/>
          <w:b w:val="0"/>
          <w:color w:val="auto"/>
          <w:kern w:val="2"/>
          <w:sz w:val="32"/>
          <w:szCs w:val="32"/>
          <w:highlight w:val="none"/>
          <w:lang w:val="en-US" w:eastAsia="zh-CN" w:bidi="ar-SA"/>
        </w:rPr>
        <w:t>按照“点线片相连”思路，</w:t>
      </w:r>
      <w:r>
        <w:rPr>
          <w:rFonts w:hint="eastAsia" w:ascii="宋体" w:hAnsi="宋体" w:eastAsia="方正仿宋_GBK" w:cstheme="minorBidi"/>
          <w:b w:val="0"/>
          <w:color w:val="auto"/>
          <w:kern w:val="2"/>
          <w:sz w:val="32"/>
          <w:szCs w:val="32"/>
          <w:highlight w:val="none"/>
          <w:lang w:val="en-US" w:eastAsia="zh-CN" w:bidi="ar-SA"/>
        </w:rPr>
        <w:t>切实增加</w:t>
      </w:r>
      <w:r>
        <w:rPr>
          <w:rFonts w:hint="default" w:ascii="宋体" w:hAnsi="宋体" w:eastAsia="方正仿宋_GBK" w:cstheme="minorBidi"/>
          <w:b w:val="0"/>
          <w:color w:val="auto"/>
          <w:kern w:val="2"/>
          <w:sz w:val="32"/>
          <w:szCs w:val="32"/>
          <w:highlight w:val="none"/>
          <w:lang w:val="en-US" w:eastAsia="zh-CN" w:bidi="ar-SA"/>
        </w:rPr>
        <w:t>中小型水库和水浇池</w:t>
      </w:r>
      <w:r>
        <w:rPr>
          <w:rFonts w:hint="eastAsia" w:ascii="宋体" w:hAnsi="宋体" w:eastAsia="方正仿宋_GBK" w:cstheme="minorBidi"/>
          <w:b w:val="0"/>
          <w:color w:val="auto"/>
          <w:kern w:val="2"/>
          <w:sz w:val="32"/>
          <w:szCs w:val="32"/>
          <w:highlight w:val="none"/>
          <w:lang w:val="en-US" w:eastAsia="zh-CN" w:bidi="ar-SA"/>
        </w:rPr>
        <w:t>、排灌沟渠、土地整治、中低产田地改造、土壤改良、高标准农田、五小水利、田间道路等农业基础设施建设投入</w:t>
      </w:r>
      <w:r>
        <w:rPr>
          <w:rFonts w:hint="default" w:ascii="宋体" w:hAnsi="宋体" w:eastAsia="方正仿宋_GBK" w:cstheme="minorBidi"/>
          <w:b w:val="0"/>
          <w:color w:val="auto"/>
          <w:kern w:val="2"/>
          <w:sz w:val="32"/>
          <w:szCs w:val="32"/>
          <w:highlight w:val="none"/>
          <w:lang w:val="en-US" w:eastAsia="zh-CN" w:bidi="ar-SA"/>
        </w:rPr>
        <w:t>，积极加大品牌地力和绿色地力建设</w:t>
      </w:r>
      <w:r>
        <w:rPr>
          <w:rFonts w:hint="eastAsia" w:ascii="宋体" w:hAnsi="宋体" w:eastAsia="方正仿宋_GBK" w:cstheme="minorBidi"/>
          <w:b w:val="0"/>
          <w:color w:val="auto"/>
          <w:kern w:val="2"/>
          <w:sz w:val="32"/>
          <w:szCs w:val="32"/>
          <w:highlight w:val="none"/>
          <w:lang w:val="en-US" w:eastAsia="zh-CN" w:bidi="ar-SA"/>
        </w:rPr>
        <w:t>，</w:t>
      </w:r>
      <w:r>
        <w:rPr>
          <w:rFonts w:hint="default" w:ascii="宋体" w:hAnsi="宋体" w:eastAsia="方正仿宋_GBK" w:cstheme="minorBidi"/>
          <w:b w:val="0"/>
          <w:color w:val="auto"/>
          <w:kern w:val="2"/>
          <w:sz w:val="32"/>
          <w:szCs w:val="32"/>
          <w:highlight w:val="none"/>
          <w:lang w:val="en-US" w:eastAsia="zh-CN" w:bidi="ar-SA"/>
        </w:rPr>
        <w:t>加强粮食、果蔬、畜禽等农产品流通交易市场及贮运配套设施建设。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bCs/>
          <w:color w:val="auto"/>
          <w:kern w:val="2"/>
          <w:sz w:val="32"/>
          <w:szCs w:val="32"/>
          <w:highlight w:val="none"/>
          <w:lang w:val="en-US" w:eastAsia="zh-CN" w:bidi="ar-SA"/>
        </w:rPr>
        <w:t xml:space="preserve">    提高农业发展装备水平。</w:t>
      </w:r>
      <w:r>
        <w:rPr>
          <w:rFonts w:hint="eastAsia" w:ascii="宋体" w:hAnsi="宋体" w:eastAsia="方正仿宋_GBK" w:cstheme="minorBidi"/>
          <w:b w:val="0"/>
          <w:color w:val="auto"/>
          <w:kern w:val="2"/>
          <w:sz w:val="32"/>
          <w:szCs w:val="32"/>
          <w:highlight w:val="none"/>
          <w:lang w:val="en-US" w:eastAsia="zh-CN" w:bidi="ar-SA"/>
        </w:rPr>
        <w:t>围绕提高农业现代化水平要求，集中精力打造一批设施配套、科技利用高效、产品市场充分、管理营销精良的现代种植园、标准化养殖场、种植小区、养殖小区等生产基地。</w:t>
      </w:r>
      <w:r>
        <w:rPr>
          <w:rFonts w:hint="default" w:ascii="宋体" w:hAnsi="宋体" w:eastAsia="方正仿宋_GBK" w:cstheme="minorBidi"/>
          <w:b w:val="0"/>
          <w:color w:val="auto"/>
          <w:kern w:val="2"/>
          <w:sz w:val="32"/>
          <w:szCs w:val="32"/>
          <w:highlight w:val="none"/>
          <w:lang w:val="en-US" w:eastAsia="zh-CN" w:bidi="ar-SA"/>
        </w:rPr>
        <w:t>努力扩大农机利用范围</w:t>
      </w:r>
      <w:r>
        <w:rPr>
          <w:rFonts w:hint="eastAsia" w:ascii="宋体" w:hAnsi="宋体" w:eastAsia="方正仿宋_GBK" w:cstheme="minorBidi"/>
          <w:b w:val="0"/>
          <w:color w:val="auto"/>
          <w:kern w:val="2"/>
          <w:sz w:val="32"/>
          <w:szCs w:val="32"/>
          <w:highlight w:val="none"/>
          <w:lang w:val="en-US" w:eastAsia="zh-CN" w:bidi="ar-SA"/>
        </w:rPr>
        <w:t>，</w:t>
      </w:r>
      <w:r>
        <w:rPr>
          <w:rFonts w:hint="default" w:ascii="宋体" w:hAnsi="宋体" w:eastAsia="方正仿宋_GBK" w:cstheme="minorBidi"/>
          <w:b w:val="0"/>
          <w:color w:val="auto"/>
          <w:kern w:val="2"/>
          <w:sz w:val="32"/>
          <w:szCs w:val="32"/>
          <w:highlight w:val="none"/>
          <w:lang w:val="en-US" w:eastAsia="zh-CN" w:bidi="ar-SA"/>
        </w:rPr>
        <w:t>积极发展农机维修和智能化应用等配套服务产业，推进农机服务组织化和社会化程度。支持农产品生产经营者加快农产品生产设施化和智能化建设，提高种植、畜禽、水产品生产设施化应用水平。</w:t>
      </w:r>
      <w:r>
        <w:rPr>
          <w:rFonts w:hint="eastAsia" w:ascii="宋体" w:hAnsi="宋体" w:eastAsia="方正仿宋_GBK" w:cstheme="minorBidi"/>
          <w:b w:val="0"/>
          <w:color w:val="auto"/>
          <w:kern w:val="2"/>
          <w:sz w:val="32"/>
          <w:szCs w:val="32"/>
          <w:highlight w:val="none"/>
          <w:lang w:val="en-US" w:eastAsia="zh-CN" w:bidi="ar-SA"/>
        </w:rPr>
        <w:t>按照绿色食品要求，出台种养业技术标准（规范），按标准化、自动化、智能化要求配套相关设施。推进现代种养业、种苗繁育业、种质资源业、种养服务新业态发展。</w:t>
      </w:r>
    </w:p>
    <w:p>
      <w:pPr>
        <w:keepNext w:val="0"/>
        <w:keepLines w:val="0"/>
        <w:pageBreakBefore w:val="0"/>
        <w:widowControl w:val="0"/>
        <w:kinsoku/>
        <w:wordWrap/>
        <w:overflowPunct/>
        <w:topLinePunct w:val="0"/>
        <w:autoSpaceDE/>
        <w:autoSpaceDN/>
        <w:bidi w:val="0"/>
        <w:adjustRightInd/>
        <w:snapToGrid/>
        <w:spacing w:line="560" w:lineRule="exact"/>
        <w:ind w:firstLine="620"/>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bCs/>
          <w:color w:val="auto"/>
          <w:kern w:val="2"/>
          <w:sz w:val="32"/>
          <w:szCs w:val="32"/>
          <w:highlight w:val="none"/>
          <w:lang w:val="en-US" w:eastAsia="zh-CN" w:bidi="ar-SA"/>
        </w:rPr>
        <w:t>做优做特重点产业。</w:t>
      </w:r>
      <w:r>
        <w:rPr>
          <w:rFonts w:hint="eastAsia" w:ascii="宋体" w:hAnsi="宋体" w:eastAsia="方正仿宋_GBK" w:cstheme="minorBidi"/>
          <w:b w:val="0"/>
          <w:color w:val="auto"/>
          <w:kern w:val="2"/>
          <w:sz w:val="32"/>
          <w:szCs w:val="32"/>
          <w:highlight w:val="none"/>
          <w:lang w:val="en-US" w:eastAsia="zh-CN" w:bidi="ar-SA"/>
        </w:rPr>
        <w:t>围绕粮食、乌骨鸡、中药材、肉牛、生猪、果蔬、甘蔗、烤烟、核桃等重点高原特色农业。</w:t>
      </w:r>
      <w:r>
        <w:rPr>
          <w:rFonts w:hint="default" w:ascii="宋体" w:hAnsi="宋体" w:eastAsia="方正仿宋_GBK" w:cstheme="minorBidi"/>
          <w:b w:val="0"/>
          <w:color w:val="auto"/>
          <w:kern w:val="2"/>
          <w:sz w:val="32"/>
          <w:szCs w:val="32"/>
          <w:highlight w:val="none"/>
          <w:lang w:val="en-US" w:eastAsia="zh-CN" w:bidi="ar-SA"/>
        </w:rPr>
        <w:t>坚持</w:t>
      </w:r>
      <w:r>
        <w:rPr>
          <w:rFonts w:hint="eastAsia" w:ascii="宋体" w:hAnsi="宋体" w:eastAsia="方正仿宋_GBK" w:cstheme="minorBidi"/>
          <w:b w:val="0"/>
          <w:color w:val="auto"/>
          <w:kern w:val="2"/>
          <w:sz w:val="32"/>
          <w:szCs w:val="32"/>
          <w:highlight w:val="none"/>
          <w:lang w:val="en-US" w:eastAsia="zh-CN" w:bidi="ar-SA"/>
        </w:rPr>
        <w:t>基地建设</w:t>
      </w:r>
      <w:r>
        <w:rPr>
          <w:rFonts w:hint="default" w:ascii="宋体" w:hAnsi="宋体" w:eastAsia="方正仿宋_GBK" w:cstheme="minorBidi"/>
          <w:b w:val="0"/>
          <w:color w:val="auto"/>
          <w:kern w:val="2"/>
          <w:sz w:val="32"/>
          <w:szCs w:val="32"/>
          <w:highlight w:val="none"/>
          <w:lang w:val="en-US" w:eastAsia="zh-CN" w:bidi="ar-SA"/>
        </w:rPr>
        <w:t>标准化、</w:t>
      </w:r>
      <w:r>
        <w:rPr>
          <w:rFonts w:hint="eastAsia" w:ascii="宋体" w:hAnsi="宋体" w:eastAsia="方正仿宋_GBK" w:cstheme="minorBidi"/>
          <w:b w:val="0"/>
          <w:color w:val="auto"/>
          <w:kern w:val="2"/>
          <w:sz w:val="32"/>
          <w:szCs w:val="32"/>
          <w:highlight w:val="none"/>
          <w:lang w:val="en-US" w:eastAsia="zh-CN" w:bidi="ar-SA"/>
        </w:rPr>
        <w:t>资源利用</w:t>
      </w:r>
      <w:r>
        <w:rPr>
          <w:rFonts w:hint="default" w:ascii="宋体" w:hAnsi="宋体" w:eastAsia="方正仿宋_GBK" w:cstheme="minorBidi"/>
          <w:b w:val="0"/>
          <w:color w:val="auto"/>
          <w:kern w:val="2"/>
          <w:sz w:val="32"/>
          <w:szCs w:val="32"/>
          <w:highlight w:val="none"/>
          <w:lang w:val="en-US" w:eastAsia="zh-CN" w:bidi="ar-SA"/>
        </w:rPr>
        <w:t>集约化、</w:t>
      </w:r>
      <w:r>
        <w:rPr>
          <w:rFonts w:hint="eastAsia" w:ascii="宋体" w:hAnsi="宋体" w:eastAsia="方正仿宋_GBK" w:cstheme="minorBidi"/>
          <w:b w:val="0"/>
          <w:color w:val="auto"/>
          <w:kern w:val="2"/>
          <w:sz w:val="32"/>
          <w:szCs w:val="32"/>
          <w:highlight w:val="none"/>
          <w:lang w:val="en-US" w:eastAsia="zh-CN" w:bidi="ar-SA"/>
        </w:rPr>
        <w:t>生产经营</w:t>
      </w:r>
      <w:r>
        <w:rPr>
          <w:rFonts w:hint="default" w:ascii="宋体" w:hAnsi="宋体" w:eastAsia="方正仿宋_GBK" w:cstheme="minorBidi"/>
          <w:b w:val="0"/>
          <w:color w:val="auto"/>
          <w:kern w:val="2"/>
          <w:sz w:val="32"/>
          <w:szCs w:val="32"/>
          <w:highlight w:val="none"/>
          <w:lang w:val="en-US" w:eastAsia="zh-CN" w:bidi="ar-SA"/>
        </w:rPr>
        <w:t>绿色化</w:t>
      </w:r>
      <w:r>
        <w:rPr>
          <w:rFonts w:hint="eastAsia" w:ascii="宋体" w:hAnsi="宋体" w:eastAsia="方正仿宋_GBK" w:cstheme="minorBidi"/>
          <w:b w:val="0"/>
          <w:color w:val="auto"/>
          <w:kern w:val="2"/>
          <w:sz w:val="32"/>
          <w:szCs w:val="32"/>
          <w:highlight w:val="none"/>
          <w:lang w:val="en-US" w:eastAsia="zh-CN" w:bidi="ar-SA"/>
        </w:rPr>
        <w:t>、产销对接</w:t>
      </w:r>
      <w:r>
        <w:rPr>
          <w:rFonts w:hint="default" w:ascii="宋体" w:hAnsi="宋体" w:eastAsia="方正仿宋_GBK" w:cstheme="minorBidi"/>
          <w:b w:val="0"/>
          <w:color w:val="auto"/>
          <w:kern w:val="2"/>
          <w:sz w:val="32"/>
          <w:szCs w:val="32"/>
          <w:highlight w:val="none"/>
          <w:lang w:val="en-US" w:eastAsia="zh-CN" w:bidi="ar-SA"/>
        </w:rPr>
        <w:t>无缝</w:t>
      </w:r>
      <w:r>
        <w:rPr>
          <w:rFonts w:hint="eastAsia" w:ascii="宋体" w:hAnsi="宋体" w:eastAsia="方正仿宋_GBK" w:cstheme="minorBidi"/>
          <w:b w:val="0"/>
          <w:color w:val="auto"/>
          <w:kern w:val="2"/>
          <w:sz w:val="32"/>
          <w:szCs w:val="32"/>
          <w:highlight w:val="none"/>
          <w:lang w:val="en-US" w:eastAsia="zh-CN" w:bidi="ar-SA"/>
        </w:rPr>
        <w:t>化</w:t>
      </w:r>
      <w:r>
        <w:rPr>
          <w:rFonts w:hint="default" w:ascii="宋体" w:hAnsi="宋体" w:eastAsia="方正仿宋_GBK" w:cstheme="minorBidi"/>
          <w:b w:val="0"/>
          <w:color w:val="auto"/>
          <w:kern w:val="2"/>
          <w:sz w:val="32"/>
          <w:szCs w:val="32"/>
          <w:highlight w:val="none"/>
          <w:lang w:val="en-US" w:eastAsia="zh-CN" w:bidi="ar-SA"/>
        </w:rPr>
        <w:t>，</w:t>
      </w:r>
      <w:r>
        <w:rPr>
          <w:rFonts w:hint="eastAsia" w:ascii="宋体" w:hAnsi="宋体" w:eastAsia="方正仿宋_GBK" w:cstheme="minorBidi"/>
          <w:b w:val="0"/>
          <w:color w:val="auto"/>
          <w:kern w:val="2"/>
          <w:sz w:val="32"/>
          <w:szCs w:val="32"/>
          <w:highlight w:val="none"/>
          <w:lang w:val="en-US" w:eastAsia="zh-CN" w:bidi="ar-SA"/>
        </w:rPr>
        <w:t>切实加大资金、技术、人力投入，</w:t>
      </w:r>
      <w:r>
        <w:rPr>
          <w:rFonts w:hint="default" w:ascii="宋体" w:hAnsi="宋体" w:eastAsia="方正仿宋_GBK" w:cstheme="minorBidi"/>
          <w:b w:val="0"/>
          <w:color w:val="auto"/>
          <w:kern w:val="2"/>
          <w:sz w:val="32"/>
          <w:szCs w:val="32"/>
          <w:highlight w:val="none"/>
          <w:lang w:val="en-US" w:eastAsia="zh-CN" w:bidi="ar-SA"/>
        </w:rPr>
        <w:t>持久打造</w:t>
      </w:r>
      <w:r>
        <w:rPr>
          <w:rFonts w:hint="eastAsia" w:ascii="宋体" w:hAnsi="宋体" w:eastAsia="方正仿宋_GBK" w:cstheme="minorBidi"/>
          <w:b w:val="0"/>
          <w:color w:val="auto"/>
          <w:kern w:val="2"/>
          <w:sz w:val="32"/>
          <w:szCs w:val="32"/>
          <w:highlight w:val="none"/>
          <w:lang w:val="en-US" w:eastAsia="zh-CN" w:bidi="ar-SA"/>
        </w:rPr>
        <w:t>各类</w:t>
      </w:r>
      <w:r>
        <w:rPr>
          <w:rFonts w:hint="default" w:ascii="宋体" w:hAnsi="宋体" w:eastAsia="方正仿宋_GBK" w:cstheme="minorBidi"/>
          <w:b w:val="0"/>
          <w:color w:val="auto"/>
          <w:kern w:val="2"/>
          <w:sz w:val="32"/>
          <w:szCs w:val="32"/>
          <w:highlight w:val="none"/>
          <w:lang w:val="en-US" w:eastAsia="zh-CN" w:bidi="ar-SA"/>
        </w:rPr>
        <w:t>产业园。</w:t>
      </w:r>
      <w:r>
        <w:rPr>
          <w:rFonts w:hint="eastAsia" w:ascii="宋体" w:hAnsi="宋体" w:eastAsia="方正仿宋_GBK" w:cstheme="minorBidi"/>
          <w:b w:val="0"/>
          <w:color w:val="auto"/>
          <w:kern w:val="2"/>
          <w:sz w:val="32"/>
          <w:szCs w:val="32"/>
          <w:highlight w:val="none"/>
          <w:lang w:val="en-US" w:eastAsia="zh-CN" w:bidi="ar-SA"/>
        </w:rPr>
        <w:t>确保家禽、中药材、蔬菜产业成为强农产业和绿色品牌产业。调整优化农业结构，加快发展设施农业、休闲农业、绿色农业和品牌农业。强化农业科技支撑，建立农业全产业链技术支撑体系，高标准建设智慧农业示范基地。探索绿色生态发展模式，完善农产品质量追溯体系，推进农业绿色生产、有机生产，实施种养结合循环农业示范工程，培育一批农特产品生产加工龙头企业，推出一批绿色食品、地理标志产品，强化标准控制和质量安全监管，推动农业农村现代化发展。</w:t>
      </w:r>
    </w:p>
    <w:p>
      <w:pPr>
        <w:keepNext w:val="0"/>
        <w:keepLines w:val="0"/>
        <w:pageBreakBefore w:val="0"/>
        <w:widowControl w:val="0"/>
        <w:kinsoku/>
        <w:wordWrap/>
        <w:overflowPunct/>
        <w:topLinePunct w:val="0"/>
        <w:autoSpaceDE/>
        <w:autoSpaceDN/>
        <w:bidi w:val="0"/>
        <w:adjustRightInd/>
        <w:snapToGrid/>
        <w:spacing w:line="560" w:lineRule="exact"/>
        <w:ind w:firstLine="664"/>
        <w:jc w:val="both"/>
        <w:textAlignment w:val="auto"/>
        <w:rPr>
          <w:rFonts w:hint="eastAsia" w:ascii="宋体" w:hAnsi="宋体" w:eastAsia="方正仿宋_GBK" w:cstheme="minorBidi"/>
          <w:b w:val="0"/>
          <w:color w:val="auto"/>
          <w:kern w:val="2"/>
          <w:sz w:val="32"/>
          <w:szCs w:val="32"/>
          <w:highlight w:val="none"/>
          <w:lang w:val="en-US" w:eastAsia="zh-CN" w:bidi="ar-SA"/>
        </w:rPr>
      </w:pPr>
      <w:bookmarkStart w:id="176" w:name="_Toc23030"/>
      <w:r>
        <w:rPr>
          <w:rFonts w:hint="default" w:ascii="宋体" w:hAnsi="宋体" w:eastAsia="方正仿宋_GBK" w:cs="方正仿宋_GBK"/>
          <w:b/>
          <w:bCs/>
          <w:color w:val="auto"/>
          <w:kern w:val="2"/>
          <w:sz w:val="32"/>
          <w:szCs w:val="32"/>
          <w:highlight w:val="none"/>
          <w:lang w:val="en-US" w:eastAsia="zh-CN" w:bidi="ar-SA"/>
        </w:rPr>
        <w:t>完善农业支持保护制度。</w:t>
      </w:r>
      <w:r>
        <w:rPr>
          <w:rFonts w:hint="eastAsia" w:ascii="宋体" w:hAnsi="宋体" w:eastAsia="方正仿宋_GBK" w:cstheme="minorBidi"/>
          <w:b w:val="0"/>
          <w:color w:val="auto"/>
          <w:kern w:val="2"/>
          <w:sz w:val="32"/>
          <w:szCs w:val="32"/>
          <w:highlight w:val="none"/>
          <w:lang w:val="en-US" w:eastAsia="zh-CN" w:bidi="ar-SA"/>
        </w:rPr>
        <w:t>建立健全和完善农业产业发展支持基金、农业生产风险防范基金、农产品市场风险防范基金，加快建立新型农业支持保护政策体系，支持农业全面发展。</w:t>
      </w:r>
      <w:r>
        <w:rPr>
          <w:rFonts w:hint="default" w:ascii="宋体" w:hAnsi="宋体" w:eastAsia="方正仿宋_GBK" w:cstheme="minorBidi"/>
          <w:b w:val="0"/>
          <w:color w:val="auto"/>
          <w:kern w:val="2"/>
          <w:sz w:val="32"/>
          <w:szCs w:val="32"/>
          <w:highlight w:val="none"/>
          <w:lang w:val="en-US" w:eastAsia="zh-CN" w:bidi="ar-SA"/>
        </w:rPr>
        <w:t>落实和完善对农民直接补贴和农机购置补贴制度，提高补贴效能。积极构建多方参与的以畜牧、粮食、经济作物为重点的灾害保险扩面试点，加快建立多层次、宽领域的农业生产保险体系。</w:t>
      </w:r>
      <w:bookmarkEnd w:id="176"/>
      <w:r>
        <w:rPr>
          <w:rFonts w:hint="default" w:ascii="宋体" w:hAnsi="宋体" w:eastAsia="方正仿宋_GBK" w:cstheme="minorBidi"/>
          <w:b w:val="0"/>
          <w:color w:val="auto"/>
          <w:kern w:val="2"/>
          <w:sz w:val="32"/>
          <w:szCs w:val="32"/>
          <w:highlight w:val="none"/>
          <w:lang w:val="en-US" w:eastAsia="zh-CN" w:bidi="ar-SA"/>
        </w:rPr>
        <w:t>推进金融企业对“三农”的授信力度，降低贷款获得门槛，简化贷款办理手续，贷款利率要低于银行同期同类贷款水平。</w:t>
      </w:r>
      <w:r>
        <w:rPr>
          <w:rFonts w:hint="eastAsia" w:ascii="宋体" w:hAnsi="宋体" w:eastAsia="方正仿宋_GBK" w:cstheme="minorBidi"/>
          <w:b w:val="0"/>
          <w:color w:val="auto"/>
          <w:kern w:val="2"/>
          <w:sz w:val="32"/>
          <w:szCs w:val="32"/>
          <w:highlight w:val="none"/>
          <w:lang w:val="en-US" w:eastAsia="zh-CN" w:bidi="ar-SA"/>
        </w:rPr>
        <w:t>完善企业与农民利益联结机制，引导农户自愿以土地经营权等入股企业，通过利润返还、保底分红等多种形式，拓宽农民增收渠道，推进农民收入持续增长。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77" w:name="_Toc17435_WPSOffice_Level3"/>
      <w:bookmarkStart w:id="178" w:name="_Toc24701"/>
      <w:r>
        <w:rPr>
          <w:rFonts w:hint="eastAsia" w:ascii="宋体" w:hAnsi="宋体" w:eastAsia="方正楷体_GBK" w:cs="方正楷体_GBK"/>
          <w:b w:val="0"/>
          <w:bCs w:val="0"/>
          <w:color w:val="auto"/>
          <w:sz w:val="32"/>
          <w:szCs w:val="30"/>
          <w:highlight w:val="none"/>
          <w:lang w:val="en-US" w:eastAsia="zh-CN"/>
        </w:rPr>
        <w:t xml:space="preserve"> 做强做大现代工业</w:t>
      </w:r>
      <w:bookmarkEnd w:id="177"/>
      <w:bookmarkEnd w:id="17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2"/>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切实抓好兴街工业园区、园区拓展区基础设施和配套设施建设，严格执行《西畴县产业准入负面清单(试行)》和《国家产业结构调整指导目录》(新型版)，充分利用新技术、新工艺做好矿电、建材、农产品加工、包装等产业，做长产业链提高产品价值，提升工业在国民经济中的比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179" w:name="_Toc9387"/>
      <w:bookmarkStart w:id="180" w:name="_Toc9431_WPSOffice_Level3"/>
      <w:r>
        <w:rPr>
          <w:rFonts w:hint="eastAsia" w:ascii="宋体" w:hAnsi="宋体" w:eastAsia="方正仿宋_GBK" w:cs="方正仿宋_GBK"/>
          <w:b/>
          <w:bCs/>
          <w:color w:val="auto"/>
          <w:kern w:val="0"/>
          <w:sz w:val="32"/>
          <w:szCs w:val="32"/>
          <w:highlight w:val="none"/>
          <w:lang w:val="en-US" w:eastAsia="zh-CN" w:bidi="ar"/>
        </w:rPr>
        <w:t>加强工业园区建设</w:t>
      </w:r>
      <w:bookmarkEnd w:id="179"/>
      <w:bookmarkEnd w:id="180"/>
      <w:r>
        <w:rPr>
          <w:rFonts w:hint="eastAsia" w:ascii="宋体" w:hAnsi="宋体" w:eastAsia="方正仿宋_GBK" w:cs="方正仿宋_GBK"/>
          <w:b/>
          <w:bCs/>
          <w:color w:val="auto"/>
          <w:kern w:val="0"/>
          <w:sz w:val="32"/>
          <w:szCs w:val="32"/>
          <w:highlight w:val="none"/>
          <w:lang w:val="en-US" w:eastAsia="zh-CN" w:bidi="ar"/>
        </w:rPr>
        <w:t>。</w:t>
      </w:r>
      <w:r>
        <w:rPr>
          <w:rFonts w:hint="eastAsia" w:ascii="宋体" w:hAnsi="宋体" w:eastAsia="方正仿宋_GBK" w:cstheme="minorBidi"/>
          <w:b w:val="0"/>
          <w:color w:val="auto"/>
          <w:kern w:val="2"/>
          <w:sz w:val="32"/>
          <w:szCs w:val="32"/>
          <w:highlight w:val="none"/>
          <w:lang w:val="en-US" w:eastAsia="zh-CN" w:bidi="ar-SA"/>
        </w:rPr>
        <w:t>按照相关规划和省级园区建设标准，加快兴街</w:t>
      </w:r>
      <w:r>
        <w:rPr>
          <w:rFonts w:hint="eastAsia" w:ascii="宋体" w:hAnsi="宋体" w:eastAsia="方正仿宋_GBK" w:cstheme="minorBidi"/>
          <w:b w:val="0"/>
          <w:strike w:val="0"/>
          <w:dstrike w:val="0"/>
          <w:color w:val="auto"/>
          <w:kern w:val="2"/>
          <w:sz w:val="32"/>
          <w:szCs w:val="32"/>
          <w:highlight w:val="none"/>
          <w:lang w:val="en-US" w:eastAsia="zh-CN" w:bidi="ar-SA"/>
        </w:rPr>
        <w:t>工业园区及园区拓展区</w:t>
      </w:r>
      <w:r>
        <w:rPr>
          <w:rFonts w:hint="eastAsia" w:ascii="宋体" w:hAnsi="宋体" w:eastAsia="方正仿宋_GBK" w:cstheme="minorBidi"/>
          <w:b w:val="0"/>
          <w:color w:val="auto"/>
          <w:kern w:val="2"/>
          <w:sz w:val="32"/>
          <w:szCs w:val="32"/>
          <w:highlight w:val="none"/>
          <w:lang w:val="en-US" w:eastAsia="zh-CN" w:bidi="ar-SA"/>
        </w:rPr>
        <w:t>水、电、路、信息、厂房基础设施标准化建设，抓好两污处理、资源循环利用系统和生活区等相关配套设施建设。做好东部产业承接，抓好企业引进，发展以石材、打火机等劳动密集型生产加工业，切实做好招商引资工作和企业培育工作，增强园区吸纳功能。实行园区入园承诺制和入园企业投资项目承诺制，提高企业对项目建设的预期性和政府对园区管理的预期性能力。发展好劳动密集型小商品加工产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181" w:name="_Toc29152_WPSOffice_Level3"/>
      <w:bookmarkStart w:id="182" w:name="_Toc32596"/>
      <w:r>
        <w:rPr>
          <w:rFonts w:hint="eastAsia" w:ascii="宋体" w:hAnsi="宋体" w:eastAsia="方正仿宋_GBK" w:cs="方正仿宋_GBK"/>
          <w:b w:val="0"/>
          <w:color w:val="auto"/>
          <w:kern w:val="0"/>
          <w:sz w:val="32"/>
          <w:szCs w:val="32"/>
          <w:highlight w:val="none"/>
          <w:lang w:val="en-US" w:eastAsia="zh-CN" w:bidi="ar"/>
        </w:rPr>
        <w:t xml:space="preserve">    </w:t>
      </w:r>
      <w:r>
        <w:rPr>
          <w:rFonts w:hint="eastAsia" w:ascii="宋体" w:hAnsi="宋体" w:eastAsia="方正仿宋_GBK" w:cs="方正仿宋_GBK"/>
          <w:b/>
          <w:bCs/>
          <w:color w:val="auto"/>
          <w:kern w:val="0"/>
          <w:sz w:val="32"/>
          <w:szCs w:val="32"/>
          <w:highlight w:val="none"/>
          <w:lang w:val="en-US" w:eastAsia="zh-CN" w:bidi="ar"/>
        </w:rPr>
        <w:t>积极发展矿电业</w:t>
      </w:r>
      <w:bookmarkEnd w:id="181"/>
      <w:bookmarkEnd w:id="182"/>
      <w:r>
        <w:rPr>
          <w:rFonts w:hint="eastAsia" w:ascii="宋体" w:hAnsi="宋体" w:eastAsia="方正仿宋_GBK" w:cs="方正仿宋_GBK"/>
          <w:b/>
          <w:bCs/>
          <w:color w:val="auto"/>
          <w:kern w:val="0"/>
          <w:sz w:val="32"/>
          <w:szCs w:val="32"/>
          <w:highlight w:val="none"/>
          <w:lang w:val="en-US" w:eastAsia="zh-CN" w:bidi="ar"/>
        </w:rPr>
        <w:t>。</w:t>
      </w:r>
      <w:r>
        <w:rPr>
          <w:rFonts w:hint="eastAsia" w:ascii="宋体" w:hAnsi="宋体" w:eastAsia="方正仿宋_GBK" w:cstheme="minorBidi"/>
          <w:b w:val="0"/>
          <w:color w:val="auto"/>
          <w:kern w:val="2"/>
          <w:sz w:val="32"/>
          <w:szCs w:val="32"/>
          <w:highlight w:val="none"/>
          <w:lang w:val="en-US" w:eastAsia="zh-CN" w:bidi="ar-SA"/>
        </w:rPr>
        <w:t>按照产业准入标准和要求，充分做好当地和周边地区矿产资源利用，高标准采用绿色开采和加工工艺，积极做好铝土矿开采，沿天文经西畴到越南通道布局和发展绿色大理石、重晶石、硅石等资源的加工。提高区域资源开发利用效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183" w:name="_Toc24503"/>
      <w:bookmarkStart w:id="184" w:name="_Toc12956_WPSOffice_Level3"/>
      <w:r>
        <w:rPr>
          <w:rFonts w:hint="eastAsia" w:ascii="宋体" w:hAnsi="宋体" w:eastAsia="方正仿宋_GBK" w:cs="方正仿宋_GBK"/>
          <w:b w:val="0"/>
          <w:color w:val="auto"/>
          <w:kern w:val="0"/>
          <w:sz w:val="32"/>
          <w:szCs w:val="32"/>
          <w:highlight w:val="none"/>
          <w:lang w:val="en-US" w:eastAsia="zh-CN" w:bidi="ar"/>
        </w:rPr>
        <w:t xml:space="preserve">    </w:t>
      </w:r>
      <w:r>
        <w:rPr>
          <w:rFonts w:hint="eastAsia" w:ascii="宋体" w:hAnsi="宋体" w:eastAsia="方正仿宋_GBK" w:cs="方正仿宋_GBK"/>
          <w:b/>
          <w:bCs/>
          <w:color w:val="auto"/>
          <w:kern w:val="0"/>
          <w:sz w:val="32"/>
          <w:szCs w:val="32"/>
          <w:highlight w:val="none"/>
          <w:lang w:val="en-US" w:eastAsia="zh-CN" w:bidi="ar"/>
        </w:rPr>
        <w:t>发展建材业</w:t>
      </w:r>
      <w:bookmarkEnd w:id="183"/>
      <w:bookmarkEnd w:id="184"/>
      <w:r>
        <w:rPr>
          <w:rFonts w:hint="eastAsia" w:ascii="宋体" w:hAnsi="宋体" w:eastAsia="方正仿宋_GBK" w:cs="方正仿宋_GBK"/>
          <w:b/>
          <w:bCs/>
          <w:color w:val="auto"/>
          <w:kern w:val="0"/>
          <w:sz w:val="32"/>
          <w:szCs w:val="32"/>
          <w:highlight w:val="none"/>
          <w:lang w:val="en-US" w:eastAsia="zh-CN" w:bidi="ar"/>
        </w:rPr>
        <w:t>。</w:t>
      </w:r>
      <w:r>
        <w:rPr>
          <w:rFonts w:hint="eastAsia" w:ascii="宋体" w:hAnsi="宋体" w:eastAsia="方正仿宋_GBK" w:cstheme="minorBidi"/>
          <w:b w:val="0"/>
          <w:color w:val="auto"/>
          <w:kern w:val="2"/>
          <w:sz w:val="32"/>
          <w:szCs w:val="32"/>
          <w:highlight w:val="none"/>
          <w:lang w:val="en-US" w:eastAsia="zh-CN" w:bidi="ar-SA"/>
        </w:rPr>
        <w:t>积极做好区域或周边生产矿渣、石灰岩、页岩、铝土矿脱泥、废旧玻璃等资源开发利用，发展高铝水泥、新型烧结砖、集成式建筑部品部件、建筑石料、混凝土支砌块、电解铝型材、复合防火门窗、铝制灯具、新型墙体、复合石材、玻璃再利用、农业生产设施材料等建材产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185" w:name="_Toc31976"/>
      <w:bookmarkStart w:id="186" w:name="_Toc14734_WPSOffice_Level3"/>
      <w:r>
        <w:rPr>
          <w:rFonts w:hint="eastAsia" w:ascii="宋体" w:hAnsi="宋体" w:eastAsia="方正仿宋_GBK"/>
          <w:color w:val="auto"/>
          <w:sz w:val="32"/>
          <w:highlight w:val="none"/>
          <w:lang w:val="en-US" w:eastAsia="zh-CN"/>
        </w:rPr>
        <w:t xml:space="preserve">   </w:t>
      </w:r>
      <w:r>
        <w:rPr>
          <w:rFonts w:hint="eastAsia" w:ascii="宋体" w:hAnsi="宋体" w:eastAsia="方正仿宋_GBK" w:cs="方正仿宋_GBK"/>
          <w:b/>
          <w:bCs/>
          <w:color w:val="auto"/>
          <w:kern w:val="0"/>
          <w:sz w:val="32"/>
          <w:szCs w:val="32"/>
          <w:highlight w:val="none"/>
          <w:lang w:val="en-US" w:eastAsia="zh-CN" w:bidi="ar"/>
        </w:rPr>
        <w:t xml:space="preserve"> 发展农产品加工业</w:t>
      </w:r>
      <w:bookmarkEnd w:id="185"/>
      <w:bookmarkEnd w:id="186"/>
      <w:r>
        <w:rPr>
          <w:rFonts w:hint="eastAsia" w:ascii="宋体" w:hAnsi="宋体" w:eastAsia="方正仿宋_GBK" w:cs="方正仿宋_GBK"/>
          <w:b/>
          <w:bCs/>
          <w:color w:val="auto"/>
          <w:kern w:val="0"/>
          <w:sz w:val="32"/>
          <w:szCs w:val="32"/>
          <w:highlight w:val="none"/>
          <w:lang w:val="en-US" w:eastAsia="zh-CN" w:bidi="ar"/>
        </w:rPr>
        <w:t>。</w:t>
      </w:r>
      <w:r>
        <w:rPr>
          <w:rFonts w:hint="eastAsia" w:ascii="宋体" w:hAnsi="宋体" w:eastAsia="方正仿宋_GBK" w:cstheme="minorBidi"/>
          <w:b w:val="0"/>
          <w:color w:val="auto"/>
          <w:kern w:val="2"/>
          <w:sz w:val="32"/>
          <w:szCs w:val="32"/>
          <w:highlight w:val="none"/>
          <w:lang w:val="en-US" w:eastAsia="zh-CN" w:bidi="ar-SA"/>
        </w:rPr>
        <w:t>着眼东南亚南亚大区域资源利用和国内国际大市场，围绕粮食、中药材、畜牧业、蔬菜、水果、水产品等，切实做好粮食、生物医药、肉产品、水果、花生、蔬菜、淀粉、食用油、水产品等特色农产品精深加工。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2" w:firstLineChars="0"/>
        <w:jc w:val="both"/>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187" w:name="_Toc18228_WPSOffice_Level3"/>
      <w:bookmarkStart w:id="188" w:name="_Toc31739"/>
      <w:r>
        <w:rPr>
          <w:rFonts w:hint="eastAsia" w:ascii="宋体" w:hAnsi="宋体" w:eastAsia="方正仿宋_GBK" w:cs="方正仿宋_GBK"/>
          <w:b/>
          <w:bCs/>
          <w:color w:val="auto"/>
          <w:kern w:val="0"/>
          <w:sz w:val="32"/>
          <w:szCs w:val="32"/>
          <w:highlight w:val="none"/>
          <w:lang w:val="en-US" w:eastAsia="zh-CN" w:bidi="ar"/>
        </w:rPr>
        <w:t>发展包装业</w:t>
      </w:r>
      <w:bookmarkEnd w:id="187"/>
      <w:bookmarkEnd w:id="188"/>
      <w:r>
        <w:rPr>
          <w:rFonts w:hint="eastAsia" w:ascii="宋体" w:hAnsi="宋体" w:eastAsia="方正仿宋_GBK" w:cs="方正仿宋_GBK"/>
          <w:b/>
          <w:bCs/>
          <w:color w:val="auto"/>
          <w:kern w:val="0"/>
          <w:sz w:val="32"/>
          <w:szCs w:val="32"/>
          <w:highlight w:val="none"/>
          <w:lang w:val="en-US" w:eastAsia="zh-CN" w:bidi="ar"/>
        </w:rPr>
        <w:t>。</w:t>
      </w:r>
      <w:r>
        <w:rPr>
          <w:rFonts w:hint="eastAsia" w:ascii="宋体" w:hAnsi="宋体" w:eastAsia="方正仿宋_GBK" w:cstheme="minorBidi"/>
          <w:b w:val="0"/>
          <w:color w:val="auto"/>
          <w:kern w:val="2"/>
          <w:sz w:val="32"/>
          <w:szCs w:val="32"/>
          <w:highlight w:val="none"/>
          <w:lang w:val="en-US" w:eastAsia="zh-CN" w:bidi="ar-SA"/>
        </w:rPr>
        <w:t>以市场为导向，结合区域内特色农产品销售和工业运输包装需求，积极支持和鼓励发展高档食品纸箱、新型药用材料、泡沫保鲜、塑料、集装箱、镀氧化硅材料、聚脂材料、聚乙烯醇材料等包装业。同时发展饲料加工、有机肥料、果酒饮品生产与分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189" w:name="_Toc4302_WPSOffice_Level3"/>
      <w:bookmarkStart w:id="190" w:name="_Toc11670"/>
      <w:r>
        <w:rPr>
          <w:rFonts w:hint="eastAsia" w:ascii="宋体" w:hAnsi="宋体" w:eastAsia="方正楷体_GBK" w:cs="方正楷体_GBK"/>
          <w:b w:val="0"/>
          <w:bCs w:val="0"/>
          <w:color w:val="auto"/>
          <w:sz w:val="32"/>
          <w:szCs w:val="30"/>
          <w:highlight w:val="none"/>
          <w:lang w:val="en-US" w:eastAsia="zh-CN"/>
        </w:rPr>
        <w:t>第五节  做活做旺现代服务业</w:t>
      </w:r>
      <w:bookmarkEnd w:id="189"/>
      <w:bookmarkEnd w:id="190"/>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191" w:name="_Toc8556_WPSOffice_Level2"/>
      <w:bookmarkStart w:id="192" w:name="_Toc24325_WPSOffice_Level3"/>
      <w:bookmarkStart w:id="193" w:name="_Toc1473"/>
      <w:r>
        <w:rPr>
          <w:rFonts w:hint="eastAsia" w:ascii="宋体" w:hAnsi="宋体" w:eastAsia="方正仿宋_GBK" w:cs="宋体"/>
          <w:b/>
          <w:color w:val="auto"/>
          <w:kern w:val="0"/>
          <w:sz w:val="32"/>
          <w:szCs w:val="27"/>
          <w:highlight w:val="none"/>
          <w:lang w:val="en-US" w:eastAsia="zh-CN" w:bidi="ar"/>
        </w:rPr>
        <w:t>　　</w:t>
      </w:r>
      <w:bookmarkEnd w:id="191"/>
      <w:bookmarkEnd w:id="192"/>
      <w:bookmarkEnd w:id="193"/>
      <w:r>
        <w:rPr>
          <w:rFonts w:hint="eastAsia" w:ascii="宋体" w:hAnsi="宋体" w:eastAsia="方正仿宋_GBK" w:cstheme="minorBidi"/>
          <w:b w:val="0"/>
          <w:color w:val="auto"/>
          <w:kern w:val="2"/>
          <w:sz w:val="32"/>
          <w:szCs w:val="32"/>
          <w:highlight w:val="none"/>
          <w:lang w:val="en-US" w:eastAsia="zh-CN" w:bidi="ar-SA"/>
        </w:rPr>
        <w:t>构建以旅游贸易为重点的服务业体系，围绕东南亚农产品流通加工和我国东中西部资源市场需求，着力抓好贸易企业培育和大型贸易集团引进，扶持壮大一批外贸企业。在推进传统服务业、公共服务业高质量发展的同时，重点做好流通贸易业的服务链延伸和服务行业的延展，加强旅游重点景区景点、宜旅重点乡村配套设施建设，深化服务业延伸扩展，推进服务业数字化、标准化、品牌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194" w:name="_Toc29348"/>
      <w:bookmarkStart w:id="195" w:name="_Toc31999_WPSOffice_Level3"/>
      <w:r>
        <w:rPr>
          <w:rFonts w:hint="eastAsia" w:ascii="宋体" w:hAnsi="宋体" w:eastAsia="方正仿宋_GBK" w:cs="方正仿宋_GBK"/>
          <w:b/>
          <w:bCs/>
          <w:i w:val="0"/>
          <w:caps w:val="0"/>
          <w:color w:val="auto"/>
          <w:spacing w:val="0"/>
          <w:kern w:val="0"/>
          <w:sz w:val="32"/>
          <w:szCs w:val="32"/>
          <w:highlight w:val="none"/>
          <w:shd w:val="clear" w:fill="FFFFFF"/>
          <w:lang w:val="en-US" w:eastAsia="zh-CN" w:bidi="ar"/>
        </w:rPr>
        <w:t xml:space="preserve">    高质量发展传统服务业</w:t>
      </w:r>
      <w:bookmarkEnd w:id="194"/>
      <w:bookmarkEnd w:id="195"/>
      <w:r>
        <w:rPr>
          <w:rFonts w:hint="eastAsia" w:ascii="宋体" w:hAnsi="宋体" w:eastAsia="方正仿宋_GBK" w:cs="方正仿宋_GBK"/>
          <w:b/>
          <w:bCs/>
          <w:i w:val="0"/>
          <w:caps w:val="0"/>
          <w:color w:val="auto"/>
          <w:spacing w:val="0"/>
          <w:kern w:val="0"/>
          <w:sz w:val="32"/>
          <w:szCs w:val="32"/>
          <w:highlight w:val="none"/>
          <w:shd w:val="clear" w:fill="FFFFFF"/>
          <w:lang w:val="en-US" w:eastAsia="zh-CN" w:bidi="ar"/>
        </w:rPr>
        <w:t>。</w:t>
      </w:r>
      <w:r>
        <w:rPr>
          <w:rFonts w:hint="eastAsia" w:ascii="宋体" w:hAnsi="宋体" w:eastAsia="方正仿宋_GBK" w:cstheme="minorBidi"/>
          <w:b w:val="0"/>
          <w:color w:val="auto"/>
          <w:kern w:val="2"/>
          <w:sz w:val="32"/>
          <w:szCs w:val="32"/>
          <w:highlight w:val="none"/>
          <w:lang w:val="en-US" w:eastAsia="zh-CN" w:bidi="ar-SA"/>
        </w:rPr>
        <w:t>全面深化各项改革，围绕幼有善育、学有优教、病有良医，发展好教育卫生服务业。围绕信用担保、“信易贷”、税易贷、多品种金融服务、多机构入住等发展金融服务业。围绕高效便捷安全高质量发展交通、信息、能源等公共服务业，围绕质量提升、内容拓展，发展家政、保洁、保育、保教等服务业，增加有效供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196" w:name="_Toc17828"/>
      <w:bookmarkStart w:id="197" w:name="_Toc11481_WPSOffice_Level3"/>
      <w:r>
        <w:rPr>
          <w:rFonts w:hint="eastAsia" w:ascii="宋体" w:hAnsi="宋体" w:eastAsia="方正仿宋_GBK" w:cs="方正仿宋_GBK"/>
          <w:b w:val="0"/>
          <w:i w:val="0"/>
          <w:caps w:val="0"/>
          <w:color w:val="auto"/>
          <w:spacing w:val="0"/>
          <w:sz w:val="32"/>
          <w:szCs w:val="32"/>
          <w:highlight w:val="none"/>
          <w:shd w:val="clear" w:fill="FFFFFF"/>
          <w:lang w:val="en-US" w:eastAsia="zh-CN"/>
        </w:rPr>
        <w:t xml:space="preserve">    </w:t>
      </w:r>
      <w:r>
        <w:rPr>
          <w:rFonts w:hint="eastAsia" w:ascii="宋体" w:hAnsi="宋体" w:eastAsia="方正仿宋_GBK" w:cs="方正仿宋_GBK"/>
          <w:b/>
          <w:bCs/>
          <w:i w:val="0"/>
          <w:caps w:val="0"/>
          <w:color w:val="auto"/>
          <w:spacing w:val="0"/>
          <w:sz w:val="32"/>
          <w:szCs w:val="32"/>
          <w:highlight w:val="none"/>
          <w:shd w:val="clear" w:fill="FFFFFF"/>
          <w:lang w:val="en-US" w:eastAsia="zh-CN"/>
        </w:rPr>
        <w:t>加强商贸服务业建设</w:t>
      </w:r>
      <w:bookmarkEnd w:id="196"/>
      <w:bookmarkEnd w:id="197"/>
      <w:r>
        <w:rPr>
          <w:rFonts w:hint="eastAsia" w:ascii="宋体" w:hAnsi="宋体" w:eastAsia="方正仿宋_GBK" w:cs="方正仿宋_GBK"/>
          <w:b/>
          <w:bCs/>
          <w:i w:val="0"/>
          <w:caps w:val="0"/>
          <w:color w:val="auto"/>
          <w:spacing w:val="0"/>
          <w:sz w:val="32"/>
          <w:szCs w:val="32"/>
          <w:highlight w:val="none"/>
          <w:shd w:val="clear" w:fill="FFFFFF"/>
          <w:lang w:val="en-US" w:eastAsia="zh-CN"/>
        </w:rPr>
        <w:t>。</w:t>
      </w:r>
      <w:r>
        <w:rPr>
          <w:rFonts w:hint="eastAsia" w:ascii="宋体" w:hAnsi="宋体" w:eastAsia="方正仿宋_GBK" w:cstheme="minorBidi"/>
          <w:b w:val="0"/>
          <w:color w:val="auto"/>
          <w:kern w:val="2"/>
          <w:sz w:val="32"/>
          <w:szCs w:val="32"/>
          <w:highlight w:val="none"/>
          <w:lang w:val="en-US" w:eastAsia="zh-CN" w:bidi="ar-SA"/>
        </w:rPr>
        <w:t>着眼广西北部湾国际门户港对国际国内两个市场两种资源在沿边地区作用发挥，高质量引进国内大型商贸集团在我县开设贸易分拨中心，开展商贸流通服务。支持和培育当地贸易企业积极发挥国内、东南亚南亚的资源与市场优势，在服务“大湾区”“大循环和双循环”建设中做强做大。鼓励、支持、创新发展信息服务、重要资源配置服务等服务新业态。做好东部、中部、西部区域和国内与东南亚与南亚特别是优质农产品的资源与市场对接，积极发展商贸流通服务业。高质量推进县城、兴街服务业基础设施建设，打造现代化物流体系，推进通道物流规模化组织、区域化集散、专业化服务和网络化运行，提升物流集散、存储、分拨、转运等功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198" w:name="_Toc21040"/>
      <w:bookmarkStart w:id="199" w:name="_Toc8525_WPSOffice_Level3"/>
      <w:r>
        <w:rPr>
          <w:rFonts w:hint="eastAsia" w:ascii="宋体" w:hAnsi="宋体" w:eastAsia="方正仿宋_GBK" w:cs="方正仿宋_GBK"/>
          <w:b/>
          <w:bCs/>
          <w:i w:val="0"/>
          <w:caps w:val="0"/>
          <w:color w:val="auto"/>
          <w:spacing w:val="0"/>
          <w:sz w:val="32"/>
          <w:szCs w:val="32"/>
          <w:highlight w:val="none"/>
          <w:shd w:val="clear" w:fill="FFFFFF"/>
          <w:lang w:val="en-US" w:eastAsia="zh-CN"/>
        </w:rPr>
        <w:t>推动发展乡村康体医旅一体化</w:t>
      </w:r>
      <w:bookmarkEnd w:id="198"/>
      <w:r>
        <w:rPr>
          <w:rFonts w:hint="eastAsia" w:ascii="宋体" w:hAnsi="宋体" w:eastAsia="方正仿宋_GBK" w:cs="方正仿宋_GBK"/>
          <w:b/>
          <w:bCs/>
          <w:i w:val="0"/>
          <w:caps w:val="0"/>
          <w:color w:val="auto"/>
          <w:spacing w:val="0"/>
          <w:sz w:val="32"/>
          <w:szCs w:val="32"/>
          <w:highlight w:val="none"/>
          <w:shd w:val="clear" w:fill="FFFFFF"/>
          <w:lang w:val="en-US" w:eastAsia="zh-CN"/>
        </w:rPr>
        <w:t>融合发展</w:t>
      </w:r>
      <w:bookmarkEnd w:id="199"/>
      <w:r>
        <w:rPr>
          <w:rFonts w:hint="eastAsia" w:ascii="宋体" w:hAnsi="宋体" w:eastAsia="方正仿宋_GBK" w:cs="方正仿宋_GBK"/>
          <w:b/>
          <w:bCs/>
          <w:i w:val="0"/>
          <w:caps w:val="0"/>
          <w:color w:val="auto"/>
          <w:spacing w:val="0"/>
          <w:sz w:val="32"/>
          <w:szCs w:val="32"/>
          <w:highlight w:val="none"/>
          <w:shd w:val="clear" w:fill="FFFFFF"/>
          <w:lang w:val="en-US" w:eastAsia="zh-CN"/>
        </w:rPr>
        <w:t>。</w:t>
      </w:r>
      <w:r>
        <w:rPr>
          <w:rFonts w:hint="eastAsia" w:ascii="宋体" w:hAnsi="宋体" w:eastAsia="方正仿宋_GBK" w:cstheme="minorBidi"/>
          <w:b w:val="0"/>
          <w:color w:val="auto"/>
          <w:kern w:val="2"/>
          <w:sz w:val="32"/>
          <w:szCs w:val="32"/>
          <w:highlight w:val="none"/>
          <w:lang w:val="en-US" w:eastAsia="zh-CN" w:bidi="ar-SA"/>
        </w:rPr>
        <w:t>充分发挥香坪山、三光、岔河、汤谷、鸡街河、畴阳河、盘龙河等地势特征及山水特色、民族特色、人文特色和“西畴精神”发源地作用，实施休闲农业和乡村旅游精品工程，建设一批设施完备、功能多样的休闲观光园区、乡村民宿、森林人家和康养基地，培育一批美丽休闲乡村、乡村旅游重点村，积极优化区域旅游线路，合理布局和建设一批医养结合、文化娱乐、健康旅游、乡村游乐及集吃、住、行、游、购、娱为一体的医养康旅设施和信息导游平台，将我县打造成集康体医旅一体的健康生活目的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200" w:name="_Toc12017"/>
      <w:bookmarkStart w:id="201" w:name="_Toc6966_WPSOffice_Level3"/>
      <w:r>
        <w:rPr>
          <w:rFonts w:hint="eastAsia" w:ascii="宋体" w:hAnsi="宋体" w:eastAsia="方正楷体_GBK" w:cs="方正楷体_GBK"/>
          <w:b w:val="0"/>
          <w:bCs w:val="0"/>
          <w:color w:val="auto"/>
          <w:sz w:val="32"/>
          <w:szCs w:val="30"/>
          <w:highlight w:val="none"/>
          <w:lang w:val="en-US" w:eastAsia="zh-CN"/>
        </w:rPr>
        <w:t>第六节  提升产业链供应链现代化水平</w:t>
      </w:r>
      <w:bookmarkEnd w:id="200"/>
      <w:bookmarkEnd w:id="20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简体"/>
          <w:color w:val="auto"/>
          <w:sz w:val="32"/>
          <w:szCs w:val="34"/>
          <w:highlight w:val="none"/>
          <w:lang w:eastAsia="zh-CN"/>
        </w:rPr>
        <w:t>　　</w:t>
      </w:r>
      <w:r>
        <w:rPr>
          <w:rFonts w:hint="eastAsia" w:ascii="宋体" w:hAnsi="宋体" w:eastAsia="方正仿宋_GBK" w:cstheme="minorBidi"/>
          <w:b w:val="0"/>
          <w:color w:val="auto"/>
          <w:kern w:val="2"/>
          <w:sz w:val="32"/>
          <w:szCs w:val="32"/>
          <w:highlight w:val="none"/>
          <w:lang w:val="en-US" w:eastAsia="zh-CN" w:bidi="ar-SA"/>
        </w:rPr>
        <w:t>着眼后疫情时代产业链重构，做好供应链设计和精准施策，推动全产业链优化升级。实施工业互联网创新发展工程，推动新一代信息技术与产业融合发展，打造新兴产业链，推动传统产业链高端化、智能化、绿色化。实施产业基础再造工程，围绕主导产业，开展重要产品和关键核心技术攻关，同时构建战略新兴产业增长引擎，培育新技术、新产品、新业态、新模式。开展质量提升行动，完善质量基础设施，引导企业统筹标准、质量、品牌、信誉建设，加大力度实施技术革新、设备更新、产品焕新，推动产业链集群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202" w:name="_Toc984"/>
      <w:bookmarkStart w:id="203" w:name="_Toc15591_WPSOffice_Level3"/>
      <w:r>
        <w:rPr>
          <w:rFonts w:hint="eastAsia" w:ascii="宋体" w:hAnsi="宋体" w:eastAsia="方正楷体_GBK" w:cs="方正楷体_GBK"/>
          <w:b w:val="0"/>
          <w:bCs w:val="0"/>
          <w:color w:val="auto"/>
          <w:sz w:val="32"/>
          <w:szCs w:val="30"/>
          <w:highlight w:val="none"/>
          <w:lang w:val="en-US" w:eastAsia="zh-CN"/>
        </w:rPr>
        <w:t>第七节　积极推进产业数字化发展</w:t>
      </w:r>
      <w:bookmarkEnd w:id="202"/>
      <w:bookmarkEnd w:id="203"/>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简体"/>
          <w:color w:val="auto"/>
          <w:sz w:val="32"/>
          <w:szCs w:val="34"/>
          <w:highlight w:val="none"/>
          <w:lang w:eastAsia="zh-CN"/>
        </w:rPr>
        <w:t>　　</w:t>
      </w:r>
      <w:r>
        <w:rPr>
          <w:rFonts w:hint="eastAsia" w:ascii="宋体" w:hAnsi="宋体" w:eastAsia="方正仿宋_GBK" w:cstheme="minorBidi"/>
          <w:b w:val="0"/>
          <w:color w:val="auto"/>
          <w:kern w:val="2"/>
          <w:sz w:val="32"/>
          <w:szCs w:val="32"/>
          <w:highlight w:val="none"/>
          <w:lang w:val="en-US" w:eastAsia="zh-CN" w:bidi="ar-SA"/>
        </w:rPr>
        <w:t>加快推动5G网络规划布局和工业互联网建设，重视数据资源在产业中的开发利用，促进光纤宽带网络的优化升级，补齐信息基础设施短板。加强数字政府、数字社会、数字城市、数字产业、数字乡村建设，稳步推进传统基础设施的“数字+”“智能+”升级，探索新基建在社会管理、公共服务、教育医疗、智慧城市、智能交通、智慧能源、数字产业等领域的应用，促进新型基础设施与经济社会深度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204" w:name="_Toc4898_WPSOffice_Level2"/>
      <w:bookmarkStart w:id="205" w:name="_Toc362"/>
      <w:bookmarkStart w:id="206" w:name="_Toc22947_WPSOffice_Level3"/>
      <w:bookmarkStart w:id="207" w:name="_Toc7621_WPSOffice_Level3"/>
      <w:bookmarkStart w:id="208" w:name="_Toc32615"/>
      <w:r>
        <w:rPr>
          <w:rFonts w:hint="eastAsia" w:ascii="宋体" w:hAnsi="宋体" w:eastAsia="方正楷体_GBK" w:cs="方正楷体_GBK"/>
          <w:b w:val="0"/>
          <w:bCs w:val="0"/>
          <w:color w:val="auto"/>
          <w:sz w:val="32"/>
          <w:szCs w:val="30"/>
          <w:highlight w:val="none"/>
          <w:lang w:val="en-US" w:eastAsia="zh-CN"/>
        </w:rPr>
        <w:t>第八节　推动产业发展上台阶</w:t>
      </w:r>
      <w:bookmarkEnd w:id="204"/>
      <w:bookmarkEnd w:id="205"/>
      <w:bookmarkEnd w:id="206"/>
      <w:bookmarkEnd w:id="207"/>
    </w:p>
    <w:bookmarkEnd w:id="208"/>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方正仿宋_GBK"/>
          <w:b w:val="0"/>
          <w:bCs w:val="0"/>
          <w:color w:val="auto"/>
          <w:sz w:val="32"/>
          <w:szCs w:val="32"/>
          <w:highlight w:val="none"/>
          <w:lang w:val="en-US" w:eastAsia="zh-CN"/>
        </w:rPr>
        <w:t xml:space="preserve">   </w:t>
      </w:r>
      <w:r>
        <w:rPr>
          <w:rFonts w:hint="eastAsia" w:ascii="宋体" w:hAnsi="宋体" w:eastAsia="方正仿宋_GBK" w:cs="方正仿宋_GBK"/>
          <w:b w:val="0"/>
          <w:i w:val="0"/>
          <w:caps w:val="0"/>
          <w:color w:val="auto"/>
          <w:spacing w:val="0"/>
          <w:kern w:val="0"/>
          <w:sz w:val="32"/>
          <w:szCs w:val="32"/>
          <w:highlight w:val="none"/>
          <w:shd w:val="clear" w:fill="FFFFFF"/>
          <w:lang w:val="en-US" w:eastAsia="zh-CN" w:bidi="ar"/>
        </w:rPr>
        <w:t xml:space="preserve"> </w:t>
      </w:r>
      <w:r>
        <w:rPr>
          <w:rFonts w:hint="eastAsia" w:ascii="宋体" w:hAnsi="宋体" w:eastAsia="方正仿宋_GBK" w:cstheme="minorBidi"/>
          <w:b w:val="0"/>
          <w:color w:val="auto"/>
          <w:kern w:val="2"/>
          <w:sz w:val="32"/>
          <w:szCs w:val="32"/>
          <w:highlight w:val="none"/>
          <w:lang w:val="en-US" w:eastAsia="zh-CN" w:bidi="ar-SA"/>
        </w:rPr>
        <w:t>坚持“年年打基础，年年见成效”的产业发展战略，订立年度产业发展目标，健全产业发展措施，创新产业发展方式，压实产业发展责任，打好产业发展持久战和年度发展攻坚战，推动产业发展一年一个台阶，逐步构建具有强劲竞争力的现代化产业体系，增强发展实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09" w:name="_Toc24596_WPSOffice_Level3"/>
      <w:bookmarkStart w:id="210" w:name="_Toc19032"/>
      <w:r>
        <w:rPr>
          <w:rFonts w:hint="eastAsia" w:ascii="宋体" w:hAnsi="宋体" w:eastAsia="方正仿宋_GBK" w:cs="方正仿宋_GBK"/>
          <w:b w:val="0"/>
          <w:i w:val="0"/>
          <w:caps w:val="0"/>
          <w:color w:val="auto"/>
          <w:spacing w:val="0"/>
          <w:kern w:val="0"/>
          <w:sz w:val="32"/>
          <w:szCs w:val="32"/>
          <w:highlight w:val="none"/>
          <w:shd w:val="clear" w:fill="FFFFFF"/>
          <w:lang w:val="en-US" w:eastAsia="zh-CN" w:bidi="ar"/>
        </w:rPr>
        <w:t xml:space="preserve">    </w:t>
      </w:r>
      <w:r>
        <w:rPr>
          <w:rFonts w:hint="eastAsia" w:ascii="宋体" w:hAnsi="宋体" w:eastAsia="方正仿宋_GBK" w:cstheme="minorBidi"/>
          <w:b w:val="0"/>
          <w:color w:val="auto"/>
          <w:kern w:val="2"/>
          <w:sz w:val="32"/>
          <w:szCs w:val="32"/>
          <w:highlight w:val="none"/>
          <w:lang w:val="en-US" w:eastAsia="zh-CN" w:bidi="ar-SA"/>
        </w:rPr>
        <w:t>健全产业发展支持服务制度</w:t>
      </w:r>
      <w:bookmarkEnd w:id="209"/>
      <w:bookmarkEnd w:id="210"/>
      <w:r>
        <w:rPr>
          <w:rFonts w:hint="eastAsia" w:ascii="宋体" w:hAnsi="宋体" w:eastAsia="方正仿宋_GBK" w:cstheme="minorBidi"/>
          <w:b w:val="0"/>
          <w:color w:val="auto"/>
          <w:kern w:val="2"/>
          <w:sz w:val="32"/>
          <w:szCs w:val="32"/>
          <w:highlight w:val="none"/>
          <w:lang w:val="en-US" w:eastAsia="zh-CN" w:bidi="ar-SA"/>
        </w:rPr>
        <w:t>。建立健全产业发展的组织指挥、工作推进、服务能力、政策支持、金融支持、保险支持、第三方参与和措施保障制度，为产业发展提供制度保障。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2" w:firstLine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11" w:name="_Toc21985_WPSOffice_Level3"/>
      <w:bookmarkStart w:id="212" w:name="_Toc11644"/>
      <w:r>
        <w:rPr>
          <w:rFonts w:hint="eastAsia" w:ascii="宋体" w:hAnsi="宋体" w:eastAsia="方正仿宋_GBK" w:cstheme="minorBidi"/>
          <w:b w:val="0"/>
          <w:color w:val="auto"/>
          <w:kern w:val="2"/>
          <w:sz w:val="32"/>
          <w:szCs w:val="32"/>
          <w:highlight w:val="none"/>
          <w:lang w:val="en-US" w:eastAsia="zh-CN" w:bidi="ar-SA"/>
        </w:rPr>
        <w:t>建立和完善产业发展年度目标工作制度</w:t>
      </w:r>
      <w:bookmarkEnd w:id="211"/>
      <w:bookmarkEnd w:id="212"/>
      <w:r>
        <w:rPr>
          <w:rFonts w:hint="eastAsia" w:ascii="宋体" w:hAnsi="宋体" w:eastAsia="方正仿宋_GBK" w:cstheme="minorBidi"/>
          <w:b w:val="0"/>
          <w:color w:val="auto"/>
          <w:kern w:val="2"/>
          <w:sz w:val="32"/>
          <w:szCs w:val="32"/>
          <w:highlight w:val="none"/>
          <w:lang w:val="en-US" w:eastAsia="zh-CN" w:bidi="ar-SA"/>
        </w:rPr>
        <w:t>。实施产业发展年度攻坚行动，持久推进产业发展。依照产业建设的方向和内容，合理制定年度产业发展目标，明确年度目标、重点内容、任务时限、工作措施、责任部门、协同部门等，实行任务落实情况定期报告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2025年，实体经济注册资金年均增长20%，农村土地流转率大于40%，科技对经济的贡献率达55%以上，区域资源就地转化率达80%(不含铝土矿)，资源深加工利用率达50%以上，投产企业人工智能应用水平达35%以上，规模以上固定资产投资年均增长23%，利用县外民间资金增长20%，产业投资年均增长20%，地方公共财政一般预算收入年均增长10%以上，社会消费品零售总额年均增长11%以上，外贸进出口年均增长28%，新增城镇面积4平方公里，户籍人口城镇化水平达45%，二产占生产总值比重年均提高1%，以文化、旅游、物流为重点的三产占生产总值比重年均提高0.5%。三次产业结构逐步向三二一目标46∶34∶20迈进。</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2035年，实现地区生产总值在2020年的基础上翻两番。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专栏8：</w:t>
      </w:r>
      <w:r>
        <w:rPr>
          <w:rFonts w:hint="eastAsia" w:ascii="宋体" w:hAnsi="宋体" w:eastAsia="方正仿宋_GBK" w:cstheme="minorBidi"/>
          <w:b w:val="0"/>
          <w:color w:val="auto"/>
          <w:kern w:val="2"/>
          <w:sz w:val="32"/>
          <w:szCs w:val="32"/>
          <w:highlight w:val="none"/>
          <w:lang w:val="en-US" w:eastAsia="zh-CN" w:bidi="ar-SA"/>
        </w:rPr>
        <w:t>产业发展重大工程</w:t>
      </w:r>
    </w:p>
    <w:tbl>
      <w:tblPr>
        <w:tblStyle w:val="20"/>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5" w:hRule="atLeast"/>
        </w:trPr>
        <w:tc>
          <w:tcPr>
            <w:tcW w:w="88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农产品生产基地建设工程：</w:t>
            </w:r>
            <w:r>
              <w:rPr>
                <w:rFonts w:hint="eastAsia" w:ascii="宋体" w:hAnsi="宋体" w:eastAsia="宋体" w:cs="宋体"/>
                <w:i w:val="0"/>
                <w:color w:val="auto"/>
                <w:kern w:val="0"/>
                <w:sz w:val="22"/>
                <w:szCs w:val="22"/>
                <w:highlight w:val="none"/>
                <w:u w:val="none"/>
                <w:lang w:val="en-US" w:eastAsia="zh-CN" w:bidi="ar"/>
              </w:rPr>
              <w:t>根据区域气候及当地群众生产特点，集中布局建设若干个烤烟、甘蔗、水果、蔬菜、肉牛、生猪、乌骨鸡、中药材等种养基地（园区）小区。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rPr>
        <w:tc>
          <w:tcPr>
            <w:tcW w:w="887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农产品加工工程：</w:t>
            </w:r>
            <w:r>
              <w:rPr>
                <w:rFonts w:hint="eastAsia" w:ascii="宋体" w:hAnsi="宋体" w:eastAsia="宋体" w:cs="宋体"/>
                <w:i w:val="0"/>
                <w:color w:val="auto"/>
                <w:kern w:val="0"/>
                <w:sz w:val="22"/>
                <w:szCs w:val="22"/>
                <w:highlight w:val="none"/>
                <w:u w:val="none"/>
                <w:lang w:val="en-US" w:eastAsia="zh-CN" w:bidi="ar"/>
              </w:rPr>
              <w:t>乌骨鸡、生猪、肉牛等活体动物分类屠宰，肉食品分割储存冷藏，肉食品深加工，休闲食品加工，中药材初加工，果品、饮料开发，植物色素提取等。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3" w:hRule="atLeast"/>
        </w:trPr>
        <w:tc>
          <w:tcPr>
            <w:tcW w:w="887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工业发展工程：</w:t>
            </w:r>
            <w:r>
              <w:rPr>
                <w:rFonts w:hint="eastAsia" w:ascii="宋体" w:hAnsi="宋体" w:eastAsia="宋体" w:cs="宋体"/>
                <w:i w:val="0"/>
                <w:color w:val="auto"/>
                <w:kern w:val="0"/>
                <w:sz w:val="22"/>
                <w:szCs w:val="22"/>
                <w:highlight w:val="none"/>
                <w:u w:val="none"/>
                <w:lang w:val="en-US" w:eastAsia="zh-CN" w:bidi="ar"/>
              </w:rPr>
              <w:t>抓好打火机产业园、石材产业园、电子信息产业园等建设，发展</w:t>
            </w:r>
            <w:r>
              <w:rPr>
                <w:rStyle w:val="36"/>
                <w:rFonts w:ascii="宋体" w:hAnsi="宋体"/>
                <w:color w:val="auto"/>
                <w:highlight w:val="none"/>
                <w:lang w:val="en-US" w:eastAsia="zh-CN" w:bidi="ar"/>
              </w:rPr>
              <w:t>防水密封材料、保温隔热材料、装饰石膏板、建筑涂料、混凝土预制水平构件、合成石材等。包装材料使用、新型包装材料开发、外来大宗果、酒、饮料、饲料等分装、外贸产品包装分装。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8" w:hRule="atLeast"/>
        </w:trPr>
        <w:tc>
          <w:tcPr>
            <w:tcW w:w="887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贸易流通工程：</w:t>
            </w:r>
            <w:r>
              <w:rPr>
                <w:rFonts w:hint="eastAsia" w:ascii="宋体" w:hAnsi="宋体" w:eastAsia="宋体" w:cs="宋体"/>
                <w:i w:val="0"/>
                <w:color w:val="auto"/>
                <w:kern w:val="0"/>
                <w:sz w:val="22"/>
                <w:szCs w:val="22"/>
                <w:highlight w:val="none"/>
                <w:u w:val="none"/>
                <w:lang w:val="en-US" w:eastAsia="zh-CN" w:bidi="ar"/>
              </w:rPr>
              <w:t>建县城兴街物流分拨园区各1个，7个乡建设物流配送站及农贸市场、69个行政村物流配送点。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1" w:hRule="atLeast"/>
        </w:trPr>
        <w:tc>
          <w:tcPr>
            <w:tcW w:w="887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旅游产业发展工程：</w:t>
            </w:r>
            <w:r>
              <w:rPr>
                <w:rStyle w:val="36"/>
                <w:rFonts w:ascii="宋体" w:hAnsi="宋体"/>
                <w:color w:val="auto"/>
                <w:highlight w:val="none"/>
                <w:lang w:val="en-US" w:eastAsia="zh-CN" w:bidi="ar"/>
              </w:rPr>
              <w:t>重点打造香坪山康养基地、三光石漠公园、东升红色文化、汤谷壮乡文化、北回归线康养城，区域溶洞开发，西畴精神教育体验点，乡村游乐场所、民宿、农家乐、田园综合体开发，县城兴街高端酒店、美食一条街、区域文化一条街建设，西畴精神旅游纪念品开发制作，民族文化产品开发。观光农业、休闲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西畴精神宣传利用工程：</w:t>
            </w:r>
            <w:r>
              <w:rPr>
                <w:rFonts w:hint="eastAsia" w:ascii="宋体" w:hAnsi="宋体" w:eastAsia="宋体" w:cs="宋体"/>
                <w:i w:val="0"/>
                <w:color w:val="auto"/>
                <w:kern w:val="0"/>
                <w:sz w:val="22"/>
                <w:szCs w:val="22"/>
                <w:highlight w:val="none"/>
                <w:u w:val="none"/>
                <w:lang w:val="en-US" w:eastAsia="zh-CN" w:bidi="ar"/>
              </w:rPr>
              <w:t>西畴精神产品开发设计应用，“等不是办法，干才有希望”使用授权。</w:t>
            </w:r>
          </w:p>
        </w:tc>
      </w:tr>
    </w:tbl>
    <w:p>
      <w:pPr>
        <w:rPr>
          <w:rFonts w:hint="eastAsia" w:ascii="宋体" w:hAnsi="宋体"/>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213" w:name="_Toc12184_WPSOffice_Level2"/>
      <w:bookmarkStart w:id="214" w:name="_Toc15949"/>
      <w:r>
        <w:rPr>
          <w:rFonts w:hint="eastAsia" w:ascii="宋体" w:hAnsi="宋体" w:eastAsia="方正黑体_GBK" w:cs="方正黑体_GBK"/>
          <w:b w:val="0"/>
          <w:color w:val="auto"/>
          <w:kern w:val="2"/>
          <w:sz w:val="32"/>
          <w:szCs w:val="32"/>
          <w:highlight w:val="none"/>
          <w:lang w:val="en-US" w:eastAsia="zh-CN" w:bidi="ar-SA"/>
        </w:rPr>
        <w:t>第三章  加快推进石漠化综合治理研教示范区建设</w:t>
      </w:r>
      <w:bookmarkEnd w:id="213"/>
      <w:bookmarkEnd w:id="21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以兴街三光、江龙和蚌谷长箐治理成果为依托，加快片区产业层次构建。以水保障优先，以体现用能方式转变、生态文明意识提高、产业链条延伸为目标，整合各方资源，持续推进百村相连、万亩田地相接的“用水渠网、水土流失、农村人居环境、田间道路、土地整治、高稳产田地、中低产田地改造、土壤改良、绿色耕地、测土配方施肥、智慧农业应用”等石漠化综合治理重大生态建设工程，努力建成一批社会主义新村、产业新村、森林乡村、旅游新村和田园综合体等，成立1—2个石漠化综合治理研教专家工作站，在政策咨询、课题研究等方面提供技术指导，确保建成一片、示范一片，形成可观可学可用可拓展的石漠化治理新路径，为其它地区石漠化治理贡献“西畴经验”。</w:t>
      </w:r>
    </w:p>
    <w:tbl>
      <w:tblPr>
        <w:tblStyle w:val="20"/>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60" w:hRule="atLeast"/>
        </w:trPr>
        <w:tc>
          <w:tcPr>
            <w:tcW w:w="886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8"/>
                <w:szCs w:val="28"/>
                <w:highlight w:val="none"/>
                <w:u w:val="none"/>
              </w:rPr>
            </w:pPr>
            <w:r>
              <w:rPr>
                <w:rFonts w:hint="eastAsia" w:ascii="宋体" w:hAnsi="宋体" w:eastAsia="方正仿宋_GBK" w:cs="方正仿宋_GBK"/>
                <w:b/>
                <w:bCs/>
                <w:color w:val="auto"/>
                <w:kern w:val="0"/>
                <w:sz w:val="32"/>
                <w:szCs w:val="32"/>
                <w:highlight w:val="none"/>
                <w:lang w:val="en-US" w:eastAsia="zh-CN" w:bidi="ar"/>
              </w:rPr>
              <w:t>专栏9：</w:t>
            </w:r>
            <w:r>
              <w:rPr>
                <w:rFonts w:hint="eastAsia" w:ascii="宋体" w:hAnsi="宋体" w:eastAsia="方正仿宋_GBK" w:cs="方正仿宋_GBK"/>
                <w:b w:val="0"/>
                <w:bCs w:val="0"/>
                <w:color w:val="auto"/>
                <w:kern w:val="0"/>
                <w:sz w:val="32"/>
                <w:szCs w:val="32"/>
                <w:highlight w:val="none"/>
                <w:lang w:val="en-US" w:eastAsia="zh-CN" w:bidi="ar"/>
              </w:rPr>
              <w:t>石漠化治理重大工程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atLeast"/>
        </w:trPr>
        <w:tc>
          <w:tcPr>
            <w:tcW w:w="8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建设目标：</w:t>
            </w:r>
            <w:r>
              <w:rPr>
                <w:rFonts w:hint="eastAsia" w:ascii="宋体" w:hAnsi="宋体" w:eastAsia="宋体" w:cs="宋体"/>
                <w:i w:val="0"/>
                <w:color w:val="auto"/>
                <w:kern w:val="0"/>
                <w:sz w:val="22"/>
                <w:szCs w:val="22"/>
                <w:highlight w:val="none"/>
                <w:u w:val="none"/>
                <w:lang w:val="en-US" w:eastAsia="zh-CN" w:bidi="ar"/>
              </w:rPr>
              <w:t>每年高质量建设1.5—2平方公里。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1" w:hRule="atLeast"/>
        </w:trPr>
        <w:tc>
          <w:tcPr>
            <w:tcW w:w="886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建设原则：</w:t>
            </w:r>
            <w:r>
              <w:rPr>
                <w:rFonts w:hint="eastAsia" w:ascii="宋体" w:hAnsi="宋体" w:eastAsia="宋体" w:cs="宋体"/>
                <w:i w:val="0"/>
                <w:color w:val="auto"/>
                <w:kern w:val="0"/>
                <w:sz w:val="22"/>
                <w:szCs w:val="22"/>
                <w:highlight w:val="none"/>
                <w:u w:val="none"/>
                <w:lang w:val="en-US" w:eastAsia="zh-CN" w:bidi="ar"/>
              </w:rPr>
              <w:t>党委领导、政府主导、企业主体、群众参与。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4" w:hRule="atLeast"/>
        </w:trPr>
        <w:tc>
          <w:tcPr>
            <w:tcW w:w="886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建设标准：</w:t>
            </w:r>
            <w:r>
              <w:rPr>
                <w:rFonts w:hint="eastAsia" w:ascii="宋体" w:hAnsi="宋体" w:eastAsia="宋体" w:cs="宋体"/>
                <w:i w:val="0"/>
                <w:color w:val="auto"/>
                <w:kern w:val="0"/>
                <w:sz w:val="22"/>
                <w:szCs w:val="22"/>
                <w:highlight w:val="none"/>
                <w:u w:val="none"/>
                <w:lang w:val="en-US" w:eastAsia="zh-CN" w:bidi="ar"/>
              </w:rPr>
              <w:t>按现代农村、现代农业、智慧农业发展要求，集中力量设计一片、建成一片、示范带动一片、农民富裕一片，推动区域可持续发展。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886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资金筹措：</w:t>
            </w:r>
            <w:r>
              <w:rPr>
                <w:rFonts w:hint="eastAsia" w:ascii="宋体" w:hAnsi="宋体" w:eastAsia="宋体" w:cs="宋体"/>
                <w:i w:val="0"/>
                <w:color w:val="auto"/>
                <w:kern w:val="0"/>
                <w:sz w:val="22"/>
                <w:szCs w:val="22"/>
                <w:highlight w:val="none"/>
                <w:u w:val="none"/>
                <w:lang w:val="en-US" w:eastAsia="zh-CN" w:bidi="ar"/>
              </w:rPr>
              <w:t>对高稳产农田建设、石漠化治理、以工代赈、战区恢复建设、产业发展、农村旧房改造、产业扶持、水土保持、五小水利、乡村振兴、乡村旅游等建设资金进行整合。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886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建设模式：</w:t>
            </w:r>
            <w:r>
              <w:rPr>
                <w:rFonts w:hint="eastAsia" w:ascii="宋体" w:hAnsi="宋体" w:eastAsia="宋体" w:cs="宋体"/>
                <w:i w:val="0"/>
                <w:color w:val="auto"/>
                <w:kern w:val="0"/>
                <w:sz w:val="22"/>
                <w:szCs w:val="22"/>
                <w:highlight w:val="none"/>
                <w:u w:val="none"/>
                <w:lang w:val="en-US" w:eastAsia="zh-CN" w:bidi="ar"/>
              </w:rPr>
              <w:t>按三光石漠化“山、水、林、田、路、村、产业”综合治理方式。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1" w:hRule="atLeast"/>
        </w:trPr>
        <w:tc>
          <w:tcPr>
            <w:tcW w:w="88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建设区域：</w:t>
            </w:r>
            <w:r>
              <w:rPr>
                <w:rFonts w:hint="eastAsia" w:ascii="宋体" w:hAnsi="宋体" w:eastAsia="宋体" w:cs="宋体"/>
                <w:i w:val="0"/>
                <w:color w:val="auto"/>
                <w:kern w:val="0"/>
                <w:sz w:val="22"/>
                <w:szCs w:val="22"/>
                <w:highlight w:val="none"/>
                <w:u w:val="none"/>
                <w:lang w:val="en-US" w:eastAsia="zh-CN" w:bidi="ar"/>
              </w:rPr>
              <w:t>县城新区、兴街出口贸易加工新区、乡镇建设规划区、医养康旅建设区，那兴高速兴街至县城段两侧1-1.5公里内外地区。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15" w:name="_Toc10123"/>
      <w:bookmarkStart w:id="216" w:name="_Toc17435_WPSOffice_Level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第四章　加快推进医养康旅一体化发展示范区建设</w:t>
      </w:r>
      <w:bookmarkEnd w:id="215"/>
      <w:bookmarkEnd w:id="2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突出全域旅游策划规划，主动融入长三角一体化大背景下红色旅游合作和旅游精品线路连接，打造通边出境、通长三角、粤港澳精品线路。积极做好区域潜力调查与分析，坚持大众普惠城旅协调、定制体验的康旅互促规划思维，按规模设施适度超前原则，以香坪山旅游度假、国家石漠公园、东升红色小区、太阳文化旅游、农耕文化为核心，打造盆景西畴、千户壮乡为一体的4A级景区5个以上、3A级景区10个左右，医养康基地1个以上，合理布局全域旅游精品线路和医养康旅设施，拓展打造康养旅游新业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17" w:name="_Toc4302_WPSOffice_Level2"/>
      <w:bookmarkStart w:id="218" w:name="_Toc257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第五章　加快推进道地药材繁育种植示范区建设</w:t>
      </w:r>
      <w:bookmarkEnd w:id="217"/>
      <w:bookmarkEnd w:id="2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围绕三七、山豆根（苦参）、重楼等中药材种植，以石山片区为主，合理布局一批建设规模不等的道地药材繁育种植基地。坚持走“基地+合作社（公司）+龙头合作+公司”路子，积极抓好龙头企业的扶持培育，做好区域中药材的药理性能分析，打响区域道地药材品牌，实施中药材生产定制，推动我县中药材发展走上从原材料生产与粗加工基地不断向大型药业集团分厂(中心、基地)演化的路子，推动形成医药产业发展联合体，不断发展壮大中药材产业发展规模和延伸价值链。</w:t>
      </w:r>
    </w:p>
    <w:p>
      <w:pPr>
        <w:rPr>
          <w:rFonts w:hint="eastAsia" w:ascii="宋体" w:hAnsi="宋体" w:eastAsia="方正小标宋_GBK" w:cs="方正小标宋_GBK"/>
          <w:color w:val="auto"/>
          <w:sz w:val="36"/>
          <w:szCs w:val="36"/>
          <w:highlight w:val="none"/>
          <w:lang w:val="en-US" w:eastAsia="zh-CN"/>
        </w:rPr>
      </w:pPr>
      <w:r>
        <w:rPr>
          <w:rFonts w:hint="eastAsia" w:ascii="宋体" w:hAnsi="宋体" w:eastAsia="方正小标宋_GBK" w:cs="方正小标宋_GBK"/>
          <w:color w:val="auto"/>
          <w:sz w:val="36"/>
          <w:szCs w:val="36"/>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b w:val="0"/>
          <w:color w:val="auto"/>
          <w:kern w:val="2"/>
          <w:sz w:val="44"/>
          <w:szCs w:val="44"/>
          <w:highlight w:val="none"/>
          <w:lang w:val="en-US" w:eastAsia="zh-CN" w:bidi="ar-SA"/>
        </w:rPr>
      </w:pPr>
      <w:bookmarkStart w:id="219" w:name="_Toc17332_WPSOffice_Level1"/>
      <w:bookmarkStart w:id="220" w:name="_Toc20099_WPSOffice_Level1"/>
      <w:bookmarkStart w:id="221" w:name="_Toc11938"/>
      <w:bookmarkStart w:id="222" w:name="_Toc7780_WPSOffice_Level1"/>
      <w:bookmarkStart w:id="223" w:name="_Toc1037_WPSOffice_Level1"/>
      <w:bookmarkStart w:id="224" w:name="_Toc10332_WPSOffice_Level1"/>
      <w:bookmarkStart w:id="225" w:name="_Toc9008_WPSOffice_Level1"/>
      <w:bookmarkStart w:id="226" w:name="_Toc19972"/>
      <w:r>
        <w:rPr>
          <w:rFonts w:hint="eastAsia" w:ascii="宋体" w:hAnsi="宋体" w:eastAsia="方正小标宋_GBK" w:cs="方正小标宋_GBK"/>
          <w:b w:val="0"/>
          <w:color w:val="auto"/>
          <w:kern w:val="2"/>
          <w:sz w:val="44"/>
          <w:szCs w:val="44"/>
          <w:highlight w:val="none"/>
          <w:lang w:val="en-US" w:eastAsia="zh-CN" w:bidi="ar-SA"/>
        </w:rPr>
        <w:t xml:space="preserve">第七篇  </w:t>
      </w:r>
      <w:bookmarkEnd w:id="219"/>
      <w:bookmarkEnd w:id="220"/>
      <w:bookmarkEnd w:id="221"/>
      <w:bookmarkEnd w:id="222"/>
      <w:bookmarkEnd w:id="223"/>
      <w:bookmarkEnd w:id="224"/>
      <w:r>
        <w:rPr>
          <w:rFonts w:hint="eastAsia" w:ascii="宋体" w:hAnsi="宋体" w:eastAsia="方正小标宋_GBK" w:cs="方正小标宋_GBK"/>
          <w:b w:val="0"/>
          <w:color w:val="auto"/>
          <w:kern w:val="2"/>
          <w:sz w:val="44"/>
          <w:szCs w:val="44"/>
          <w:highlight w:val="none"/>
          <w:lang w:val="en-US" w:eastAsia="zh-CN" w:bidi="ar-SA"/>
        </w:rPr>
        <w:t>打造通往越南连接粤港澳大湾区重要通道</w:t>
      </w:r>
      <w:bookmarkEnd w:id="225"/>
      <w:bookmarkEnd w:id="22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抓住云南省将兴街纳入麻栗坡边境经济合作区建设机遇，找准深度融入“大循环、双循环”切入点，更好利用国际国内两个市场两种资源，实现经济循环流转和产业关联畅通，充分利用“七出省、五出境”高速公路网和“八出省、五出境”铁路网在县境内交汇的通道优势，切实抓好交通互联互通和乡村路面提档升级工程，推动县城和兴街陆港码头的优势度构建，推动一体化发展，成为支撑南部经济发展平台的主骨架，形成东中部与西部、内陆与沿边、国内与境外区域协调发展的核心通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27" w:name="_Toc26249"/>
      <w:bookmarkStart w:id="228" w:name="_Toc17342_WPSOffice_Level2"/>
      <w:bookmarkStart w:id="229" w:name="_Toc13786_WPSOffice_Level2"/>
      <w:bookmarkStart w:id="230" w:name="_Toc27292_WPSOffice_Level2"/>
      <w:bookmarkStart w:id="231" w:name="_Toc1154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第一章　</w:t>
      </w:r>
      <w:bookmarkEnd w:id="227"/>
      <w:bookmarkEnd w:id="228"/>
      <w:bookmarkEnd w:id="229"/>
      <w:r>
        <w:rPr>
          <w:rFonts w:hint="eastAsia" w:ascii="宋体" w:hAnsi="宋体" w:eastAsia="方正黑体_GBK" w:cs="方正黑体_GBK"/>
          <w:b w:val="0"/>
          <w:color w:val="auto"/>
          <w:kern w:val="2"/>
          <w:sz w:val="32"/>
          <w:szCs w:val="32"/>
          <w:highlight w:val="none"/>
          <w:lang w:val="en-US" w:eastAsia="zh-CN" w:bidi="ar-SA"/>
        </w:rPr>
        <w:t>坚持一张蓝图管终身</w:t>
      </w:r>
      <w:bookmarkEnd w:id="230"/>
      <w:bookmarkEnd w:id="23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充分发挥“临边接边”“大通道节点”地缘优势，按照“以城促产、以产兴城、产城一体、区域融合”发展模式，围绕“产业发展推动城镇振兴、城镇功能布局完善推进产业提质增效”和“两城引领、多点支撑、全域联动”构架，突出以外贸为重点，基础设施与产业发展相协调的规划思路，完善对外经济贸易和产业发展功能，积极打造清洁、美丽、宜居、产城融合发展的县城“北回归线康养宜居城镇”、兴街“加工贸易集成物流城镇”特色城镇，逐步构建成文山州地标级“边境经济新门户、时代新城新家园、产业发展新高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区域规划期一次展望到2035年。区域规划必须做好四个坚持：</w:t>
      </w:r>
      <w:r>
        <w:rPr>
          <w:rFonts w:hint="eastAsia" w:ascii="宋体" w:hAnsi="宋体" w:eastAsia="方正仿宋_GBK" w:cstheme="minorBidi"/>
          <w:b/>
          <w:bCs/>
          <w:color w:val="auto"/>
          <w:kern w:val="2"/>
          <w:sz w:val="32"/>
          <w:szCs w:val="32"/>
          <w:highlight w:val="none"/>
          <w:lang w:val="en-US" w:eastAsia="zh-CN" w:bidi="ar-SA"/>
        </w:rPr>
        <w:t>坚持区域发展特色化。</w:t>
      </w:r>
      <w:r>
        <w:rPr>
          <w:rFonts w:hint="eastAsia" w:ascii="宋体" w:hAnsi="宋体" w:eastAsia="方正仿宋_GBK" w:cstheme="minorBidi"/>
          <w:b w:val="0"/>
          <w:color w:val="auto"/>
          <w:kern w:val="2"/>
          <w:sz w:val="32"/>
          <w:szCs w:val="32"/>
          <w:highlight w:val="none"/>
          <w:lang w:val="en-US" w:eastAsia="zh-CN" w:bidi="ar-SA"/>
        </w:rPr>
        <w:t>突出县城人文贸易、兴街出口加工贸易、中间联接互为补充特点。</w:t>
      </w:r>
      <w:r>
        <w:rPr>
          <w:rFonts w:hint="eastAsia" w:ascii="宋体" w:hAnsi="宋体" w:eastAsia="方正仿宋_GBK" w:cstheme="minorBidi"/>
          <w:b/>
          <w:bCs/>
          <w:color w:val="auto"/>
          <w:kern w:val="2"/>
          <w:sz w:val="32"/>
          <w:szCs w:val="32"/>
          <w:highlight w:val="none"/>
          <w:lang w:val="en-US" w:eastAsia="zh-CN" w:bidi="ar-SA"/>
        </w:rPr>
        <w:t>坚持设施联接“零”接驳。</w:t>
      </w:r>
      <w:r>
        <w:rPr>
          <w:rFonts w:hint="eastAsia" w:ascii="宋体" w:hAnsi="宋体" w:eastAsia="方正仿宋_GBK" w:cstheme="minorBidi"/>
          <w:b w:val="0"/>
          <w:color w:val="auto"/>
          <w:kern w:val="2"/>
          <w:sz w:val="32"/>
          <w:szCs w:val="32"/>
          <w:highlight w:val="none"/>
          <w:lang w:val="en-US" w:eastAsia="zh-CN" w:bidi="ar-SA"/>
        </w:rPr>
        <w:t>按“出口加工区”“产业分类发展区”“经济贸易区”“信息交流区”“人文交流区”“物流分拨区”“路网接驳区”“两污治理区”“公共服务区”“群众生活区”十区相协调，合理布局“水、电、路、气、信息、排污、保洁、智慧管理网络”设施建设，努力做到人员流动与货物流通“零”接驳。</w:t>
      </w:r>
      <w:r>
        <w:rPr>
          <w:rFonts w:hint="eastAsia" w:ascii="宋体" w:hAnsi="宋体" w:eastAsia="方正仿宋_GBK" w:cstheme="minorBidi"/>
          <w:b/>
          <w:bCs/>
          <w:color w:val="auto"/>
          <w:kern w:val="2"/>
          <w:sz w:val="32"/>
          <w:szCs w:val="32"/>
          <w:highlight w:val="none"/>
          <w:lang w:val="en-US" w:eastAsia="zh-CN" w:bidi="ar-SA"/>
        </w:rPr>
        <w:t>坚持一张蓝图终身制。</w:t>
      </w:r>
      <w:r>
        <w:rPr>
          <w:rFonts w:hint="eastAsia" w:ascii="宋体" w:hAnsi="宋体" w:eastAsia="方正仿宋_GBK" w:cstheme="minorBidi"/>
          <w:b w:val="0"/>
          <w:color w:val="auto"/>
          <w:kern w:val="2"/>
          <w:sz w:val="32"/>
          <w:szCs w:val="32"/>
          <w:highlight w:val="none"/>
          <w:lang w:val="en-US" w:eastAsia="zh-CN" w:bidi="ar-SA"/>
        </w:rPr>
        <w:t>按规划一次形成，长期使用，中远期县城兴街能满足7万人生产生活，日货物进出吞吐量达到4000吨，注重土地资源节约利用和梯度开发，统筹规划用好地表、地下、空中三类资源，着力对县城和兴街小城镇区域规划进行长远性设计或修编，力求规划的超前性、全面性、预期性和完整性。</w:t>
      </w:r>
      <w:r>
        <w:rPr>
          <w:rFonts w:hint="eastAsia" w:ascii="宋体" w:hAnsi="宋体" w:eastAsia="方正仿宋_GBK" w:cstheme="minorBidi"/>
          <w:b/>
          <w:bCs/>
          <w:color w:val="auto"/>
          <w:kern w:val="2"/>
          <w:sz w:val="32"/>
          <w:szCs w:val="32"/>
          <w:highlight w:val="none"/>
          <w:lang w:val="en-US" w:eastAsia="zh-CN" w:bidi="ar-SA"/>
        </w:rPr>
        <w:t>坚持使用制度一次设定。</w:t>
      </w:r>
      <w:r>
        <w:rPr>
          <w:rFonts w:hint="eastAsia" w:ascii="宋体" w:hAnsi="宋体" w:eastAsia="方正仿宋_GBK" w:cstheme="minorBidi"/>
          <w:b w:val="0"/>
          <w:color w:val="auto"/>
          <w:kern w:val="2"/>
          <w:sz w:val="32"/>
          <w:szCs w:val="32"/>
          <w:highlight w:val="none"/>
          <w:lang w:val="en-US" w:eastAsia="zh-CN" w:bidi="ar-SA"/>
        </w:rPr>
        <w:t>建立健全规划实施监审制度、项目作业报批制度、违规作业处理制度、土地使用分类制度、项目投资承诺制度和“五个一”工程制度，严格规划控制，分期、分批开展高质量建设，逐步形成高质量发展枢纽。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32" w:name="_Toc6596_WPSOffice_Level2"/>
      <w:bookmarkStart w:id="233" w:name="_Toc8721_WPSOffice_Level2"/>
      <w:bookmarkStart w:id="234" w:name="_Toc23121_WPSOffice_Level2"/>
      <w:bookmarkStart w:id="235" w:name="_Toc9264"/>
      <w:bookmarkStart w:id="236" w:name="_Toc168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第二章　高质量打好通道经济基础设施建设翻身仗</w:t>
      </w:r>
      <w:bookmarkEnd w:id="232"/>
      <w:bookmarkEnd w:id="233"/>
      <w:bookmarkEnd w:id="234"/>
      <w:bookmarkEnd w:id="235"/>
      <w:bookmarkEnd w:id="23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坚持“规划为引领，制度为保障、引资(融资)为重点、项目为突破”建设思路，明细任务、压实责任，全面高质量打好枢纽建设翻身仗。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设立通道经济建设特别管理组织和分类管理组织，建立健全通道经济特别发展政策、措施和环境、技术、安全审查论证、评价制度，建立公用事业服务价格形成、调整和补偿制度，建立项目业主法律服务工作目标和年度目标等制度体系，建立“一个项目、一名领导、一个专班、一个方案、一套机制、一项测评、一项奖惩”工作机制。按通道区建设项目预算内补助资金争取类、地方债券资金争取类、社会资本参与类等资金融入渠道，设立枢纽区基础设施滚动项目专库和招商引资项目专库。开设“西畴县枢纽区建设”特别报道网页和市政基础设施、产业发展、公共服务等建设项目信息管理系统，深入落实外商投资条例、预算内资金支持政策、地方债券支持政策、金融支持政策、市场准入政策，按照“资金争取最大化、资金使用安全化、地方政府投入债务最小化”要求，扎实抓好项目研究分析，积极做好项目推荐，扎实抓好外商投资、预算内资金、地方债券和金融资金、社会资金的争取。建立区域项目审批特别“绿色通道”。</w:t>
      </w:r>
      <w:bookmarkStart w:id="237" w:name="_Toc14294"/>
      <w:bookmarkStart w:id="238" w:name="_Toc1401_WPSOffice_Level3"/>
      <w:r>
        <w:rPr>
          <w:rFonts w:hint="eastAsia" w:ascii="宋体" w:hAnsi="宋体" w:eastAsia="方正仿宋_GBK" w:cstheme="minorBidi"/>
          <w:b w:val="0"/>
          <w:color w:val="auto"/>
          <w:kern w:val="2"/>
          <w:sz w:val="32"/>
          <w:szCs w:val="32"/>
          <w:highlight w:val="none"/>
          <w:lang w:val="en-US" w:eastAsia="zh-CN" w:bidi="ar-SA"/>
        </w:rPr>
        <w:t>参照国家自由贸易陆港城镇、自由贸易区、保税物流区等建设的标准和要求，根据项目成熟条件，做到项目成熟一个建设一个，群众生活区成熟一片建设一片，依次有序推进县城和兴街小城镇建设。</w:t>
      </w:r>
    </w:p>
    <w:bookmarkEnd w:id="237"/>
    <w:bookmarkEnd w:id="238"/>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39" w:name="_Toc28368"/>
      <w:bookmarkStart w:id="240" w:name="_Toc20786_WPSOffice_Level2"/>
      <w:bookmarkStart w:id="241" w:name="_Toc20964_WPSOffice_Level2"/>
      <w:bookmarkStart w:id="242" w:name="_Toc8477_WPSOffice_Level2"/>
      <w:bookmarkStart w:id="243" w:name="_Toc2556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第三章  提升通道经济发展成效</w:t>
      </w:r>
      <w:bookmarkEnd w:id="239"/>
      <w:bookmarkEnd w:id="240"/>
      <w:bookmarkEnd w:id="241"/>
      <w:bookmarkEnd w:id="242"/>
      <w:bookmarkEnd w:id="24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积极发挥区域通道桥梁、生产资料和生活资料集散、产品深加工作用，着力抓好经济发展体制机制建设和实体经济引入与培育。立足县内外资源与市场，做好产业项目研究及相应产业项目效益分析，保证项目业主投入回收的预期，最大限度激励社会资本参与我县的经济建设，围绕《国家产业支持政策目录》《国家产业转移指导目录》，适时修订《西畴县产业准入负面清单(试行)》。根据国家法律法规和行业发展政策，制定或规范产业培育、实体经济发展刺激政策措施，抓好政银企合作机制，进一步理顺政银企沟通渠道，梳通项目建设障碍，全力解决项目业主发展遇到的困难与问题，积极营造宽松的投资营商环境。围绕资源开发利用、基础产业、文化产业、物流产业、进出口贸易、农产品加工、新技术利用、新兴产业，采取自主委托代理招商、产业承接与地方培育方式，千方百计抓好国内实力强劲企业，特别是注重商贸流通企业的引进，努力培育一批本土生产、加工、制造、流通或组装企业。对经济枢纽建设、保障、全程服务进行特别监督和管理，建立投资1000万元以上产业项目审批绿色通道机制和投资1亿元以上产业项目特别服务机制。依托互联网工程建设，下决心建好“西畴国际市场供需网络服务”平台及APP开发应用，构建信息准确、操作方便的跨境电商公共服务平台，推进服务贸易业发展。建立依托国内外新技术标准，开展种养业规模化、标准化、生态化示范园创建，推进技术交流合作与技术研发，推进技术服务业发展。围绕生产力空间布局和生产力发展，做好</w:t>
      </w:r>
      <w:r>
        <w:rPr>
          <w:rFonts w:hint="default" w:ascii="宋体" w:hAnsi="宋体" w:eastAsia="方正仿宋_GBK" w:cstheme="minorBidi"/>
          <w:b w:val="0"/>
          <w:color w:val="auto"/>
          <w:kern w:val="2"/>
          <w:sz w:val="32"/>
          <w:szCs w:val="32"/>
          <w:highlight w:val="none"/>
          <w:lang w:val="en-US" w:eastAsia="zh-CN" w:bidi="ar-SA"/>
        </w:rPr>
        <w:t>劳动力、土地、资本、企业家</w:t>
      </w:r>
      <w:r>
        <w:rPr>
          <w:rFonts w:hint="eastAsia" w:ascii="宋体" w:hAnsi="宋体" w:eastAsia="方正仿宋_GBK" w:cstheme="minorBidi"/>
          <w:b w:val="0"/>
          <w:color w:val="auto"/>
          <w:kern w:val="2"/>
          <w:sz w:val="32"/>
          <w:szCs w:val="32"/>
          <w:highlight w:val="none"/>
          <w:lang w:val="en-US" w:eastAsia="zh-CN" w:bidi="ar-SA"/>
        </w:rPr>
        <w:t>调查了解，健全信息资料，做好生产要素服务业配置发展，推进企业做强做大。抓好区域发展方向引导，积极发展创客创意、5G场景运用等产业。县城重点发展文化旅游和现代高端服务“1+1”产业集群，兴街重点发展以新材料、新包装等加工制造产业，大力发展智慧物流等战略性新兴产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44" w:name="_Toc12036_WPSOffice_Level2"/>
      <w:bookmarkStart w:id="245" w:name="_Toc340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第四章　加快通道经济建设</w:t>
      </w:r>
      <w:bookmarkEnd w:id="244"/>
      <w:bookmarkEnd w:id="24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46" w:name="_Toc19640"/>
      <w:bookmarkStart w:id="247" w:name="_Toc20964_WPSOffice_Level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r>
        <w:rPr>
          <w:rFonts w:hint="eastAsia" w:ascii="宋体" w:hAnsi="宋体" w:eastAsia="方正楷体_GBK" w:cs="方正楷体_GBK"/>
          <w:b w:val="0"/>
          <w:color w:val="auto"/>
          <w:kern w:val="2"/>
          <w:sz w:val="32"/>
          <w:szCs w:val="32"/>
          <w:highlight w:val="none"/>
          <w:lang w:val="en-US" w:eastAsia="zh-CN" w:bidi="ar-SA"/>
        </w:rPr>
        <w:t>第一节　加快布局文山经西畴到越南通道经济建设</w:t>
      </w:r>
      <w:bookmarkEnd w:id="246"/>
      <w:bookmarkEnd w:id="24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进一步提高廊道沿线资源利用能力、劳动力接纳能力，优化产业发展布局，以产品组装、农产品深加工、新兴产业培育为主要发展内容，合理承接东部地区的清洁产业，主动承担文山重大产业分工任务。突出与文山、砚山及工业园区半小时经济圈、生活圈融合配套好关联设施建设，布局和发展一批畜禽产业，提供优质畜禽产品，做好果蔬饮料、植物饮料、民族特需品、特色工艺品的开发，促进副业发展兴旺。主动对接工业园区产品分装品生产服务、发展相应包装产业。依托“中国铝谷”建设，做好电解铝下游产品生产，发展铝加工产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248" w:name="_Toc7288"/>
      <w:bookmarkStart w:id="249" w:name="_Toc12036_WPSOffice_Level3"/>
      <w:r>
        <w:rPr>
          <w:rFonts w:hint="eastAsia" w:ascii="宋体" w:hAnsi="宋体" w:eastAsia="方正楷体_GBK" w:cs="方正楷体_GBK"/>
          <w:b w:val="0"/>
          <w:color w:val="auto"/>
          <w:kern w:val="2"/>
          <w:sz w:val="32"/>
          <w:szCs w:val="32"/>
          <w:highlight w:val="none"/>
          <w:lang w:val="en-US" w:eastAsia="zh-CN" w:bidi="ar-SA"/>
        </w:rPr>
        <w:t>第二节　加快布局河口经西畴到粤港澳大湾区通道经济建设</w:t>
      </w:r>
      <w:bookmarkEnd w:id="248"/>
      <w:bookmarkEnd w:id="24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依托廊道土地资源、林木资源，发展现代农业、智慧农业、订单农业、订制农业。抓好木本油料、优质粮食、烤烟、水果、蔬菜、畜牧、渔业、糖料等农产业基地建设与培育，提高农产业设施化配置水平，扩大自动灌溉设备、节（农）药、节水型农业技术设备组装技术合成应用，抓好农旅融合、农商融合发展，不断提高廊道经济对经济社会发展的牵引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250" w:name="_Toc17479_WPSOffice_Level3"/>
      <w:bookmarkStart w:id="251" w:name="_Toc10049"/>
      <w:r>
        <w:rPr>
          <w:rFonts w:hint="eastAsia" w:ascii="宋体" w:hAnsi="宋体" w:eastAsia="方正楷体_GBK" w:cs="方正楷体_GBK"/>
          <w:b w:val="0"/>
          <w:color w:val="auto"/>
          <w:kern w:val="2"/>
          <w:sz w:val="32"/>
          <w:szCs w:val="32"/>
          <w:highlight w:val="none"/>
          <w:lang w:val="en-US" w:eastAsia="zh-CN" w:bidi="ar-SA"/>
        </w:rPr>
        <w:t>第三节　加快县城兴街同城化进程</w:t>
      </w:r>
      <w:bookmarkEnd w:id="250"/>
      <w:bookmarkEnd w:id="25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围绕“区域合作、两镇联动、物流先导、产业聚力、产城一体、融合共生”发展方向，以美丽县城为引领，扎实推进县城国家级文明城市、卫生城市、园林城市、生态文明示范县、双拥模范县、市域社会治理现代化合格城市建设，实现县城“7城同创”。突出“云南省面向南亚东南亚辐射中心前沿开放门户”“文山州辐射东南亚的区域性国际商贸物流中心”“以商贸物流、跨境电商、进出口加工、跨境旅游为主的外向型经济合作平台”“面向产城融合、区域一体化发展的边境经济合作示范区”，深入推进兴街跨境经济合作区建设。形成县城宜居康养，兴街跨境加工贸易，主题明确、特色鲜明、各有重点、互为补充的现代化特色小镇。以新型城镇化为重点，创新推动基础设施建设、实体经济引进与培育、政策制度建设与创新，抓好兴街商贸物流城、县城宜居康养城、县城至兴街各生产功能区布局与建设，提高区域要素集聚能力，将县城兴街打造成资源聚集、要素聚合重要栽体，推动各领域亮点不断形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2025年，枢纽建设专项规划及规划管理、激励机制、项目引进、工程建设、服务体系等制度的建设和完善取得明显进展，基础设施建设显著增强，服务能力和水平大幅提高，加工、贸易贡献突出，企业经济效益明显扩大，可持续发展的基础基本形成。美丽县城：2022年获得省政府命名。全国文明城市：2021—2022年建成省级文明城市，2024—2026年获得国家级文明城市县级提名。国家卫生城市：2020—2022年建成国家级卫生县城。国家园林城市：2022年建成省级园林县城。全国生态文明示范县：2024年建成省级生态文明示范县。全国双拥模范县：2022年建成省级双拥模范县，2024年建成国家级双拥模范县。全国市域社会治理现代化合格城市：2023年建成全国市域社会治理现代化合格城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2035年，优势产业、新兴产业发展明显，“传统产业+优势产业+新兴产业”的迭代产业体系全面建成，产城深度融合，高质量的“对外贸易中心、区域产城融合示范中心、区域资源结合应用示范中心、物流集散中心”全面建成。</w:t>
      </w:r>
    </w:p>
    <w:tbl>
      <w:tblPr>
        <w:tblStyle w:val="20"/>
        <w:tblW w:w="87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875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8"/>
                <w:szCs w:val="28"/>
                <w:highlight w:val="none"/>
                <w:u w:val="none"/>
              </w:rPr>
            </w:pPr>
            <w:r>
              <w:rPr>
                <w:rFonts w:hint="eastAsia" w:ascii="宋体" w:hAnsi="宋体" w:eastAsia="方正仿宋_GBK" w:cs="方正仿宋_GBK"/>
                <w:b/>
                <w:bCs/>
                <w:color w:val="auto"/>
                <w:sz w:val="32"/>
                <w:szCs w:val="32"/>
                <w:highlight w:val="none"/>
                <w:lang w:val="en-US" w:eastAsia="zh-CN"/>
              </w:rPr>
              <w:t>专栏10：</w:t>
            </w:r>
            <w:r>
              <w:rPr>
                <w:rFonts w:hint="eastAsia" w:ascii="宋体" w:hAnsi="宋体" w:eastAsia="方正仿宋_GBK" w:cs="方正仿宋_GBK"/>
                <w:b w:val="0"/>
                <w:bCs w:val="0"/>
                <w:color w:val="auto"/>
                <w:sz w:val="32"/>
                <w:szCs w:val="32"/>
                <w:highlight w:val="none"/>
                <w:lang w:val="en-US" w:eastAsia="zh-CN"/>
              </w:rPr>
              <w:t>通道经济重大工程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5" w:hRule="atLeast"/>
        </w:trPr>
        <w:tc>
          <w:tcPr>
            <w:tcW w:w="875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lang w:val="en-US" w:eastAsia="zh-CN"/>
              </w:rPr>
            </w:pPr>
            <w:r>
              <w:rPr>
                <w:rFonts w:hint="eastAsia" w:ascii="宋体" w:hAnsi="宋体" w:eastAsia="宋体" w:cs="宋体"/>
                <w:b/>
                <w:i w:val="0"/>
                <w:color w:val="auto"/>
                <w:sz w:val="22"/>
                <w:szCs w:val="22"/>
                <w:highlight w:val="none"/>
                <w:u w:val="none"/>
                <w:lang w:eastAsia="zh-CN"/>
              </w:rPr>
              <w:t>县城</w:t>
            </w:r>
            <w:r>
              <w:rPr>
                <w:rFonts w:hint="eastAsia" w:ascii="宋体" w:hAnsi="宋体" w:eastAsia="宋体" w:cs="宋体"/>
                <w:b/>
                <w:i w:val="0"/>
                <w:color w:val="auto"/>
                <w:sz w:val="22"/>
                <w:szCs w:val="22"/>
                <w:highlight w:val="none"/>
                <w:u w:val="none"/>
                <w:lang w:val="en-US" w:eastAsia="zh-CN"/>
              </w:rPr>
              <w:t>7城同创：</w:t>
            </w:r>
            <w:r>
              <w:rPr>
                <w:rFonts w:hint="eastAsia" w:ascii="宋体" w:hAnsi="宋体" w:eastAsia="宋体" w:cs="宋体"/>
                <w:i w:val="0"/>
                <w:color w:val="auto"/>
                <w:kern w:val="0"/>
                <w:sz w:val="22"/>
                <w:szCs w:val="22"/>
                <w:highlight w:val="none"/>
                <w:u w:val="none"/>
                <w:lang w:val="en-US" w:eastAsia="zh-CN" w:bidi="ar"/>
              </w:rPr>
              <w:t>全国文明城市、国家卫生城市、国家园林城市、全国生态文明示范县、全国双拥模范县、全国市域社会治理现代化合格城市、美丽县城</w:t>
            </w:r>
            <w:r>
              <w:rPr>
                <w:rFonts w:hint="eastAsia" w:ascii="宋体" w:hAnsi="宋体" w:eastAsia="宋体" w:cs="宋体"/>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8" w:hRule="atLeast"/>
        </w:trPr>
        <w:tc>
          <w:tcPr>
            <w:tcW w:w="875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县城兴街新区基础工程：</w:t>
            </w:r>
            <w:r>
              <w:rPr>
                <w:rFonts w:hint="eastAsia" w:ascii="宋体" w:hAnsi="宋体" w:eastAsia="宋体" w:cs="宋体"/>
                <w:i w:val="0"/>
                <w:color w:val="auto"/>
                <w:kern w:val="0"/>
                <w:sz w:val="22"/>
                <w:szCs w:val="22"/>
                <w:highlight w:val="none"/>
                <w:u w:val="none"/>
                <w:lang w:val="en-US" w:eastAsia="zh-CN" w:bidi="ar"/>
              </w:rPr>
              <w:t>地下供水管网、排水管网、排污管网、电网、信息网和地面附属设施。市政路网、防洪沟。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875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县城兴街新区配套工程：</w:t>
            </w:r>
            <w:r>
              <w:rPr>
                <w:rFonts w:hint="eastAsia" w:ascii="宋体" w:hAnsi="宋体" w:eastAsia="宋体" w:cs="宋体"/>
                <w:i w:val="0"/>
                <w:color w:val="auto"/>
                <w:kern w:val="0"/>
                <w:sz w:val="22"/>
                <w:szCs w:val="22"/>
                <w:highlight w:val="none"/>
                <w:u w:val="none"/>
                <w:lang w:val="en-US" w:eastAsia="zh-CN" w:bidi="ar"/>
              </w:rPr>
              <w:t>公厕、绿化、路灯、公园、健身场所、体育场地、智慧城市管理系统，医疗教育公共服务区、便民中心，相关物资集散、市场、交易信息、仓储、金融、保险、人文交流中心，产品制造、农民进城入镇等。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87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highlight w:val="none"/>
                <w:u w:val="none"/>
                <w:lang w:val="en-US" w:eastAsia="zh-CN" w:bidi="ar"/>
              </w:rPr>
            </w:pPr>
            <w:r>
              <w:rPr>
                <w:rFonts w:hint="eastAsia" w:ascii="宋体" w:hAnsi="宋体" w:eastAsia="宋体" w:cs="宋体"/>
                <w:b/>
                <w:i w:val="0"/>
                <w:color w:val="auto"/>
                <w:kern w:val="0"/>
                <w:sz w:val="22"/>
                <w:szCs w:val="22"/>
                <w:highlight w:val="none"/>
                <w:u w:val="none"/>
                <w:lang w:val="en-US" w:eastAsia="zh-CN" w:bidi="ar"/>
              </w:rPr>
              <w:t>县城兴街重点工程：</w:t>
            </w:r>
            <w:r>
              <w:rPr>
                <w:rFonts w:hint="eastAsia" w:ascii="宋体" w:hAnsi="宋体" w:eastAsia="宋体" w:cs="宋体"/>
                <w:i w:val="0"/>
                <w:color w:val="auto"/>
                <w:kern w:val="0"/>
                <w:sz w:val="22"/>
                <w:szCs w:val="22"/>
                <w:highlight w:val="none"/>
                <w:u w:val="none"/>
                <w:lang w:val="en-US" w:eastAsia="zh-CN" w:bidi="ar"/>
              </w:rPr>
              <w:t>商贸物流区（现代物流城）、宜居康养区（城）、农产品加工区、建材产品加工区、小商品加工区、民族医药初加工区相关设施配套等。</w:t>
            </w:r>
          </w:p>
        </w:tc>
      </w:tr>
    </w:tbl>
    <w:p>
      <w:pPr>
        <w:rPr>
          <w:rFonts w:hint="eastAsia" w:ascii="宋体" w:hAnsi="宋体" w:eastAsia="方正小标宋_GBK" w:cs="方正小标宋_GBK"/>
          <w:b/>
          <w:color w:val="auto"/>
          <w:kern w:val="44"/>
          <w:sz w:val="36"/>
          <w:szCs w:val="36"/>
          <w:highlight w:val="none"/>
          <w:lang w:val="en-US" w:eastAsia="zh-CN" w:bidi="ar"/>
        </w:rPr>
      </w:pPr>
      <w:bookmarkStart w:id="252" w:name="_Toc9751_WPSOffice_Level1"/>
      <w:bookmarkStart w:id="253" w:name="_Toc2573_WPSOffice_Level1"/>
      <w:bookmarkStart w:id="254" w:name="_Toc12138"/>
      <w:bookmarkStart w:id="255" w:name="_Toc27389_WPSOffice_Level1"/>
      <w:bookmarkStart w:id="256" w:name="_Toc8464_WPSOffice_Level1"/>
      <w:bookmarkStart w:id="257" w:name="_Toc8417_WPSOffice_Level1"/>
      <w:r>
        <w:rPr>
          <w:rFonts w:hint="eastAsia" w:ascii="宋体" w:hAnsi="宋体" w:eastAsia="方正小标宋_GBK" w:cs="方正小标宋_GBK"/>
          <w:b/>
          <w:color w:val="auto"/>
          <w:kern w:val="44"/>
          <w:sz w:val="36"/>
          <w:szCs w:val="36"/>
          <w:highlight w:val="none"/>
          <w:lang w:val="en-US" w:eastAsia="zh-CN" w:bidi="ar"/>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b w:val="0"/>
          <w:color w:val="auto"/>
          <w:kern w:val="2"/>
          <w:sz w:val="44"/>
          <w:szCs w:val="44"/>
          <w:highlight w:val="none"/>
          <w:lang w:val="en-US" w:eastAsia="zh-CN" w:bidi="ar-SA"/>
        </w:rPr>
      </w:pPr>
      <w:bookmarkStart w:id="258" w:name="_Toc27903"/>
      <w:bookmarkStart w:id="259" w:name="_Toc220_WPSOffice_Level1"/>
      <w:r>
        <w:rPr>
          <w:rFonts w:hint="eastAsia" w:ascii="宋体" w:hAnsi="宋体" w:eastAsia="方正小标宋_GBK" w:cs="方正小标宋_GBK"/>
          <w:b w:val="0"/>
          <w:color w:val="auto"/>
          <w:kern w:val="2"/>
          <w:sz w:val="44"/>
          <w:szCs w:val="44"/>
          <w:highlight w:val="none"/>
          <w:lang w:val="en-US" w:eastAsia="zh-CN" w:bidi="ar-SA"/>
        </w:rPr>
        <w:t>第八篇  坚持创新驱动发展 切实增强发展内生动力</w:t>
      </w:r>
      <w:bookmarkEnd w:id="258"/>
      <w:bookmarkEnd w:id="259"/>
      <w:bookmarkStart w:id="260" w:name="_Toc30704_WPSOffice_Level2"/>
      <w:bookmarkStart w:id="261" w:name="_Toc26476_WPSOffice_Level3"/>
      <w:bookmarkStart w:id="262" w:name="_Toc5396"/>
      <w:bookmarkStart w:id="263" w:name="_Toc17095_WPSOffice_Level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坚持创新在现代化建设全局中的核心地位，以培育壮大新动能为重点，深入实施创新驱动发展，激发创新驱动内生动力。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264" w:name="_Toc17479_WPSOffice_Level2"/>
      <w:bookmarkStart w:id="265" w:name="_Toc1149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第一章  创新绿色发展</w:t>
      </w:r>
      <w:bookmarkEnd w:id="260"/>
      <w:bookmarkEnd w:id="264"/>
      <w:bookmarkEnd w:id="26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266" w:name="_Toc19745_WPSOffice_Level3"/>
      <w:bookmarkStart w:id="267" w:name="_Toc2047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加快建立绿色、低碳、循环和可持续发展的经济体系，积极构建以市场为导向的绿色技术创新体系，大力发展绿色产业，促进绿色消费。</w:t>
      </w:r>
      <w:bookmarkEnd w:id="266"/>
      <w:bookmarkEnd w:id="26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着力高原特色农产品生产，注重资源节约与保护，切实做好小城镇开发边线控制，提高特色农产品质量、资源利用效率和新型城镇化发展质量。高质量推进兴街工业园区和现有工业企业发展，提高园区产出率和工业企业效益。严格产业准入负面清单制度，注重产业承接选择，合理布局发展一批农产品加工企业和清洁产业，延伸产业链，提高可持续发展能力。着力推进贸易流通业、服务业、旅游业发展，不断改进发展的结构、模式、办法措施，提高区域发展质量与水平，积极发展绿色产业、推行绿色创新、发展绿色金融，推进农业、旅游产业绿色创新，强化工业企业绿色生产、低碳排放和资源损坏管理，鼓励物流贸易绿色发展，探索建立生态产品价值实现机制，更加自觉地推动绿色循环低碳发展。重点发展特色农产、生态林果、绿色石材、康养旅游、贸易物流等产业，打造西畴生态绿色品牌，进一步挖掘全县发展潜力和资源优势，因势利导，推动西畴的绿水青山转化为金山银山， 全面建设“美丽经济”，争当“绿水青山就是金山银山”实践创新基地。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268" w:name="_Toc12159"/>
      <w:bookmarkStart w:id="269" w:name="_Toc26441_WPSOffice_Level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第二章　</w:t>
      </w:r>
      <w:bookmarkEnd w:id="261"/>
      <w:bookmarkEnd w:id="262"/>
      <w:bookmarkEnd w:id="263"/>
      <w:r>
        <w:rPr>
          <w:rFonts w:hint="eastAsia" w:ascii="宋体" w:hAnsi="宋体" w:eastAsia="方正黑体_GBK" w:cs="方正黑体_GBK"/>
          <w:b w:val="0"/>
          <w:color w:val="auto"/>
          <w:kern w:val="2"/>
          <w:sz w:val="32"/>
          <w:szCs w:val="32"/>
          <w:highlight w:val="none"/>
          <w:lang w:val="en-US" w:eastAsia="zh-CN" w:bidi="ar-SA"/>
        </w:rPr>
        <w:t>全面激发人才创新活力</w:t>
      </w:r>
      <w:bookmarkEnd w:id="268"/>
      <w:bookmarkEnd w:id="26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实施“人才强县”战略，加快完善人才制度体系，推进县校合作、县企合作，探索建立友好城市交流机制，推动人才互派交流，做好人才“引进来”和“走出去”工作。建立与大专院校、科研单位协作合作机制，推进产学研深度融合，抓好科技联盟实体，推动形成一批行业标准、优质品牌和技术应用模块，推进产学研深度融合，实现一批人才外援。依托国家实施定向培养计划，健全人才引进机制，围绕全产业链、低劳动成本，分类分层分模块开展培训，组织好产业带头人、新型产业经营服务主体经营者、返乡下乡创新创业者、专业种养加能手培养行动，建立以创新能力、质量、实效、贡献为导向的科技人才评价体系，实施高素质人才培养计划，抓好区域紧缺人才培训培养，实现自己培养一批。创新灵活高效人才引进使用机制，在创新创业、安家落户、子女教育、医疗养老等方面对各类科技人才强化服务，创新“人才+项目”“人才+产业”“人才+课题”工作思路，推进人才与具体工作有效对接，实现外来人才引得来、留得住、用得好。选派更多干部到发达地区挂职，学管理、学技术、学经验，全面提升人才服务经济社会发展的能力。建立县级科技顾问团、部门技术服务团下基层、推技术、扶产业、帮社会的长效工作机制，建设一批科技应用、科技推广田间（车间）课堂，打造一批科技转化示范样板，走出一条人才支撑提升技术、“技术（智能化）应用促高产品技术等级、高技术产品促产业高质量发展”的产业振兴之路。加强科普工作，推进科普基础设施建设，切实抓好五类人群的科普教育工作，努力提高全民科学素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270" w:name="_Toc23513_WPSOffice_Level2"/>
      <w:bookmarkStart w:id="271" w:name="_Toc1632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第三章  强化企业创新主体地位</w:t>
      </w:r>
      <w:bookmarkEnd w:id="270"/>
      <w:bookmarkEnd w:id="27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完善鼓励企业创新政策，支持本地企业建立完善研发组织体系和“创客”工作室，促进各类创新要素向企业集聚。强化龙头企业科技引领作用，大力发展科技使用型中小企业。持续提高研发经费投入，加大对科技创新的支持力度。健全领导干部挂联重点民营企业制度和司法部门服务联系重点民营企业制度，完善构建亲清政商关系的制度措施，建立促进民营企业健康发展制度，促进民营企业创新发展，加快构建个转企、小升规、规改股、股上市的梯度培养机制，促进民营经济健康发展和民营企业人士健康成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272" w:name="_Toc5015_WPSOffice_Level2"/>
      <w:bookmarkStart w:id="273" w:name="_Toc2713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第四章  加强创新驱动系统集成</w:t>
      </w:r>
      <w:bookmarkEnd w:id="272"/>
      <w:bookmarkEnd w:id="27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实施“科技强县”行动，统筹推进自主创新和开放创新，完善党委政府与行业协会商会、民营企业沟通协调机制，推进政企在制定实施政策、构建产业发展生态圈上协同发力。以体制创新为突破，不断提升创新发展质量效益，全面加快形成产业链上下游合作创新、大中小企业协同并进的实体经济发展新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274" w:name="_Toc12461"/>
      <w:bookmarkStart w:id="275" w:name="_Toc24959_WPSOffice_Level2"/>
      <w:r>
        <w:rPr>
          <w:rFonts w:hint="eastAsia" w:ascii="宋体" w:hAnsi="宋体" w:eastAsia="方正黑体_GBK" w:cs="方正黑体_GBK"/>
          <w:b w:val="0"/>
          <w:color w:val="auto"/>
          <w:kern w:val="2"/>
          <w:sz w:val="32"/>
          <w:szCs w:val="32"/>
          <w:highlight w:val="none"/>
          <w:lang w:val="en-US" w:eastAsia="zh-CN" w:bidi="ar-SA"/>
        </w:rPr>
        <w:t>第五章  提升科技创新能力</w:t>
      </w:r>
      <w:bookmarkEnd w:id="274"/>
      <w:bookmarkEnd w:id="27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深化科技体制改革，完善科技治理体系，推动重点领域项目、资金、人才、基地一体化配置，全面增强重点领域创新能力，学习新理念新要求，引进新技术新设备，争取更多创新突破。健全科技成果转移转化服务体系，引导和支持企业提高技术创新、产品研发、利用和转化科技成果的能力。引导企业加强高技术人才引进与科技研发投入，推进企业内部技术革新，对企业经济发展贡献较大的科技成果给予奖励，切实做好知识产权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b w:val="0"/>
          <w:color w:val="auto"/>
          <w:kern w:val="2"/>
          <w:sz w:val="44"/>
          <w:szCs w:val="44"/>
          <w:highlight w:val="none"/>
          <w:lang w:val="en-US" w:eastAsia="zh-CN" w:bidi="ar-SA"/>
        </w:rPr>
      </w:pPr>
      <w:bookmarkStart w:id="276" w:name="_Toc32703_WPSOffice_Level1"/>
      <w:bookmarkStart w:id="277" w:name="_Toc18714"/>
      <w:r>
        <w:rPr>
          <w:rFonts w:hint="eastAsia" w:ascii="宋体" w:hAnsi="宋体" w:eastAsia="方正小标宋_GBK" w:cs="方正小标宋_GBK"/>
          <w:b w:val="0"/>
          <w:color w:val="auto"/>
          <w:kern w:val="2"/>
          <w:sz w:val="44"/>
          <w:szCs w:val="44"/>
          <w:highlight w:val="none"/>
          <w:lang w:val="en-US" w:eastAsia="zh-CN" w:bidi="ar-SA"/>
        </w:rPr>
        <w:t>第九篇　巩固和拓展脱贫攻坚成果 加快推进乡村振兴</w:t>
      </w:r>
      <w:bookmarkEnd w:id="276"/>
      <w:bookmarkEnd w:id="27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278" w:name="_Toc17494"/>
      <w:bookmarkStart w:id="279" w:name="_Toc14347_WPSOffice_Level2"/>
      <w:r>
        <w:rPr>
          <w:rFonts w:hint="eastAsia" w:ascii="宋体" w:hAnsi="宋体" w:eastAsia="方正黑体_GBK" w:cs="方正黑体_GBK"/>
          <w:b w:val="0"/>
          <w:color w:val="auto"/>
          <w:kern w:val="2"/>
          <w:sz w:val="32"/>
          <w:szCs w:val="32"/>
          <w:highlight w:val="none"/>
          <w:lang w:val="en-US" w:eastAsia="zh-CN" w:bidi="ar-SA"/>
        </w:rPr>
        <w:t>第一章　全力巩固脱贫成果</w:t>
      </w:r>
      <w:bookmarkEnd w:id="278"/>
      <w:bookmarkEnd w:id="27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围绕</w:t>
      </w:r>
      <w:r>
        <w:rPr>
          <w:rFonts w:hint="default" w:ascii="宋体" w:hAnsi="宋体" w:eastAsia="方正仿宋_GBK" w:cstheme="minorBidi"/>
          <w:b w:val="0"/>
          <w:color w:val="auto"/>
          <w:kern w:val="2"/>
          <w:sz w:val="32"/>
          <w:szCs w:val="32"/>
          <w:highlight w:val="none"/>
          <w:lang w:val="en-US" w:eastAsia="zh-CN" w:bidi="ar-SA"/>
        </w:rPr>
        <w:t>乡村特色产业帮扶、稳定就业帮扶、易地扶贫搬迁后续帮扶、生态经济发展、乡村基础设施建设</w:t>
      </w:r>
      <w:r>
        <w:rPr>
          <w:rFonts w:hint="eastAsia" w:ascii="宋体" w:hAnsi="宋体" w:eastAsia="方正仿宋_GBK" w:cstheme="minorBidi"/>
          <w:b w:val="0"/>
          <w:color w:val="auto"/>
          <w:kern w:val="2"/>
          <w:sz w:val="32"/>
          <w:szCs w:val="32"/>
          <w:highlight w:val="none"/>
          <w:lang w:val="en-US" w:eastAsia="zh-CN" w:bidi="ar-SA"/>
        </w:rPr>
        <w:t>和</w:t>
      </w:r>
      <w:r>
        <w:rPr>
          <w:rFonts w:hint="default" w:ascii="宋体" w:hAnsi="宋体" w:eastAsia="方正仿宋_GBK" w:cstheme="minorBidi"/>
          <w:b w:val="0"/>
          <w:color w:val="auto"/>
          <w:kern w:val="2"/>
          <w:sz w:val="32"/>
          <w:szCs w:val="32"/>
          <w:highlight w:val="none"/>
          <w:lang w:val="en-US" w:eastAsia="zh-CN" w:bidi="ar-SA"/>
        </w:rPr>
        <w:t>乡村公共服务提升</w:t>
      </w:r>
      <w:r>
        <w:rPr>
          <w:rFonts w:hint="eastAsia" w:ascii="宋体" w:hAnsi="宋体" w:eastAsia="方正仿宋_GBK" w:cstheme="minorBidi"/>
          <w:b w:val="0"/>
          <w:color w:val="auto"/>
          <w:kern w:val="2"/>
          <w:sz w:val="32"/>
          <w:szCs w:val="32"/>
          <w:highlight w:val="none"/>
          <w:lang w:val="en-US" w:eastAsia="zh-CN" w:bidi="ar-SA"/>
        </w:rPr>
        <w:t>六大工程，继续发挥国家定点帮扶、西部协作帮扶、省州县乡挂钩帮扶和社会力量帮扶优势，努力绘就农村美、农业强、农民富的美好图景。</w:t>
      </w:r>
      <w:r>
        <w:rPr>
          <w:rFonts w:hint="eastAsia" w:ascii="宋体" w:hAnsi="宋体" w:eastAsia="方正仿宋_GBK" w:cstheme="minorBidi"/>
          <w:b/>
          <w:bCs/>
          <w:color w:val="auto"/>
          <w:kern w:val="2"/>
          <w:sz w:val="32"/>
          <w:szCs w:val="32"/>
          <w:highlight w:val="none"/>
          <w:lang w:val="en-US" w:eastAsia="zh-CN" w:bidi="ar-SA"/>
        </w:rPr>
        <w:t>保持脱贫攻坚政策总体稳定。</w:t>
      </w:r>
      <w:r>
        <w:rPr>
          <w:rFonts w:hint="eastAsia" w:ascii="宋体" w:hAnsi="宋体" w:eastAsia="方正仿宋_GBK" w:cstheme="minorBidi"/>
          <w:b w:val="0"/>
          <w:color w:val="auto"/>
          <w:kern w:val="2"/>
          <w:sz w:val="32"/>
          <w:szCs w:val="32"/>
          <w:highlight w:val="none"/>
          <w:lang w:val="en-US" w:eastAsia="zh-CN" w:bidi="ar-SA"/>
        </w:rPr>
        <w:t>严格落实“四个不摘”要求，健全防止返贫的动态监测和帮扶机制，认真落实脱贫监测户、边缘易致贫户等低收入群体防贫返贫相关政策措施。持续完善产业、就业、科技、教育、社会保障等扶贫长效机制，强化对易地扶贫搬迁后续扶持，增强内生发展动力，巩固拓展脱贫攻坚成果。</w:t>
      </w:r>
      <w:r>
        <w:rPr>
          <w:rFonts w:hint="eastAsia" w:ascii="宋体" w:hAnsi="宋体" w:eastAsia="方正仿宋_GBK" w:cstheme="minorBidi"/>
          <w:b/>
          <w:bCs/>
          <w:color w:val="auto"/>
          <w:kern w:val="2"/>
          <w:sz w:val="32"/>
          <w:szCs w:val="32"/>
          <w:highlight w:val="none"/>
          <w:lang w:val="en-US" w:eastAsia="zh-CN" w:bidi="ar-SA"/>
        </w:rPr>
        <w:t>全力做好脱贫巩固机制。</w:t>
      </w:r>
      <w:r>
        <w:rPr>
          <w:rFonts w:hint="eastAsia" w:ascii="宋体" w:hAnsi="宋体" w:eastAsia="方正仿宋_GBK" w:cstheme="minorBidi"/>
          <w:b w:val="0"/>
          <w:color w:val="auto"/>
          <w:kern w:val="2"/>
          <w:sz w:val="32"/>
          <w:szCs w:val="32"/>
          <w:highlight w:val="none"/>
          <w:lang w:val="en-US" w:eastAsia="zh-CN" w:bidi="ar-SA"/>
        </w:rPr>
        <w:t>探索承土地包经营者与流转者之间的权益联盟、劳动力应用机制，推动脱贫家庭土地、山林承包经营权流转，建立财政、社会组织、企业、社会扶贫基金筹集机制和扶贫基金应用监管制度，健全社会多渠道密切保障联系机制，健全完善脱贫攻坚向乡村振兴平稳过渡的工作机制，同时建立民政、医保、社保、教育扶持政策联合保障应对机制。</w:t>
      </w:r>
      <w:r>
        <w:rPr>
          <w:rFonts w:hint="eastAsia" w:ascii="宋体" w:hAnsi="宋体" w:eastAsia="方正仿宋_GBK" w:cstheme="minorBidi"/>
          <w:b/>
          <w:bCs/>
          <w:color w:val="auto"/>
          <w:kern w:val="2"/>
          <w:sz w:val="32"/>
          <w:szCs w:val="32"/>
          <w:highlight w:val="none"/>
          <w:lang w:val="en-US" w:eastAsia="zh-CN" w:bidi="ar-SA"/>
        </w:rPr>
        <w:t>给予产业扶持和发展照顾。</w:t>
      </w:r>
      <w:r>
        <w:rPr>
          <w:rFonts w:hint="eastAsia" w:ascii="宋体" w:hAnsi="宋体" w:eastAsia="方正仿宋_GBK" w:cstheme="minorBidi"/>
          <w:b w:val="0"/>
          <w:color w:val="auto"/>
          <w:kern w:val="2"/>
          <w:sz w:val="32"/>
          <w:szCs w:val="32"/>
          <w:highlight w:val="none"/>
          <w:lang w:val="en-US" w:eastAsia="zh-CN" w:bidi="ar-SA"/>
        </w:rPr>
        <w:t>对不适宜土地山林流转，不属于搬迁范畴的，采取区域行政事业部门、企业定点定向联系协作帮扶，在资金、技术、产品销售、就业等方面给予支持和扶持，发展与群众生产相适应的产业来增加收入。</w:t>
      </w:r>
      <w:r>
        <w:rPr>
          <w:rFonts w:hint="eastAsia" w:ascii="宋体" w:hAnsi="宋体" w:eastAsia="方正仿宋_GBK" w:cstheme="minorBidi"/>
          <w:b/>
          <w:bCs/>
          <w:color w:val="auto"/>
          <w:kern w:val="2"/>
          <w:sz w:val="32"/>
          <w:szCs w:val="32"/>
          <w:highlight w:val="none"/>
          <w:lang w:val="en-US" w:eastAsia="zh-CN" w:bidi="ar-SA"/>
        </w:rPr>
        <w:t>拉动低收入群体增收。</w:t>
      </w:r>
      <w:r>
        <w:rPr>
          <w:rFonts w:hint="eastAsia" w:ascii="宋体" w:hAnsi="宋体" w:eastAsia="方正仿宋_GBK" w:cstheme="minorBidi"/>
          <w:b w:val="0"/>
          <w:color w:val="auto"/>
          <w:kern w:val="2"/>
          <w:sz w:val="32"/>
          <w:szCs w:val="32"/>
          <w:highlight w:val="none"/>
          <w:lang w:val="en-US" w:eastAsia="zh-CN" w:bidi="ar-SA"/>
        </w:rPr>
        <w:t>稳定或优化烤烟、甘蔗、水果、蔬菜等种植业，布局和发展一批畜牧企业和畜牧产品精深加工企业，着力培育一批实力强大的外贸企业，抓好资源开发，促进旅游业发展，同时发展养老、托育、家政、健身、快递、配送、中介、小区物业、农村保洁、城镇治安等公益性服务业，增加用工岗位，提高低收入群体用工比重，促进低收入群体收入增加。</w:t>
      </w:r>
      <w:bookmarkStart w:id="280" w:name="_Toc22584_WPSOffice_Level2"/>
      <w:bookmarkStart w:id="281" w:name="_Toc14929_WPSOffice_Level2"/>
      <w:bookmarkStart w:id="282" w:name="_Toc2466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283" w:name="_Toc10057"/>
      <w:bookmarkStart w:id="284" w:name="_Toc21645_WPSOffice_Level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第二章  推进城乡融合发展</w:t>
      </w:r>
      <w:bookmarkEnd w:id="280"/>
      <w:bookmarkEnd w:id="281"/>
      <w:bookmarkEnd w:id="282"/>
      <w:bookmarkEnd w:id="283"/>
      <w:bookmarkEnd w:id="28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推动以人为核心的新型城镇化，为继续实施好美丽县城建设，进一步补齐县城短板弱项，抓好兴街小城镇建设，提升城市综合承载能力。将西洒、兴街两镇部分村委会职能转化成社区服务职能，以协调推进乡村振兴战略和新型城镇化战略为抓手，建立统一城镇落户、城乡</w:t>
      </w:r>
      <w:r>
        <w:rPr>
          <w:rFonts w:hint="eastAsia" w:ascii="宋体" w:hAnsi="宋体" w:eastAsia="方正仿宋_GBK" w:cstheme="minorBidi"/>
          <w:b w:val="0"/>
          <w:color w:val="auto"/>
          <w:kern w:val="2"/>
          <w:sz w:val="32"/>
          <w:szCs w:val="32"/>
          <w:highlight w:val="none"/>
          <w:lang w:val="en-US" w:eastAsia="zh-CN" w:bidi="ar-SA"/>
        </w:rPr>
        <w:fldChar w:fldCharType="begin"/>
      </w:r>
      <w:r>
        <w:rPr>
          <w:rFonts w:hint="eastAsia" w:ascii="宋体" w:hAnsi="宋体" w:eastAsia="方正仿宋_GBK" w:cstheme="minorBidi"/>
          <w:b w:val="0"/>
          <w:color w:val="auto"/>
          <w:kern w:val="2"/>
          <w:sz w:val="32"/>
          <w:szCs w:val="32"/>
          <w:highlight w:val="none"/>
          <w:lang w:val="en-US" w:eastAsia="zh-CN" w:bidi="ar-SA"/>
        </w:rPr>
        <w:instrText xml:space="preserve"> HYPERLINK "https://www.tuliu.com/tags/310.html" \t "https://www.tuliu.com/_blank" </w:instrText>
      </w:r>
      <w:r>
        <w:rPr>
          <w:rFonts w:hint="eastAsia" w:ascii="宋体" w:hAnsi="宋体" w:eastAsia="方正仿宋_GBK" w:cstheme="minorBidi"/>
          <w:b w:val="0"/>
          <w:color w:val="auto"/>
          <w:kern w:val="2"/>
          <w:sz w:val="32"/>
          <w:szCs w:val="32"/>
          <w:highlight w:val="none"/>
          <w:lang w:val="en-US" w:eastAsia="zh-CN" w:bidi="ar-SA"/>
        </w:rPr>
        <w:fldChar w:fldCharType="separate"/>
      </w:r>
      <w:r>
        <w:rPr>
          <w:rFonts w:hint="eastAsia" w:ascii="宋体" w:hAnsi="宋体" w:eastAsia="方正仿宋_GBK" w:cstheme="minorBidi"/>
          <w:b w:val="0"/>
          <w:color w:val="auto"/>
          <w:kern w:val="2"/>
          <w:sz w:val="32"/>
          <w:szCs w:val="32"/>
          <w:highlight w:val="none"/>
          <w:lang w:val="en-US" w:eastAsia="zh-CN" w:bidi="ar-SA"/>
        </w:rPr>
        <w:t>建设用地</w:t>
      </w:r>
      <w:r>
        <w:rPr>
          <w:rFonts w:hint="eastAsia" w:ascii="宋体" w:hAnsi="宋体" w:eastAsia="方正仿宋_GBK" w:cstheme="minorBidi"/>
          <w:b w:val="0"/>
          <w:color w:val="auto"/>
          <w:kern w:val="2"/>
          <w:sz w:val="32"/>
          <w:szCs w:val="32"/>
          <w:highlight w:val="none"/>
          <w:lang w:val="en-US" w:eastAsia="zh-CN" w:bidi="ar-SA"/>
        </w:rPr>
        <w:fldChar w:fldCharType="end"/>
      </w:r>
      <w:r>
        <w:rPr>
          <w:rFonts w:hint="eastAsia" w:ascii="宋体" w:hAnsi="宋体" w:eastAsia="方正仿宋_GBK" w:cstheme="minorBidi"/>
          <w:b w:val="0"/>
          <w:color w:val="auto"/>
          <w:kern w:val="2"/>
          <w:sz w:val="32"/>
          <w:szCs w:val="32"/>
          <w:highlight w:val="none"/>
          <w:lang w:val="en-US" w:eastAsia="zh-CN" w:bidi="ar-SA"/>
        </w:rPr>
        <w:t>市场、</w:t>
      </w:r>
      <w:r>
        <w:rPr>
          <w:rFonts w:hint="eastAsia" w:ascii="宋体" w:hAnsi="宋体" w:eastAsia="方正仿宋_GBK" w:cstheme="minorBidi"/>
          <w:b w:val="0"/>
          <w:color w:val="auto"/>
          <w:kern w:val="2"/>
          <w:sz w:val="32"/>
          <w:szCs w:val="32"/>
          <w:highlight w:val="none"/>
          <w:lang w:val="en-US" w:eastAsia="zh-CN" w:bidi="ar-SA"/>
        </w:rPr>
        <w:fldChar w:fldCharType="begin"/>
      </w:r>
      <w:r>
        <w:rPr>
          <w:rFonts w:hint="eastAsia" w:ascii="宋体" w:hAnsi="宋体" w:eastAsia="方正仿宋_GBK" w:cstheme="minorBidi"/>
          <w:b w:val="0"/>
          <w:color w:val="auto"/>
          <w:kern w:val="2"/>
          <w:sz w:val="32"/>
          <w:szCs w:val="32"/>
          <w:highlight w:val="none"/>
          <w:lang w:val="en-US" w:eastAsia="zh-CN" w:bidi="ar-SA"/>
        </w:rPr>
        <w:instrText xml:space="preserve"> HYPERLINK "https://www.tuliu.com/tags/292.html" \t "https://www.tuliu.com/_blank" </w:instrText>
      </w:r>
      <w:r>
        <w:rPr>
          <w:rFonts w:hint="eastAsia" w:ascii="宋体" w:hAnsi="宋体" w:eastAsia="方正仿宋_GBK" w:cstheme="minorBidi"/>
          <w:b w:val="0"/>
          <w:color w:val="auto"/>
          <w:kern w:val="2"/>
          <w:sz w:val="32"/>
          <w:szCs w:val="32"/>
          <w:highlight w:val="none"/>
          <w:lang w:val="en-US" w:eastAsia="zh-CN" w:bidi="ar-SA"/>
        </w:rPr>
        <w:fldChar w:fldCharType="separate"/>
      </w:r>
      <w:r>
        <w:rPr>
          <w:rFonts w:hint="eastAsia" w:ascii="宋体" w:hAnsi="宋体" w:eastAsia="方正仿宋_GBK" w:cstheme="minorBidi"/>
          <w:b w:val="0"/>
          <w:color w:val="auto"/>
          <w:kern w:val="2"/>
          <w:sz w:val="32"/>
          <w:szCs w:val="32"/>
          <w:highlight w:val="none"/>
          <w:lang w:val="en-US" w:eastAsia="zh-CN" w:bidi="ar-SA"/>
        </w:rPr>
        <w:t>农村产权</w:t>
      </w:r>
      <w:r>
        <w:rPr>
          <w:rFonts w:hint="eastAsia" w:ascii="宋体" w:hAnsi="宋体" w:eastAsia="方正仿宋_GBK" w:cstheme="minorBidi"/>
          <w:b w:val="0"/>
          <w:color w:val="auto"/>
          <w:kern w:val="2"/>
          <w:sz w:val="32"/>
          <w:szCs w:val="32"/>
          <w:highlight w:val="none"/>
          <w:lang w:val="en-US" w:eastAsia="zh-CN" w:bidi="ar-SA"/>
        </w:rPr>
        <w:fldChar w:fldCharType="end"/>
      </w:r>
      <w:r>
        <w:rPr>
          <w:rFonts w:hint="eastAsia" w:ascii="宋体" w:hAnsi="宋体" w:eastAsia="方正仿宋_GBK" w:cstheme="minorBidi"/>
          <w:b w:val="0"/>
          <w:color w:val="auto"/>
          <w:kern w:val="2"/>
          <w:sz w:val="32"/>
          <w:szCs w:val="32"/>
          <w:highlight w:val="none"/>
          <w:lang w:val="en-US" w:eastAsia="zh-CN" w:bidi="ar-SA"/>
        </w:rPr>
        <w:t>保护交易制度框架，打通城乡发展要素自由流动通道，健全返乡下乡</w:t>
      </w:r>
      <w:r>
        <w:rPr>
          <w:rFonts w:hint="eastAsia" w:ascii="宋体" w:hAnsi="宋体" w:eastAsia="方正仿宋_GBK" w:cstheme="minorBidi"/>
          <w:b w:val="0"/>
          <w:color w:val="auto"/>
          <w:kern w:val="2"/>
          <w:sz w:val="32"/>
          <w:szCs w:val="32"/>
          <w:highlight w:val="none"/>
          <w:lang w:val="en-US" w:eastAsia="zh-CN" w:bidi="ar-SA"/>
        </w:rPr>
        <w:fldChar w:fldCharType="begin"/>
      </w:r>
      <w:r>
        <w:rPr>
          <w:rFonts w:hint="eastAsia" w:ascii="宋体" w:hAnsi="宋体" w:eastAsia="方正仿宋_GBK" w:cstheme="minorBidi"/>
          <w:b w:val="0"/>
          <w:color w:val="auto"/>
          <w:kern w:val="2"/>
          <w:sz w:val="32"/>
          <w:szCs w:val="32"/>
          <w:highlight w:val="none"/>
          <w:lang w:val="en-US" w:eastAsia="zh-CN" w:bidi="ar-SA"/>
        </w:rPr>
        <w:instrText xml:space="preserve"> HYPERLINK "https://www.tuliu.com/news/list-c166" \t "https://www.tuliu.com/_blank" </w:instrText>
      </w:r>
      <w:r>
        <w:rPr>
          <w:rFonts w:hint="eastAsia" w:ascii="宋体" w:hAnsi="宋体" w:eastAsia="方正仿宋_GBK" w:cstheme="minorBidi"/>
          <w:b w:val="0"/>
          <w:color w:val="auto"/>
          <w:kern w:val="2"/>
          <w:sz w:val="32"/>
          <w:szCs w:val="32"/>
          <w:highlight w:val="none"/>
          <w:lang w:val="en-US" w:eastAsia="zh-CN" w:bidi="ar-SA"/>
        </w:rPr>
        <w:fldChar w:fldCharType="separate"/>
      </w:r>
      <w:r>
        <w:rPr>
          <w:rFonts w:hint="eastAsia" w:ascii="宋体" w:hAnsi="宋体" w:eastAsia="方正仿宋_GBK" w:cstheme="minorBidi"/>
          <w:b w:val="0"/>
          <w:color w:val="auto"/>
          <w:kern w:val="2"/>
          <w:sz w:val="32"/>
          <w:szCs w:val="32"/>
          <w:highlight w:val="none"/>
          <w:lang w:val="en-US" w:eastAsia="zh-CN" w:bidi="ar-SA"/>
        </w:rPr>
        <w:t>创业</w:t>
      </w:r>
      <w:r>
        <w:rPr>
          <w:rFonts w:hint="eastAsia" w:ascii="宋体" w:hAnsi="宋体" w:eastAsia="方正仿宋_GBK" w:cstheme="minorBidi"/>
          <w:b w:val="0"/>
          <w:color w:val="auto"/>
          <w:kern w:val="2"/>
          <w:sz w:val="32"/>
          <w:szCs w:val="32"/>
          <w:highlight w:val="none"/>
          <w:lang w:val="en-US" w:eastAsia="zh-CN" w:bidi="ar-SA"/>
        </w:rPr>
        <w:fldChar w:fldCharType="end"/>
      </w:r>
      <w:r>
        <w:rPr>
          <w:rFonts w:hint="eastAsia" w:ascii="宋体" w:hAnsi="宋体" w:eastAsia="方正仿宋_GBK" w:cstheme="minorBidi"/>
          <w:b w:val="0"/>
          <w:color w:val="auto"/>
          <w:kern w:val="2"/>
          <w:sz w:val="32"/>
          <w:szCs w:val="32"/>
          <w:highlight w:val="none"/>
          <w:lang w:val="en-US" w:eastAsia="zh-CN" w:bidi="ar-SA"/>
        </w:rPr>
        <w:t>制度和城乡融合发展体制机制，稳步提高城乡基本公共服务均等化水平，建立和完善城乡治理体系，城乡发展差距和居民生活水平差距明显缩小。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285" w:name="_Toc16370"/>
      <w:bookmarkStart w:id="286" w:name="_Toc26441_WPSOffice_Level3"/>
      <w:bookmarkStart w:id="287" w:name="_Toc23019"/>
      <w:bookmarkStart w:id="288" w:name="_Toc4316_WPSOffice_Level3"/>
      <w:bookmarkStart w:id="289" w:name="_Toc30575_WPSOffice_Level3"/>
      <w:r>
        <w:rPr>
          <w:rFonts w:hint="eastAsia" w:ascii="宋体" w:hAnsi="宋体" w:eastAsia="方正楷体_GBK" w:cs="方正楷体_GBK"/>
          <w:b w:val="0"/>
          <w:color w:val="auto"/>
          <w:kern w:val="2"/>
          <w:sz w:val="32"/>
          <w:szCs w:val="32"/>
          <w:highlight w:val="none"/>
          <w:lang w:val="en-US" w:eastAsia="zh-CN" w:bidi="ar-SA"/>
        </w:rPr>
        <w:t>第一节  优化城乡要素合理配置</w:t>
      </w:r>
      <w:bookmarkEnd w:id="285"/>
      <w:bookmarkEnd w:id="286"/>
      <w:bookmarkEnd w:id="287"/>
      <w:bookmarkEnd w:id="288"/>
      <w:bookmarkEnd w:id="28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遵循“市场决定、有序流动，制度健全、创新监管，问题导向、分类施策，稳中求进、循序渐进”原则，在国家政策法规指导下，推进要素市场制度建设，健全要素市场体系，扩大要素市场化配置范围和内容，实现要素价格市场决定、流动自主有序、配置高效公平，为推动高质量发展、建设现代化经济体系打下坚实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落实第二轮土地承包到期后再延长30年政策，保持农村土地承包关系稳定并长久不变。在充分尊重农民意愿条件下，探索农村宅基地有偿退出机制，切实维护进城落户农民土地承包权、宅基地使用权、集体收益分配权。统筹县域城镇和村庄规划建设，积极做好城镇人员在农村购置房地产风险防范，全面落实城镇建设用地增加规模与吸纳农业转移人口落户数量挂钩政策，结合20户以下资源承载较差村落搬迁撤并工程，积极构建政府、企业、个人共同参与的农业转移人口市民化成本分担机制，加快农业转移人口市民化进程。加大财政、金融、社会保障支持力度和科技利用力度，做好普通高校和职业院校毕业生、外出农民工及经商人员回乡创业兴业，引导规划、建筑、园林等设计人员支持乡村建设，激励城市人才入乡，引导工商资本为城乡融合发展提供资金、产业、技术等支持。促进人才、土地、资金、产业、信息等要素在城乡间合理流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290" w:name="_Toc29419_WPSOffice_Level3"/>
      <w:bookmarkStart w:id="291" w:name="_Toc11982"/>
      <w:bookmarkStart w:id="292" w:name="_Toc25417"/>
      <w:bookmarkStart w:id="293" w:name="_Toc15989_WPSOffice_Level3"/>
      <w:bookmarkStart w:id="294" w:name="_Toc23513_WPSOffice_Level3"/>
      <w:bookmarkStart w:id="295" w:name="_Toc21152"/>
      <w:bookmarkStart w:id="296" w:name="_Toc4253_WPSOffice_Level3"/>
      <w:bookmarkStart w:id="297" w:name="_Toc5622_WPSOffice_Level3"/>
      <w:r>
        <w:rPr>
          <w:rFonts w:hint="eastAsia" w:ascii="宋体" w:hAnsi="宋体" w:eastAsia="方正楷体_GBK" w:cs="方正楷体_GBK"/>
          <w:b w:val="0"/>
          <w:color w:val="auto"/>
          <w:kern w:val="2"/>
          <w:sz w:val="32"/>
          <w:szCs w:val="32"/>
          <w:highlight w:val="none"/>
          <w:lang w:val="en-US" w:eastAsia="zh-CN" w:bidi="ar-SA"/>
        </w:rPr>
        <w:t>第二节　保障城乡建设用地</w:t>
      </w:r>
      <w:bookmarkEnd w:id="290"/>
      <w:bookmarkEnd w:id="291"/>
      <w:bookmarkEnd w:id="292"/>
      <w:bookmarkEnd w:id="293"/>
      <w:bookmarkEnd w:id="29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在全县国土空间规划指导下，贯彻落实城乡土地统一规划、统一登记、统一整治、用地总量调控、土地利用监测、年度平衡制度，完善土地利用计划管理，增强土地管理灵活性，推动土地计划指标更加合理化，公平合理推进集体经营性建设用地入市，做好集体经营性建设用地入市增值收益分配</w:t>
      </w:r>
      <w:bookmarkStart w:id="298" w:name="_Toc13323_WPSOffice_Level3"/>
      <w:bookmarkStart w:id="299" w:name="_Toc15710_WPSOffice_Level3"/>
      <w:bookmarkStart w:id="300" w:name="_Toc22700"/>
      <w:r>
        <w:rPr>
          <w:rFonts w:hint="eastAsia" w:ascii="宋体" w:hAnsi="宋体" w:eastAsia="方正仿宋_GBK" w:cstheme="minorBidi"/>
          <w:b w:val="0"/>
          <w:color w:val="auto"/>
          <w:kern w:val="2"/>
          <w:sz w:val="32"/>
          <w:szCs w:val="32"/>
          <w:highlight w:val="none"/>
          <w:lang w:val="en-US" w:eastAsia="zh-CN" w:bidi="ar-SA"/>
        </w:rPr>
        <w:t>。深化农村土地征收制度改革，扩大国有土地有偿使用范围，实行长期租赁、先租后让、弹性年期供应、作价出资（入股）等工业性用地的市场供应。在符合国土空间规划和用途管制要求前提下，优化产业用地政策，创新使用方式，推动不同产业用地类型合理转换，探索增加混合产业用地供给。充分运用市场机制盘活存量土地和低效用地，以多种方式推进国有企业存量用地盘活利用。深入推进建设用地整理，充分利用各级城乡建设用地增减挂钩政策，为乡村振兴、小城镇建设、城乡融合、产城融合、移民新村、飞地经济、外贸新城发展提供土地要素保障。</w:t>
      </w:r>
    </w:p>
    <w:bookmarkEnd w:id="295"/>
    <w:bookmarkEnd w:id="296"/>
    <w:bookmarkEnd w:id="297"/>
    <w:bookmarkEnd w:id="298"/>
    <w:bookmarkEnd w:id="299"/>
    <w:bookmarkEnd w:id="300"/>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01" w:name="_Toc603_WPSOffice_Level3"/>
      <w:bookmarkStart w:id="302" w:name="_Toc5015_WPSOffice_Level3"/>
      <w:bookmarkStart w:id="303" w:name="_Toc25007"/>
      <w:bookmarkStart w:id="304" w:name="_Toc2129"/>
      <w:bookmarkStart w:id="305" w:name="_Toc25614_WPSOffice_Level3"/>
      <w:r>
        <w:rPr>
          <w:rFonts w:hint="eastAsia" w:ascii="宋体" w:hAnsi="宋体" w:eastAsia="方正楷体_GBK" w:cs="方正楷体_GBK"/>
          <w:b w:val="0"/>
          <w:color w:val="auto"/>
          <w:kern w:val="2"/>
          <w:sz w:val="32"/>
          <w:szCs w:val="32"/>
          <w:highlight w:val="none"/>
          <w:lang w:val="en-US" w:eastAsia="zh-CN" w:bidi="ar-SA"/>
        </w:rPr>
        <w:t>第三节  促进城乡经济多元化发展</w:t>
      </w:r>
      <w:bookmarkEnd w:id="301"/>
      <w:bookmarkEnd w:id="302"/>
      <w:bookmarkEnd w:id="303"/>
      <w:bookmarkEnd w:id="304"/>
      <w:bookmarkEnd w:id="30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全面落实永久基本农田特殊保护制度，深化农业供给侧结构性改革，走质量兴县之路，突出现代农业和农业全产业链延伸，完善农企利益紧密联结，着力探索自然资源资产产权、价格形成、抵押融资等价值实现路径，搭建城乡产业协同发展平台，依托“互联网+”和“双创”，建立健全城乡顺畅的一二三产业融合发展体系，以市场需求为导向，培育做好农村经济服务、农产品加工、乡村旅游、休闲农业、民宿经济、农耕文化体验、健康养老新产业新业态，实现城乡经济多元化发展。加强城乡就业、教育、医疗等基本公共服务体系建设，提高综合服务保障能力，推动城乡物流体系建设，以城乡消费需求互动推动城乡产业发展。</w:t>
      </w:r>
      <w:bookmarkStart w:id="306" w:name="_Toc9984"/>
      <w:bookmarkStart w:id="307" w:name="_Toc15302_WPSOffice_Level2"/>
    </w:p>
    <w:p>
      <w:pPr>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第三章　深入推进农村改革</w:t>
      </w:r>
      <w:bookmarkEnd w:id="306"/>
      <w:bookmarkEnd w:id="307"/>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巩固和完善农村基本经营制度，衔接落实好第二轮土地承包到期后再延长30年的政策，完善农村承包地“三权分置”制度，鼓励土地承包农户依法采取转包、出租、互换、转让及入股等方式流转土地经营权，加大农村承包地确权登记颁证工作成果运用。支持农业龙头企业、合作社、家庭农场、社会化服务组织和农业产业化联合体，有序推进农村土地规范流转，加快发展多种形式的适度规模经营。深化村集体产权制度改革，健全集体资产清产核资台账和管理制度，发展壮大农村集体经济。深化宅基地和集体建设经营用地制度改革，探索宅基地所有权、资格权、使用权分置实现形式，保障进程落户农民土地承包权、宅基地使用权、集体收益分配权，鼓励依法自愿有偿转让。探索开展农村集体经营性建设用地入市试点，赋予农村集体经营权性建设用地转让、租赁、入股权能。深化林权制度改革，推进水价、水权、工程投融资机制和建管体制改革，着力构件系统完备、科学规范、运行有效的水利管理体制机制。健全农村金融服务体系，发展农业保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308" w:name="_Toc14413_WPSOffice_Level2"/>
      <w:bookmarkStart w:id="309" w:name="_Toc28172"/>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第四章　实施乡村振兴行动</w:t>
      </w:r>
      <w:bookmarkEnd w:id="308"/>
      <w:bookmarkEnd w:id="309"/>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建立产业发展帮扶和生活保障多渠道密切联系机制，用高质量产业发展来保证脱贫群众收入高质量增加，用高质量的社会保障来维护弱势群体高质量的生活水平，力争脱贫群众家庭人均享有可支配收入水平不低于全县常住居民人均可支配收入的平均发展水平。绘好《西畴县巩固拓展脱贫攻坚成果同乡村振兴有效衔接规划（2021—2025）》蓝图，积极推进脱贫攻坚与乡村振兴有效衔接，先行先试，高质量抓好试点村建设。持续优化乡村布局，完善农村水、电、路、气、通讯、物流等基础设施，推进5G等新基础设施进农村，加快建设数字乡村。持续推进农村改厕、生活垃圾处理、生活污水治理，开展村庄硬化绿化美化，持续改善农村人居环境。加强乡风文明建设，搞好乡土文化传承，提高农民科技文化素质，培育新型农民，推动乡村人才振兴。逐步实现产业兴旺、生态宜居、乡风文明、治理有效、生活富裕总体目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Chars="0" w:firstLine="641"/>
        <w:textAlignment w:val="auto"/>
        <w:outlineLvl w:val="9"/>
        <w:rPr>
          <w:rFonts w:hint="default"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2025年，城乡常住居民人均可支配收入年均增长基本与经济增长同步，且农村常住居民人均可支配收入增长高于城镇常住居民人均可支配收入增长。教育进一步均衡，公共卫生服务进一步均等，就业更为灵活，救助制度更为健全。</w:t>
      </w:r>
    </w:p>
    <w:tbl>
      <w:tblPr>
        <w:tblStyle w:val="20"/>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887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方正仿宋_GBK" w:cs="方正仿宋_GBK"/>
                <w:b/>
                <w:bCs/>
                <w:i w:val="0"/>
                <w:caps w:val="0"/>
                <w:color w:val="auto"/>
                <w:spacing w:val="0"/>
                <w:kern w:val="0"/>
                <w:sz w:val="32"/>
                <w:szCs w:val="32"/>
                <w:highlight w:val="none"/>
                <w:shd w:val="clear" w:fill="FFFFFF"/>
                <w:lang w:val="en-US" w:eastAsia="zh-CN" w:bidi="ar"/>
              </w:rPr>
              <w:t>专栏11</w:t>
            </w:r>
            <w:r>
              <w:rPr>
                <w:rFonts w:hint="eastAsia" w:ascii="宋体" w:hAnsi="宋体" w:eastAsia="方正仿宋_GBK" w:cs="方正仿宋_GBK"/>
                <w:b w:val="0"/>
                <w:i w:val="0"/>
                <w:caps w:val="0"/>
                <w:color w:val="auto"/>
                <w:spacing w:val="0"/>
                <w:kern w:val="0"/>
                <w:sz w:val="32"/>
                <w:szCs w:val="32"/>
                <w:highlight w:val="none"/>
                <w:shd w:val="clear" w:fill="FFFFFF"/>
                <w:lang w:val="en-US" w:eastAsia="zh-CN" w:bidi="ar"/>
              </w:rPr>
              <w:t>：脱贫攻坚与乡村振兴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乡村振兴“百千万”工程：</w:t>
            </w:r>
            <w:r>
              <w:rPr>
                <w:rFonts w:hint="eastAsia" w:ascii="宋体" w:hAnsi="宋体" w:eastAsia="宋体" w:cs="宋体"/>
                <w:i w:val="0"/>
                <w:color w:val="auto"/>
                <w:kern w:val="0"/>
                <w:sz w:val="22"/>
                <w:szCs w:val="22"/>
                <w:highlight w:val="none"/>
                <w:u w:val="none"/>
                <w:lang w:val="en-US" w:eastAsia="zh-CN" w:bidi="ar"/>
              </w:rPr>
              <w:t>建设一批田园综合体、精品示范村、美丽乡村。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87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“一乡一品”工程：</w:t>
            </w:r>
            <w:r>
              <w:rPr>
                <w:rFonts w:hint="eastAsia" w:ascii="宋体" w:hAnsi="宋体" w:eastAsia="宋体" w:cs="宋体"/>
                <w:i w:val="0"/>
                <w:color w:val="auto"/>
                <w:kern w:val="0"/>
                <w:sz w:val="22"/>
                <w:szCs w:val="22"/>
                <w:highlight w:val="none"/>
                <w:u w:val="none"/>
                <w:lang w:val="en-US" w:eastAsia="zh-CN" w:bidi="ar"/>
              </w:rPr>
              <w:t>根据区域气候、农户种植养殖技术特点和市场需求，发展相应的“一乡一品”特色产品。力争新建成100头以上肉牛养殖场地5个以上，1000只乌骨鸡养殖小区50个以上，100头以上生猪养殖小区50个以上。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87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农业农村经营主体培育工程：</w:t>
            </w:r>
            <w:r>
              <w:rPr>
                <w:rFonts w:hint="eastAsia" w:ascii="宋体" w:hAnsi="宋体" w:eastAsia="宋体" w:cs="宋体"/>
                <w:i w:val="0"/>
                <w:color w:val="auto"/>
                <w:kern w:val="0"/>
                <w:sz w:val="22"/>
                <w:szCs w:val="22"/>
                <w:highlight w:val="none"/>
                <w:u w:val="none"/>
                <w:lang w:val="en-US" w:eastAsia="zh-CN" w:bidi="ar"/>
              </w:rPr>
              <w:t>力争到2025年，新培育省级龙头企业1户以上，州级龙头企业5户以上，县级龙头企业15户以上，专业合作社100个以上。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7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农村集体经济培育工程：</w:t>
            </w:r>
            <w:r>
              <w:rPr>
                <w:rFonts w:hint="eastAsia" w:ascii="宋体" w:hAnsi="宋体" w:eastAsia="宋体" w:cs="宋体"/>
                <w:i w:val="0"/>
                <w:color w:val="auto"/>
                <w:kern w:val="0"/>
                <w:sz w:val="22"/>
                <w:szCs w:val="22"/>
                <w:highlight w:val="none"/>
                <w:u w:val="none"/>
                <w:lang w:val="en-US" w:eastAsia="zh-CN" w:bidi="ar"/>
              </w:rPr>
              <w:t>力争到2025年，各行政村村集体经济均达10万元以上。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7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人才培养工程</w:t>
            </w:r>
            <w:r>
              <w:rPr>
                <w:rFonts w:hint="eastAsia" w:ascii="宋体" w:hAnsi="宋体" w:eastAsia="宋体" w:cs="宋体"/>
                <w:i w:val="0"/>
                <w:color w:val="auto"/>
                <w:kern w:val="0"/>
                <w:sz w:val="22"/>
                <w:szCs w:val="22"/>
                <w:highlight w:val="none"/>
                <w:u w:val="none"/>
                <w:lang w:val="en-US" w:eastAsia="zh-CN" w:bidi="ar"/>
              </w:rPr>
              <w:t>：围绕上级目标，建成州级企业技术中心2个以上，州级院士专家工作站2个以上，建成州级“七乡首席技师工作室”1个以上。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8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智慧农业和大数据运用工程：</w:t>
            </w:r>
            <w:r>
              <w:rPr>
                <w:rFonts w:hint="eastAsia" w:ascii="宋体" w:hAnsi="宋体" w:eastAsia="宋体" w:cs="宋体"/>
                <w:i w:val="0"/>
                <w:color w:val="auto"/>
                <w:kern w:val="0"/>
                <w:sz w:val="22"/>
                <w:szCs w:val="22"/>
                <w:highlight w:val="none"/>
                <w:u w:val="none"/>
                <w:lang w:val="en-US" w:eastAsia="zh-CN" w:bidi="ar"/>
              </w:rPr>
              <w:t>连接上级农业物联网，西畴农业大数据平台，依托大数据、区域链、人工智能、5G技术等新型基础设施建设，和现代信息技术应用，全面提升农业农村数字化与智能化水平。</w:t>
            </w:r>
          </w:p>
        </w:tc>
      </w:tr>
    </w:tbl>
    <w:p>
      <w:pPr>
        <w:rPr>
          <w:rFonts w:hint="eastAsia" w:ascii="宋体" w:hAnsi="宋体" w:eastAsia="方正小标宋_GBK" w:cs="方正小标宋_GBK"/>
          <w:b/>
          <w:color w:val="auto"/>
          <w:kern w:val="44"/>
          <w:sz w:val="36"/>
          <w:szCs w:val="36"/>
          <w:highlight w:val="none"/>
          <w:lang w:val="en-US" w:eastAsia="zh-CN" w:bidi="ar"/>
        </w:rPr>
      </w:pPr>
      <w:r>
        <w:rPr>
          <w:rFonts w:hint="eastAsia" w:ascii="宋体" w:hAnsi="宋体" w:eastAsia="方正小标宋_GBK" w:cs="方正小标宋_GBK"/>
          <w:b/>
          <w:color w:val="auto"/>
          <w:kern w:val="44"/>
          <w:sz w:val="36"/>
          <w:szCs w:val="36"/>
          <w:highlight w:val="none"/>
          <w:lang w:val="en-US" w:eastAsia="zh-CN" w:bidi="ar"/>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b w:val="0"/>
          <w:color w:val="auto"/>
          <w:kern w:val="2"/>
          <w:sz w:val="44"/>
          <w:szCs w:val="44"/>
          <w:highlight w:val="none"/>
          <w:lang w:val="en-US" w:eastAsia="zh-CN" w:bidi="ar-SA"/>
        </w:rPr>
      </w:pPr>
      <w:bookmarkStart w:id="310" w:name="_Toc23376_WPSOffice_Level1"/>
      <w:bookmarkStart w:id="311" w:name="_Toc2642"/>
      <w:r>
        <w:rPr>
          <w:rFonts w:hint="eastAsia" w:ascii="宋体" w:hAnsi="宋体" w:eastAsia="方正小标宋_GBK" w:cs="方正小标宋_GBK"/>
          <w:b w:val="0"/>
          <w:color w:val="auto"/>
          <w:kern w:val="2"/>
          <w:sz w:val="44"/>
          <w:szCs w:val="44"/>
          <w:highlight w:val="none"/>
          <w:lang w:val="en-US" w:eastAsia="zh-CN" w:bidi="ar-SA"/>
        </w:rPr>
        <w:t>第十篇　全面深化改革 全面增强发展动力</w:t>
      </w:r>
      <w:bookmarkEnd w:id="310"/>
      <w:bookmarkEnd w:id="31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全面深化各项制度改革，推进政府职能深刻转变，破除有关妨碍发展的体制机制，建立有效发展工作机制，准确识别和发现人民的实际需求，真正落实人民所需、所盼。降低经济社会运行的制度成本，充分调动群众推进改革的积极性、主动性和创造性，把广大人民的智慧和力量凝聚到改革上来，进一步拓宽公众参与政策制定、执行和监督的渠道，将人民满意度的提升作为改革的目标，通过改革给人民带来更多获得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312" w:name="_Toc4399"/>
      <w:bookmarkStart w:id="313" w:name="_Toc21475_WPSOffice_Level3"/>
      <w:bookmarkStart w:id="314" w:name="_Toc24209_WPSOffice_Level3"/>
      <w:bookmarkStart w:id="315" w:name="_Toc13012_WPSOffice_Level2"/>
      <w:bookmarkStart w:id="316" w:name="_Toc842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第一章　深化供给侧结构性改革</w:t>
      </w:r>
      <w:bookmarkEnd w:id="312"/>
      <w:bookmarkEnd w:id="313"/>
      <w:bookmarkEnd w:id="314"/>
      <w:bookmarkEnd w:id="315"/>
      <w:bookmarkEnd w:id="3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以“生产创造就业、就业提供收入、收入增加消费、消费增加需求、需求带动供给”供给侧结构主线，持续深化供给侧结构性改革，积极推动政府职能转变和营商环境改善，依法清理处置“僵尸企业”，坚决杜绝污染环境的项目。加快推进农业、生态环境、交通运输、企业产权保护等综合行政执法体制改革，提高执法效率。深化医药卫生等体制改革，落实国家基本药物制度，推动公立医院薪酬制度改革。深化教育、社会保障体制改革，促进社会公平。统筹推进农村土地三权分置改革和农村集体产权制度改革，发挥权能作用。深化落实税负减轻政策、放松管制政策，营造开放有序的市场秩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黑体_GBK" w:cs="方正黑体_GBK"/>
          <w:b w:val="0"/>
          <w:color w:val="auto"/>
          <w:kern w:val="2"/>
          <w:sz w:val="32"/>
          <w:szCs w:val="32"/>
          <w:highlight w:val="none"/>
          <w:lang w:val="en-US" w:eastAsia="zh-CN" w:bidi="ar-SA"/>
        </w:rPr>
      </w:pPr>
      <w:bookmarkStart w:id="317" w:name="_Toc7904_WPSOffice_Level2"/>
      <w:bookmarkStart w:id="318" w:name="_Toc6588"/>
      <w:r>
        <w:rPr>
          <w:rFonts w:hint="eastAsia" w:ascii="宋体" w:hAnsi="宋体" w:eastAsia="方正黑体_GBK" w:cs="方正黑体_GBK"/>
          <w:b w:val="0"/>
          <w:color w:val="auto"/>
          <w:kern w:val="2"/>
          <w:sz w:val="32"/>
          <w:szCs w:val="32"/>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第二章　推进政府职能转变</w:t>
      </w:r>
      <w:bookmarkEnd w:id="317"/>
      <w:bookmarkEnd w:id="3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全面深化各项制度改革，破除妨碍发展的体制机制，建立有效发展工作机制，降低经济社会运行的制度成本，充分调动群众推进改革的积极性、主动性和创造性，进一步拓宽公众参与政策制定、执行和监督的渠道，把广大人民的智慧和力量凝聚到改革上来，通过改革给人民带来更多实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19" w:name="_Toc24959_WPSOffice_Level3"/>
      <w:bookmarkStart w:id="320" w:name="_Toc22550"/>
      <w:r>
        <w:rPr>
          <w:rFonts w:hint="eastAsia" w:ascii="宋体" w:hAnsi="宋体" w:eastAsia="方正楷体_GBK" w:cs="方正楷体_GBK"/>
          <w:b w:val="0"/>
          <w:color w:val="auto"/>
          <w:kern w:val="2"/>
          <w:sz w:val="32"/>
          <w:szCs w:val="32"/>
          <w:highlight w:val="none"/>
          <w:lang w:val="en-US" w:eastAsia="zh-CN" w:bidi="ar-SA"/>
        </w:rPr>
        <w:t>第一节　构建新型政务服务管理体系</w:t>
      </w:r>
      <w:bookmarkEnd w:id="319"/>
      <w:bookmarkEnd w:id="3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全面推行相对集中行政审批权改革，将分散的行政审批权力统一进行归并、规范运行，探索推进“审管分离”改革，按照“集中审批、审管分离、责权并重”的原则，建立审批、监管联动工作机制，形成审批部门与监管部门相互监督、互为补充、相互促进的工作格局，实现“一颗印章管审批”。推进县级政务服务中心、乡镇为民服务中心和村（社区）为民服务站办公场所标准化建设，依法有序减少行政审批事项，推进投资审批、职业资格、商事制度等重点领域改革。建立健全政务服务事项目录清单管理制度，规范审批流程，推行“前台综合受理、后台分类审批、统一窗口出件”模式，提高窗口工作人员服务意识、业务能力和办事效率，拓展政务服务内容，开展公用事项服务，满足群众多元化需求，力争让群众和企业办事“最多跑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21" w:name="_Toc18102"/>
      <w:bookmarkStart w:id="322" w:name="_Toc14347_WPSOffice_Level3"/>
      <w:r>
        <w:rPr>
          <w:rFonts w:hint="eastAsia" w:ascii="宋体" w:hAnsi="宋体" w:eastAsia="方正楷体_GBK" w:cs="方正楷体_GBK"/>
          <w:b w:val="0"/>
          <w:color w:val="auto"/>
          <w:kern w:val="2"/>
          <w:sz w:val="32"/>
          <w:szCs w:val="32"/>
          <w:highlight w:val="none"/>
          <w:lang w:val="en-US" w:eastAsia="zh-CN" w:bidi="ar-SA"/>
        </w:rPr>
        <w:t>第二节　推进“互联网+政务服务”</w:t>
      </w:r>
      <w:bookmarkEnd w:id="321"/>
      <w:bookmarkEnd w:id="32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建设网上政务服务平台，依托云南省政务服务管理平台及云南省政务服务网上大厅，全面推进政务服务“网上办”。推动提升政务服务在线一体化办理成熟度和服务成效，进一步完善网上大厅栏目内容。统一服务标准，推广网上预约和智能化设备集成应用，做到线上线下服务事项信息同源管理、服务窗口匹配、办事指南吻合、软硬件高效运转和公众体验一致。大力推广网上大厅移动终端（APP）应用、微信公众号等服务。加强电子政务数据交换和信息共享平台建设，实现政务数据资源跨部门、跨区域、多层级信息共享，解决数据壁垒、材料重复提交等问题。建设电子证照库实现涉及政务服务事项证件数据、相关证明信息等跨部门、跨区域、跨行业互认共享，统筹实体大厅和网上大厅资源融合，全面推行在线申请、审批、办理，逐步提高在线办理事项比例，实现“一号申请、单点登录、交叉互认、一网通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23" w:name="_Toc10430"/>
      <w:bookmarkStart w:id="324" w:name="_Toc21645_WPSOffice_Level3"/>
      <w:r>
        <w:rPr>
          <w:rFonts w:hint="eastAsia" w:ascii="宋体" w:hAnsi="宋体" w:eastAsia="方正楷体_GBK" w:cs="方正楷体_GBK"/>
          <w:b w:val="0"/>
          <w:color w:val="auto"/>
          <w:kern w:val="2"/>
          <w:sz w:val="32"/>
          <w:szCs w:val="32"/>
          <w:highlight w:val="none"/>
          <w:lang w:val="en-US" w:eastAsia="zh-CN" w:bidi="ar-SA"/>
        </w:rPr>
        <w:t>第三节　规范公共资源电子化交易</w:t>
      </w:r>
      <w:bookmarkEnd w:id="323"/>
      <w:bookmarkEnd w:id="32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按照“统一进场、管办分离、规则主导、全程监管”的总要求，借鉴国内外先进的招投标监督管理制度，对进场交易项目实行统一进场交易、统一交易规则、统一发布信息、统一接受报名、统一抽取专家、统一安排场地、统一保证金收退、统一监督监察，全力打造阳光交易平台。对进入中心交易的项目实行全行业、全流程电子化网上交易，实现从招标申请受理到资料归档全程网上交易，避免传统交易模式“暗箱操作”“权力寻租”等弊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25" w:name="_Toc15302_WPSOffice_Level3"/>
      <w:bookmarkStart w:id="326" w:name="_Toc14371"/>
      <w:r>
        <w:rPr>
          <w:rFonts w:hint="eastAsia" w:ascii="宋体" w:hAnsi="宋体" w:eastAsia="方正楷体_GBK" w:cs="方正楷体_GBK"/>
          <w:b w:val="0"/>
          <w:color w:val="auto"/>
          <w:kern w:val="2"/>
          <w:sz w:val="32"/>
          <w:szCs w:val="32"/>
          <w:highlight w:val="none"/>
          <w:lang w:val="en-US" w:eastAsia="zh-CN" w:bidi="ar-SA"/>
        </w:rPr>
        <w:t>第四节　提供更优质的政务服务</w:t>
      </w:r>
      <w:bookmarkEnd w:id="325"/>
      <w:bookmarkEnd w:id="32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遵循“去繁就简”原则，简化优化政务服务流程，提高服务能力和效率，进一步推进“放管服”改革。进一步优化营商环境，拓展投资空间，做好招商引资，推动各项政策精准落地。依法清理处置“僵尸企业”，坚决杜绝污染环境的项目。加快推进农业、生态环境、交通运输、企业产权保护等综合行政执法体制改革，提高执法效率。优化服务事项，提升服务能力，做到非行政许可审批事项、无法定依据的行政审批中介服务项目以及收费、无法律法规依据的各类证明、有悖民营企业平等保护的规章制度一律取消。按照“办事不求人”“最多跑一次”“审批不见面”“减税降费”“降本增效”及“大众创业万众创新”政策，以及项目审批相关程序、产业准入负面清单和清理规范涉企乱收费项目等方面的政策要求，加大各类证明事项清理减并力度，对确需保留的要实行清单管理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27" w:name="_Toc14413_WPSOffice_Level3"/>
      <w:bookmarkStart w:id="328" w:name="_Toc27625"/>
      <w:r>
        <w:rPr>
          <w:rFonts w:hint="eastAsia" w:ascii="宋体" w:hAnsi="宋体" w:eastAsia="方正楷体_GBK" w:cs="方正楷体_GBK"/>
          <w:b w:val="0"/>
          <w:color w:val="auto"/>
          <w:kern w:val="2"/>
          <w:sz w:val="32"/>
          <w:szCs w:val="32"/>
          <w:highlight w:val="none"/>
          <w:lang w:val="en-US" w:eastAsia="zh-CN" w:bidi="ar-SA"/>
        </w:rPr>
        <w:t>第五节　优化营商环境</w:t>
      </w:r>
      <w:bookmarkEnd w:id="327"/>
      <w:bookmarkEnd w:id="32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创新诚信政府、诚信企业、诚信个人的信用在公平竞争市场环境中的应用，建立健全优化营商环境投诉举报回应机制。健全人才服务体系，加快推进高层次、高质量、高技能人才引进和培养。创新市场监管方式，健全分类指导、精准施策、包容审慎、规范执法、自由裁量权的监管制度。做好知识产权保护体系建设，营造良好创业创新环境。抓好金融风险预警和防控，强化用地供给，降低用地成本，推动外商投资和贸易便利化，鼓励和支持在法治框架内推进管理机制、投资、贸易、金融等各领域改革创新，进一步完善原创性、创新性、差异性的政策措施，建立健全政策落实回顾评价和适时调整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329" w:name="_Toc25443"/>
      <w:bookmarkStart w:id="330" w:name="_Toc1031_WPSOffice_Level2"/>
    </w:p>
    <w:p>
      <w:pPr>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第三章　深化投资体制改革</w:t>
      </w:r>
      <w:bookmarkEnd w:id="329"/>
      <w:bookmarkEnd w:id="33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围绕产业链、创新链、价值链、供应链、资金链和人才链，推进重大工程、重大项目、重大产业全程无偿代办，破除体制机制障碍，将中央财政一般性转移支付收入纳入地方政府财政承受能力计算范畴，建立健全政府性融资担保体系。健全PPP、TOT、债券、金融资金、社会资本应用制度，做好社会融资，引导社会投资进入基础设施、公共服务、产业发展、生态环保、社会事业等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31" w:name="_Toc13012_WPSOffice_Level3"/>
      <w:bookmarkStart w:id="332" w:name="_Toc23169"/>
      <w:r>
        <w:rPr>
          <w:rFonts w:hint="eastAsia" w:ascii="宋体" w:hAnsi="宋体" w:eastAsia="方正楷体_GBK" w:cs="方正楷体_GBK"/>
          <w:b w:val="0"/>
          <w:color w:val="auto"/>
          <w:kern w:val="2"/>
          <w:sz w:val="32"/>
          <w:szCs w:val="32"/>
          <w:highlight w:val="none"/>
          <w:lang w:val="en-US" w:eastAsia="zh-CN" w:bidi="ar-SA"/>
        </w:rPr>
        <w:t>第一节  投资促进</w:t>
      </w:r>
      <w:bookmarkEnd w:id="331"/>
      <w:bookmarkEnd w:id="33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健全财政帮扶政策。</w:t>
      </w:r>
      <w:r>
        <w:rPr>
          <w:rFonts w:hint="eastAsia" w:ascii="宋体" w:hAnsi="宋体" w:eastAsia="方正仿宋_GBK" w:cstheme="minorBidi"/>
          <w:b w:val="0"/>
          <w:color w:val="auto"/>
          <w:kern w:val="2"/>
          <w:sz w:val="32"/>
          <w:szCs w:val="32"/>
          <w:highlight w:val="none"/>
          <w:lang w:val="en-US" w:eastAsia="zh-CN" w:bidi="ar-SA"/>
        </w:rPr>
        <w:t>用活用足国家对西部地区的基础设施领域融资风险分担机制政策，高质量抓好基础设施建设。注重“乘数”效应发挥，围绕高质量跨越式核心要求，抓好国家、省、州产业扶持政策综合应用，建立普惠制、长期制，全产业链式、制度式、公开式的县级财政产业扶持政策，确保投资者收益预期可行，加速新“两低一高”产业培育。县级财政要建立产业扶持发展基金，通过申请上级产业扶持、预算安排、其它渠道争取等办法措施，每年筹集产业扶持发展基金不少于2000万元。加大现有扶持政策调整，对于新业态、高技术利用产业，要给予特别的政策支持，对不利益支持企业长期发展、整体发展、创新发展的政策进行全方位调整、修正和废止，分行业类别进行“三步制”扶持，使产业扶持政策的“公平、公正、公开”性贯穿于产业发展的全过程，将财政扶持资金使用纳入社会信用管理，确保企业在产业发展中顺利起步、发展壮大、增强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强化金融扶持政策。</w:t>
      </w:r>
      <w:r>
        <w:rPr>
          <w:rFonts w:hint="eastAsia" w:ascii="宋体" w:hAnsi="宋体" w:eastAsia="方正仿宋_GBK" w:cstheme="minorBidi"/>
          <w:b w:val="0"/>
          <w:color w:val="auto"/>
          <w:kern w:val="2"/>
          <w:sz w:val="32"/>
          <w:szCs w:val="32"/>
          <w:highlight w:val="none"/>
          <w:lang w:val="en-US" w:eastAsia="zh-CN" w:bidi="ar-SA"/>
        </w:rPr>
        <w:t>积极落实国家对西部企业无还本续贷、尽职免责等监管政策，在风险总体可控前提下，加大对符合条件的小微企业续贷支持力度。依托社会信用建设成果，抓好“信易贷”、“税易贷”、“奖易贷”等信用信息深度开发利用，增加服务小微企业和民营企业的金融服务供给。建立产业发展基金、产业风险防御基金等，做好基金与金融机构间的行业金融机构激励约束机制，促进区域金融机构更好的服务“三农”。以《西畴县产业准入负面清单（试行）》为依据，以林权、股票、期货、预期收益等为质押，推进绿色金融创新。支持轻资产实体经济企业或项目以适当方式融资，做好非国有金融机构的引进并依法实施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完善技术支撑。</w:t>
      </w:r>
      <w:r>
        <w:rPr>
          <w:rFonts w:hint="eastAsia" w:ascii="宋体" w:hAnsi="宋体" w:eastAsia="方正仿宋_GBK" w:cstheme="minorBidi"/>
          <w:b w:val="0"/>
          <w:color w:val="auto"/>
          <w:kern w:val="2"/>
          <w:sz w:val="32"/>
          <w:szCs w:val="32"/>
          <w:highlight w:val="none"/>
          <w:lang w:val="en-US" w:eastAsia="zh-CN" w:bidi="ar-SA"/>
        </w:rPr>
        <w:t>建立科研院所、高校、职业高级中学合作关系，支持科技企业与高校、科研机构合作建立技术研发中心、产业研究、中试基地等新型研发机构，建立健全有条件的企业承担我县建设项目咨询、研究常态化合作机制，积极支持和培育发展技术转移机构和技术经理人，以获得相应的技术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做好数据要素市场培育。</w:t>
      </w:r>
      <w:r>
        <w:rPr>
          <w:rFonts w:hint="eastAsia" w:ascii="宋体" w:hAnsi="宋体" w:eastAsia="方正仿宋_GBK" w:cstheme="minorBidi"/>
          <w:b w:val="0"/>
          <w:color w:val="auto"/>
          <w:kern w:val="2"/>
          <w:sz w:val="32"/>
          <w:szCs w:val="32"/>
          <w:highlight w:val="none"/>
          <w:lang w:val="en-US" w:eastAsia="zh-CN" w:bidi="ar-SA"/>
        </w:rPr>
        <w:t>建立数据共享平台，按照国家相关规定，制定数据共享部门责任清单，加快培育数字经济新产业、新业态和新模式，支持构建农业、工业、交通、教育、安防、城市管理、公共资源交易等领域规范化数据开发利用场景，推动县级部门数据共享交换，实现政府数据共享。</w:t>
      </w:r>
    </w:p>
    <w:p>
      <w:pPr>
        <w:rPr>
          <w:rFonts w:hint="eastAsia" w:ascii="宋体" w:hAnsi="宋体" w:eastAsia="方正楷体_GBK" w:cs="方正楷体_GBK"/>
          <w:b w:val="0"/>
          <w:color w:val="auto"/>
          <w:kern w:val="2"/>
          <w:sz w:val="32"/>
          <w:szCs w:val="32"/>
          <w:highlight w:val="none"/>
          <w:lang w:val="en-US" w:eastAsia="zh-CN" w:bidi="ar-SA"/>
        </w:rPr>
      </w:pPr>
      <w:bookmarkStart w:id="333" w:name="_Toc23226"/>
      <w:bookmarkStart w:id="334" w:name="_Toc19142_WPSOffice_Level2"/>
      <w:bookmarkStart w:id="335" w:name="_Toc7904_WPSOffice_Level3"/>
      <w:bookmarkStart w:id="336" w:name="_Toc20568"/>
      <w:bookmarkStart w:id="337" w:name="_Toc20709_WPSOffice_Level2"/>
      <w:r>
        <w:rPr>
          <w:rFonts w:hint="eastAsia" w:ascii="宋体" w:hAnsi="宋体" w:eastAsia="方正楷体_GBK" w:cs="方正楷体_GBK"/>
          <w:b w:val="0"/>
          <w:color w:val="auto"/>
          <w:kern w:val="2"/>
          <w:sz w:val="32"/>
          <w:szCs w:val="32"/>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r>
        <w:rPr>
          <w:rFonts w:hint="eastAsia" w:ascii="宋体" w:hAnsi="宋体" w:eastAsia="方正楷体_GBK" w:cs="方正楷体_GBK"/>
          <w:b w:val="0"/>
          <w:color w:val="auto"/>
          <w:kern w:val="2"/>
          <w:sz w:val="32"/>
          <w:szCs w:val="32"/>
          <w:highlight w:val="none"/>
          <w:lang w:val="en-US" w:eastAsia="zh-CN" w:bidi="ar-SA"/>
        </w:rPr>
        <w:t>第二节　提高对外开放程度与水平</w:t>
      </w:r>
      <w:bookmarkEnd w:id="333"/>
      <w:bookmarkEnd w:id="334"/>
      <w:bookmarkEnd w:id="335"/>
      <w:bookmarkEnd w:id="336"/>
      <w:bookmarkEnd w:id="33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积极融入“一带一路”和云南自贸区建设，搭乘改革“顺风车”，坚持引进来和走出去相结合，坚持出口和进口并重，深入落实招商引资优惠政策，创新招商方式，实施市场多元化战略，扩大商品生产和服务贸易，转变</w:t>
      </w:r>
      <w:r>
        <w:rPr>
          <w:rFonts w:hint="default" w:ascii="宋体" w:hAnsi="宋体" w:eastAsia="方正仿宋_GBK" w:cstheme="minorBidi"/>
          <w:b w:val="0"/>
          <w:color w:val="auto"/>
          <w:kern w:val="2"/>
          <w:sz w:val="32"/>
          <w:szCs w:val="32"/>
          <w:highlight w:val="none"/>
          <w:lang w:val="en-US" w:eastAsia="zh-CN" w:bidi="ar-SA"/>
        </w:rPr>
        <w:fldChar w:fldCharType="begin"/>
      </w:r>
      <w:r>
        <w:rPr>
          <w:rFonts w:hint="default" w:ascii="宋体" w:hAnsi="宋体" w:eastAsia="方正仿宋_GBK" w:cstheme="minorBidi"/>
          <w:b w:val="0"/>
          <w:color w:val="auto"/>
          <w:kern w:val="2"/>
          <w:sz w:val="32"/>
          <w:szCs w:val="32"/>
          <w:highlight w:val="none"/>
          <w:lang w:val="en-US" w:eastAsia="zh-CN" w:bidi="ar-SA"/>
        </w:rPr>
        <w:instrText xml:space="preserve"> HYPERLINK "http://www.so.com/s?q=%E6%94%BF%E5%BA%9C&amp;ie=utf-8&amp;src=internal_wenda_recommend_textn" \t "https://wenda.so.com/q/_blank" </w:instrText>
      </w:r>
      <w:r>
        <w:rPr>
          <w:rFonts w:hint="default" w:ascii="宋体" w:hAnsi="宋体" w:eastAsia="方正仿宋_GBK" w:cstheme="minorBidi"/>
          <w:b w:val="0"/>
          <w:color w:val="auto"/>
          <w:kern w:val="2"/>
          <w:sz w:val="32"/>
          <w:szCs w:val="32"/>
          <w:highlight w:val="none"/>
          <w:lang w:val="en-US" w:eastAsia="zh-CN" w:bidi="ar-SA"/>
        </w:rPr>
        <w:fldChar w:fldCharType="separate"/>
      </w:r>
      <w:r>
        <w:rPr>
          <w:rFonts w:hint="default" w:ascii="宋体" w:hAnsi="宋体" w:eastAsia="方正仿宋_GBK" w:cstheme="minorBidi"/>
          <w:b w:val="0"/>
          <w:color w:val="auto"/>
          <w:kern w:val="2"/>
          <w:sz w:val="32"/>
          <w:szCs w:val="32"/>
          <w:highlight w:val="none"/>
          <w:lang w:val="en-US" w:eastAsia="zh-CN" w:bidi="ar-SA"/>
        </w:rPr>
        <w:t>政府</w:t>
      </w:r>
      <w:r>
        <w:rPr>
          <w:rFonts w:hint="default" w:ascii="宋体" w:hAnsi="宋体" w:eastAsia="方正仿宋_GBK" w:cstheme="minorBidi"/>
          <w:b w:val="0"/>
          <w:color w:val="auto"/>
          <w:kern w:val="2"/>
          <w:sz w:val="32"/>
          <w:szCs w:val="32"/>
          <w:highlight w:val="none"/>
          <w:lang w:val="en-US" w:eastAsia="zh-CN" w:bidi="ar-SA"/>
        </w:rPr>
        <w:fldChar w:fldCharType="end"/>
      </w:r>
      <w:r>
        <w:rPr>
          <w:rFonts w:hint="default" w:ascii="宋体" w:hAnsi="宋体" w:eastAsia="方正仿宋_GBK" w:cstheme="minorBidi"/>
          <w:b w:val="0"/>
          <w:color w:val="auto"/>
          <w:kern w:val="2"/>
          <w:sz w:val="32"/>
          <w:szCs w:val="32"/>
          <w:highlight w:val="none"/>
          <w:lang w:val="en-US" w:eastAsia="zh-CN" w:bidi="ar-SA"/>
        </w:rPr>
        <w:t>管理经济方式，</w:t>
      </w:r>
      <w:r>
        <w:rPr>
          <w:rFonts w:hint="eastAsia" w:ascii="宋体" w:hAnsi="宋体" w:eastAsia="方正仿宋_GBK" w:cstheme="minorBidi"/>
          <w:b w:val="0"/>
          <w:color w:val="auto"/>
          <w:kern w:val="2"/>
          <w:sz w:val="32"/>
          <w:szCs w:val="32"/>
          <w:highlight w:val="none"/>
          <w:lang w:val="en-US" w:eastAsia="zh-CN" w:bidi="ar-SA"/>
        </w:rPr>
        <w:t>严格相关准入，</w:t>
      </w:r>
      <w:r>
        <w:rPr>
          <w:rFonts w:hint="default" w:ascii="宋体" w:hAnsi="宋体" w:eastAsia="方正仿宋_GBK" w:cstheme="minorBidi"/>
          <w:b w:val="0"/>
          <w:color w:val="auto"/>
          <w:kern w:val="2"/>
          <w:sz w:val="32"/>
          <w:szCs w:val="32"/>
          <w:highlight w:val="none"/>
          <w:lang w:val="en-US" w:eastAsia="zh-CN" w:bidi="ar-SA"/>
        </w:rPr>
        <w:t>积极建立区域合作负面清单</w:t>
      </w:r>
      <w:r>
        <w:rPr>
          <w:rFonts w:hint="eastAsia" w:ascii="宋体" w:hAnsi="宋体" w:eastAsia="方正仿宋_GBK" w:cstheme="minorBidi"/>
          <w:b w:val="0"/>
          <w:color w:val="auto"/>
          <w:kern w:val="2"/>
          <w:sz w:val="32"/>
          <w:szCs w:val="32"/>
          <w:highlight w:val="none"/>
          <w:lang w:val="en-US" w:eastAsia="zh-CN" w:bidi="ar-SA"/>
        </w:rPr>
        <w:t>，推动贸易平衡发展。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持续优化营商环境。</w:t>
      </w:r>
      <w:r>
        <w:rPr>
          <w:rFonts w:hint="eastAsia" w:ascii="宋体" w:hAnsi="宋体" w:eastAsia="方正仿宋_GBK" w:cstheme="minorBidi"/>
          <w:b w:val="0"/>
          <w:color w:val="auto"/>
          <w:kern w:val="2"/>
          <w:sz w:val="32"/>
          <w:szCs w:val="32"/>
          <w:highlight w:val="none"/>
          <w:lang w:val="en-US" w:eastAsia="zh-CN" w:bidi="ar-SA"/>
        </w:rPr>
        <w:t>实行外资企业国民待遇+市场准入负面清单促进模式，加强以综合交通网、水网、能源保障网、信息网和物流网为重点的基础设施硬环境和以政务环境、法制环境、舆论环境为重点的投资软环境建设。积极探索建立政府主导、市场运作、政企共建、项目带动的发展模式，清理和废除妨碍统一市场和公平竞争的规定，建立完善投诉反馈机制，设立企业投诉中心、服务热线、投诉网站和企业投诉问题解决制度，适时开展投资环境第三方评价制度，大力营造低税赋成本、低物流成本、低要素成本、低资金融通成本的营商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全面创新招商引资工作。</w:t>
      </w:r>
      <w:r>
        <w:rPr>
          <w:rFonts w:hint="eastAsia" w:ascii="宋体" w:hAnsi="宋体" w:eastAsia="方正仿宋_GBK" w:cstheme="minorBidi"/>
          <w:b w:val="0"/>
          <w:color w:val="auto"/>
          <w:kern w:val="2"/>
          <w:sz w:val="32"/>
          <w:szCs w:val="32"/>
          <w:highlight w:val="none"/>
          <w:lang w:val="en-US" w:eastAsia="zh-CN" w:bidi="ar-SA"/>
        </w:rPr>
        <w:t>紧盯国家开发、开放政策动向，立足产业、市场“两个准入负面清单”，立足全县资源优势及区位优势，不断加强产业基础等资源要素和“人地钱”生产要素分析，从基础设施、公共服务、旅游文化、技术利用、产业培育、产品开发、产业链延伸、产业承接等方面，积极谋划一批招商项目，策划招商引资宣传片。深入落实各类发展支持政策和招商引资优惠政策，建立健全招商引资工作制度，积极开展走出去招商、网上招商、会展招商，引导和鼓励企业以商招商、以情招商，大力引进一批信誉好、实力强、有潜力的企业落户西畴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bCs/>
          <w:color w:val="auto"/>
          <w:kern w:val="2"/>
          <w:sz w:val="32"/>
          <w:szCs w:val="32"/>
          <w:highlight w:val="none"/>
          <w:lang w:val="en-US" w:eastAsia="zh-CN" w:bidi="ar-SA"/>
        </w:rPr>
        <w:t>积极融入“一带一路”和“辐射中心”建设。</w:t>
      </w:r>
      <w:r>
        <w:rPr>
          <w:rFonts w:hint="eastAsia" w:ascii="宋体" w:hAnsi="宋体" w:eastAsia="方正仿宋_GBK" w:cstheme="minorBidi"/>
          <w:b w:val="0"/>
          <w:color w:val="auto"/>
          <w:kern w:val="2"/>
          <w:sz w:val="32"/>
          <w:szCs w:val="32"/>
          <w:highlight w:val="none"/>
          <w:lang w:val="en-US" w:eastAsia="zh-CN" w:bidi="ar-SA"/>
        </w:rPr>
        <w:t>围绕“民族团结示范区、生态文明建设排头兵、面向南亚东南亚辐射中心取得新进展”三大发展目标，突出基础设施、产业、企业家队伍、开放型经济建设，加快推进沿边铁路、沿边高速公路、贸易枢纽建设，不断从发展理念、方向、重点，从生产技术、标准，从合作的谋划、步骤、办法、手段入手，提高企业家队伍素质，提高发展水平，逐步融入和拓展多层次、多领域务实合作，不断融入“一带一路”和“辐射中心”建设。</w:t>
      </w:r>
    </w:p>
    <w:p>
      <w:pPr>
        <w:rPr>
          <w:rFonts w:hint="eastAsia" w:ascii="宋体" w:hAnsi="宋体" w:eastAsia="方正小标宋_GBK" w:cs="方正小标宋_GBK"/>
          <w:b/>
          <w:color w:val="auto"/>
          <w:kern w:val="44"/>
          <w:sz w:val="36"/>
          <w:szCs w:val="36"/>
          <w:highlight w:val="none"/>
          <w:lang w:val="en-US" w:eastAsia="zh-CN" w:bidi="ar"/>
        </w:rPr>
      </w:pPr>
      <w:r>
        <w:rPr>
          <w:rFonts w:hint="eastAsia" w:ascii="宋体" w:hAnsi="宋体" w:eastAsia="方正小标宋_GBK" w:cs="方正小标宋_GBK"/>
          <w:b/>
          <w:color w:val="auto"/>
          <w:kern w:val="44"/>
          <w:sz w:val="36"/>
          <w:szCs w:val="36"/>
          <w:highlight w:val="none"/>
          <w:lang w:val="en-US" w:eastAsia="zh-CN" w:bidi="ar"/>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b w:val="0"/>
          <w:color w:val="auto"/>
          <w:kern w:val="2"/>
          <w:sz w:val="44"/>
          <w:szCs w:val="44"/>
          <w:highlight w:val="none"/>
          <w:lang w:val="en-US" w:eastAsia="zh-CN" w:bidi="ar-SA"/>
        </w:rPr>
      </w:pPr>
      <w:bookmarkStart w:id="338" w:name="_Toc8224_WPSOffice_Level1"/>
      <w:bookmarkStart w:id="339" w:name="_Toc28358"/>
      <w:r>
        <w:rPr>
          <w:rFonts w:hint="eastAsia" w:ascii="宋体" w:hAnsi="宋体" w:eastAsia="方正小标宋_GBK" w:cs="方正小标宋_GBK"/>
          <w:b w:val="0"/>
          <w:color w:val="auto"/>
          <w:kern w:val="2"/>
          <w:sz w:val="44"/>
          <w:szCs w:val="44"/>
          <w:highlight w:val="none"/>
          <w:lang w:val="en-US" w:eastAsia="zh-CN" w:bidi="ar-SA"/>
        </w:rPr>
        <w:t>第十一篇  补齐民生福祉短板</w:t>
      </w:r>
      <w:bookmarkEnd w:id="252"/>
      <w:bookmarkEnd w:id="253"/>
      <w:bookmarkEnd w:id="254"/>
      <w:bookmarkEnd w:id="255"/>
      <w:bookmarkEnd w:id="256"/>
      <w:bookmarkEnd w:id="257"/>
      <w:r>
        <w:rPr>
          <w:rFonts w:hint="eastAsia" w:ascii="宋体" w:hAnsi="宋体" w:eastAsia="方正小标宋_GBK" w:cs="方正小标宋_GBK"/>
          <w:b w:val="0"/>
          <w:color w:val="auto"/>
          <w:kern w:val="2"/>
          <w:sz w:val="44"/>
          <w:szCs w:val="44"/>
          <w:highlight w:val="none"/>
          <w:lang w:val="en-US" w:eastAsia="zh-CN" w:bidi="ar-SA"/>
        </w:rPr>
        <w:t xml:space="preserve"> 加快构筑共建治共享  美好家园</w:t>
      </w:r>
      <w:bookmarkEnd w:id="338"/>
      <w:bookmarkEnd w:id="33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坚持以人为本的发展理念，大力提高教育、卫生、文化、体育、社会保障等基本公共服务均等化水平，按照标准化建设要求，全力补齐社会事业发展短板，逐步推进“幼有所育、学有所教、劳有所得、病有所医、老有所养、住有所居、弱有所扶”向“幼有善育、学有优教、劳有厚得、病有良医、老有颐养、住有宜居、弱有众扶”转变，提升人民群众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340" w:name="_Toc6040_WPSOffice_Level3"/>
      <w:bookmarkStart w:id="341" w:name="_Toc25629_WPSOffice_Level2"/>
      <w:bookmarkStart w:id="342" w:name="_Toc25643"/>
      <w:bookmarkStart w:id="343" w:name="_Toc13745"/>
      <w:bookmarkStart w:id="344" w:name="_Toc23028_WPSOffice_Level3"/>
      <w:bookmarkStart w:id="345" w:name="_Toc1396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第一章  推进社会事业体系建设</w:t>
      </w:r>
      <w:bookmarkEnd w:id="340"/>
      <w:bookmarkEnd w:id="341"/>
      <w:bookmarkEnd w:id="34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坚持人民情怀，巩固和改善民生，不断满足人民群众对美好生活日益增长的需要和对物质文化生活需要。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46" w:name="_Toc1031_WPSOffice_Level3"/>
      <w:bookmarkStart w:id="347" w:name="_Toc24660"/>
      <w:r>
        <w:rPr>
          <w:rFonts w:hint="eastAsia" w:ascii="宋体" w:hAnsi="宋体" w:eastAsia="方正楷体_GBK" w:cs="方正楷体_GBK"/>
          <w:b w:val="0"/>
          <w:color w:val="auto"/>
          <w:kern w:val="2"/>
          <w:sz w:val="32"/>
          <w:szCs w:val="32"/>
          <w:highlight w:val="none"/>
          <w:lang w:val="en-US" w:eastAsia="zh-CN" w:bidi="ar-SA"/>
        </w:rPr>
        <w:t>第一节  增强教育(美育)体育</w:t>
      </w:r>
      <w:bookmarkEnd w:id="343"/>
      <w:r>
        <w:rPr>
          <w:rFonts w:hint="eastAsia" w:ascii="宋体" w:hAnsi="宋体" w:eastAsia="方正楷体_GBK" w:cs="方正楷体_GBK"/>
          <w:b w:val="0"/>
          <w:color w:val="auto"/>
          <w:kern w:val="2"/>
          <w:sz w:val="32"/>
          <w:szCs w:val="32"/>
          <w:highlight w:val="none"/>
          <w:lang w:val="en-US" w:eastAsia="zh-CN" w:bidi="ar-SA"/>
        </w:rPr>
        <w:t>服务能力</w:t>
      </w:r>
      <w:bookmarkEnd w:id="344"/>
      <w:bookmarkEnd w:id="346"/>
      <w:bookmarkEnd w:id="34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持续巩固义务教育均衡发展成果，以“教体美均衡化和人民满意教育（美育）”为宗旨，突出高质量发展需要，结合城乡人口流动，标准化、规范化科学合理布局高中学校、乡村小规模学校和学前教育学校。持续深化城乡教育一体化改革，实施学校联网攻坚行动，充分利用人工智能、互联网开展远程教育，促进优质教学资源共享，逐步实现教育资源普惠，提高现代化教学水平。加强师资队伍建设，创新优质高中师资资源利用，全面普及高中阶段教育，办好人民满意的高中。加快现代职业教育发展，以市场需求和促进就业为导向，积极探索产教深度融合和校企合作，提高职业教育服务水平。鼓励民间资本进入教育领域，多形式改进办学条件和质量，增加群众对教育教学的选择渠道，推进教育事业稳步前行，深入贯彻落实教体结合教育模式，多渠道增加体育设施投入，增加青少年课外体育、群众体育活动场地和类型，不断丰富学生、群众体育健身活动，推进学生德、智、体、美、劳全面发展。积极发展多样化特色化体育赛事活动、民族体育健身运动、技能挑战运动，不断增强人民体质。认真落实各级婴幼儿照护服务和早期发展政策，支持有能力实体从事发展多种形式的婴幼儿照护服务，推进婴幼儿照护服务专业化、规范化发展，提高保育保教质量和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48" w:name="_Toc24305"/>
      <w:bookmarkStart w:id="349" w:name="_Toc25629_WPSOffice_Level3"/>
      <w:bookmarkStart w:id="350" w:name="_Toc17403"/>
      <w:bookmarkStart w:id="351" w:name="_Toc8440_WPSOffice_Level3"/>
      <w:r>
        <w:rPr>
          <w:rFonts w:hint="eastAsia" w:ascii="宋体" w:hAnsi="宋体" w:eastAsia="方正楷体_GBK" w:cs="方正楷体_GBK"/>
          <w:b w:val="0"/>
          <w:color w:val="auto"/>
          <w:kern w:val="2"/>
          <w:sz w:val="32"/>
          <w:szCs w:val="32"/>
          <w:highlight w:val="none"/>
          <w:lang w:val="en-US" w:eastAsia="zh-CN" w:bidi="ar-SA"/>
        </w:rPr>
        <w:t>第二节  提高卫生与健康</w:t>
      </w:r>
      <w:bookmarkEnd w:id="348"/>
      <w:r>
        <w:rPr>
          <w:rFonts w:hint="eastAsia" w:ascii="宋体" w:hAnsi="宋体" w:eastAsia="方正楷体_GBK" w:cs="方正楷体_GBK"/>
          <w:b w:val="0"/>
          <w:color w:val="auto"/>
          <w:kern w:val="2"/>
          <w:sz w:val="32"/>
          <w:szCs w:val="32"/>
          <w:highlight w:val="none"/>
          <w:lang w:val="en-US" w:eastAsia="zh-CN" w:bidi="ar-SA"/>
        </w:rPr>
        <w:t>幸福指数</w:t>
      </w:r>
      <w:bookmarkEnd w:id="349"/>
      <w:bookmarkEnd w:id="350"/>
      <w:bookmarkEnd w:id="35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建立健全医疗卫生服务能力、公共卫生防疫、重大公共卫生事件应急体系，提高医疗服务保障能力。坚持“大健康”发展理念，把人民健康放在优先发展的战略位置，推进医疗、保健、养身、康体与旅游融合。积极提高医疗卫生服务人员能力，加快卫生健康从“以防病治病为中心”到“以健康服务为中心”的服务方式转变。扎实推进爱国卫生7个专项行动、慢性病综合防控示范创建和病媒生物防控先进县创建工作，全面推进健康西畴2030行动，构建“美丽洁净健康新西畴”。大力推进卫生与健康领域的供给侧结构性改革，提高医疗卫生保健的社会参与率,加强人工智能、互联网在医疗领域应用，增强互联网医疗服务能力和服务范围。积极开展麻疯病、传染性疾病、地方病、职业病、尘肺病、慢性病等防治，不断提升全民健康的质量和水平，增进人民群众的健康指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default"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2025年，每千人口拥有执业（助理）医师数达3人，每千人口拥有3岁以下婴幼儿托位数3人，人均预期寿命达78岁。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52" w:name="_Toc1223"/>
      <w:bookmarkStart w:id="353" w:name="_Toc2317"/>
      <w:bookmarkStart w:id="354" w:name="_Toc9171_WPSOffice_Level3"/>
      <w:bookmarkStart w:id="355" w:name="_Toc13032_WPSOffice_Level3"/>
      <w:r>
        <w:rPr>
          <w:rFonts w:hint="eastAsia" w:ascii="宋体" w:hAnsi="宋体" w:eastAsia="方正楷体_GBK" w:cs="方正楷体_GBK"/>
          <w:b w:val="0"/>
          <w:color w:val="auto"/>
          <w:kern w:val="2"/>
          <w:sz w:val="32"/>
          <w:szCs w:val="32"/>
          <w:highlight w:val="none"/>
          <w:lang w:val="en-US" w:eastAsia="zh-CN" w:bidi="ar-SA"/>
        </w:rPr>
        <w:t>第三节  提升群众文化</w:t>
      </w:r>
      <w:bookmarkEnd w:id="352"/>
      <w:r>
        <w:rPr>
          <w:rFonts w:hint="eastAsia" w:ascii="宋体" w:hAnsi="宋体" w:eastAsia="方正楷体_GBK" w:cs="方正楷体_GBK"/>
          <w:b w:val="0"/>
          <w:color w:val="auto"/>
          <w:kern w:val="2"/>
          <w:sz w:val="32"/>
          <w:szCs w:val="32"/>
          <w:highlight w:val="none"/>
          <w:lang w:val="en-US" w:eastAsia="zh-CN" w:bidi="ar-SA"/>
        </w:rPr>
        <w:t>水平</w:t>
      </w:r>
      <w:bookmarkEnd w:id="353"/>
      <w:bookmarkEnd w:id="354"/>
      <w:bookmarkEnd w:id="35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坚持以马克思主义道德观、社会主义核心价值观为引领，围绕“城乡现代化建设同步、公共服务同质、法治保障同权、精神家园同建、社会和谐同创”工作目标，对城乡文化、体育设施提档升级，丰富民族民间文体活动。强化文物、文献、文史保护力度，做好民族民间文化传承。积极开展数字广播电视户户通行动，将党的声音和政策传递到千家万户。加强村(社)文化宣传阵营建设，以为人民服务为核心，积极开展村民文化学习指导，发展一批农村文娱宣传队伍。以国际文化和地方非遗文化、民族文化、民间文化、红色文化、“西畴精神”为载体，发展西畴特色文化汇演、故事、动漫、游戏精品，促进文化产业发展。加大广大人民群众爱祖国、爱人民、爱劳动、爱科学、爱社会主义及家风教育，以主流价值构建道德规范，创建一批“明大德、守公德、严私德”家庭。加强法律法规普及，培育一批开展邻里互助、纠纷调解、平安创建、养老照护、公益慈善等志愿服务队。加大对非物质文化遗产、革命遗址保护和开发力度，充分展示地域特色民族文化，不断丰富“西畴文化馆”特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56" w:name="_Toc3638"/>
      <w:bookmarkStart w:id="357" w:name="_Toc27900_WPSOffice_Level3"/>
      <w:bookmarkStart w:id="358" w:name="_Toc24656_WPSOffice_Level3"/>
      <w:bookmarkStart w:id="359" w:name="_Toc16501"/>
      <w:r>
        <w:rPr>
          <w:rFonts w:hint="eastAsia" w:ascii="宋体" w:hAnsi="宋体" w:eastAsia="方正楷体_GBK" w:cs="方正楷体_GBK"/>
          <w:b w:val="0"/>
          <w:color w:val="auto"/>
          <w:kern w:val="2"/>
          <w:sz w:val="32"/>
          <w:szCs w:val="32"/>
          <w:highlight w:val="none"/>
          <w:lang w:val="en-US" w:eastAsia="zh-CN" w:bidi="ar-SA"/>
        </w:rPr>
        <w:t>第四节  推进养老</w:t>
      </w:r>
      <w:bookmarkEnd w:id="356"/>
      <w:r>
        <w:rPr>
          <w:rFonts w:hint="eastAsia" w:ascii="宋体" w:hAnsi="宋体" w:eastAsia="方正楷体_GBK" w:cs="方正楷体_GBK"/>
          <w:b w:val="0"/>
          <w:color w:val="auto"/>
          <w:kern w:val="2"/>
          <w:sz w:val="32"/>
          <w:szCs w:val="32"/>
          <w:highlight w:val="none"/>
          <w:lang w:val="en-US" w:eastAsia="zh-CN" w:bidi="ar-SA"/>
        </w:rPr>
        <w:t>服务上台阶</w:t>
      </w:r>
      <w:bookmarkEnd w:id="357"/>
      <w:bookmarkEnd w:id="358"/>
      <w:bookmarkEnd w:id="35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建立差别化的非营利性与营利性养老服务机构用地政策，采取争取补助、社会资本融入等方式，将新建住宅小区、安置小区的养老服务设施实行“四同步”配套建设，大力发展政府扶得起、村里办得起、农民用得上、服务可持续的养老院和农村幸福院，建立健全定期巡访独居、空巢、留守老人工作机制，完善老年人关爱服务体系，实施“互联网+养老”行动，持续推动智慧健康养老产业发展，拓展信息技术在养老领域的应用，推进“智慧养老院”建设。积极探索行政部门、行业企业、学校医院开展老年大学服务，严格执行国家养老机构建设安全标准和服务规范制度，严格落实国家统一的养老服务等级评定与认证制度，严格落实养老服务从业人员培训费补贴、职业技能鉴定补贴等政策，健全养老机构食品安全监管机制，培养一批职业养老人员，促进现有医疗卫生机构和养老机构合作，推动我县居家、社区、机构、景区养老融合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60" w:name="_Toc20487_WPSOffice_Level3"/>
      <w:bookmarkStart w:id="361" w:name="_Toc5612_WPSOffice_Level3"/>
      <w:bookmarkStart w:id="362" w:name="_Toc16979"/>
      <w:r>
        <w:rPr>
          <w:rFonts w:hint="eastAsia" w:ascii="宋体" w:hAnsi="宋体" w:eastAsia="方正楷体_GBK" w:cs="方正楷体_GBK"/>
          <w:b w:val="0"/>
          <w:color w:val="auto"/>
          <w:kern w:val="2"/>
          <w:sz w:val="32"/>
          <w:szCs w:val="32"/>
          <w:highlight w:val="none"/>
          <w:lang w:val="en-US" w:eastAsia="zh-CN" w:bidi="ar-SA"/>
        </w:rPr>
        <w:t>第五节  促进社会保障更加公平公正</w:t>
      </w:r>
      <w:bookmarkEnd w:id="360"/>
      <w:bookmarkEnd w:id="361"/>
      <w:bookmarkEnd w:id="36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健全和完善城乡养老保险、医疗保险收缴与发放使用制度。标准化建立健全特殊困难群体缴费保障、大病医疗保障缴费工作制度、公平公正公开失业保险发放制度、特殊困难群体的生产扶持(就业)和生活保障制度、灾民临时救助制度。抓好社会保障信息平台建设，做好保障政策宣传，畅通困难人员救助补助渠道，提高困难人员救助补助标准的可预知性，确保社会保障及时、方便、快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63" w:name="_Toc4168_WPSOffice_Level3"/>
      <w:bookmarkStart w:id="364" w:name="_Toc23050_WPSOffice_Level3"/>
      <w:bookmarkStart w:id="365" w:name="_Toc20648"/>
      <w:r>
        <w:rPr>
          <w:rFonts w:hint="eastAsia" w:ascii="宋体" w:hAnsi="宋体" w:eastAsia="方正楷体_GBK" w:cs="方正楷体_GBK"/>
          <w:b w:val="0"/>
          <w:color w:val="auto"/>
          <w:kern w:val="2"/>
          <w:sz w:val="32"/>
          <w:szCs w:val="32"/>
          <w:highlight w:val="none"/>
          <w:lang w:val="en-US" w:eastAsia="zh-CN" w:bidi="ar-SA"/>
        </w:rPr>
        <w:t>第六节</w:t>
      </w:r>
      <w:bookmarkEnd w:id="363"/>
      <w:r>
        <w:rPr>
          <w:rFonts w:hint="eastAsia" w:ascii="宋体" w:hAnsi="宋体" w:eastAsia="方正楷体_GBK" w:cs="方正楷体_GBK"/>
          <w:b w:val="0"/>
          <w:color w:val="auto"/>
          <w:kern w:val="2"/>
          <w:sz w:val="32"/>
          <w:szCs w:val="32"/>
          <w:highlight w:val="none"/>
          <w:lang w:val="en-US" w:eastAsia="zh-CN" w:bidi="ar-SA"/>
        </w:rPr>
        <w:t xml:space="preserve">  提高就业水平</w:t>
      </w:r>
      <w:bookmarkEnd w:id="364"/>
      <w:bookmarkEnd w:id="36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366" w:name="_Toc1276_WPSOffice_Level2"/>
      <w:bookmarkStart w:id="367" w:name="_Toc25740_WPSOffice_Level3"/>
      <w:r>
        <w:rPr>
          <w:rFonts w:hint="eastAsia" w:ascii="宋体" w:hAnsi="宋体" w:eastAsia="方正仿宋_GBK" w:cstheme="minorBidi"/>
          <w:b w:val="0"/>
          <w:color w:val="auto"/>
          <w:kern w:val="2"/>
          <w:sz w:val="32"/>
          <w:szCs w:val="32"/>
          <w:highlight w:val="none"/>
          <w:lang w:val="en-US" w:eastAsia="zh-CN" w:bidi="ar-SA"/>
        </w:rPr>
        <w:t>坚持经济发展就业导向，扩大就业容量，促进充分就业，保障劳动者待遇和权益。健全就业公共服务体系、劳动关系协调机制、终身职业技能培训制度，推进职业技能提升行动。统筹城乡就业政策体系，完善促进创业带动就业、多渠道灵活就业的保障制度，完善重点群体就业支持体系，鼓励高校毕业生到基层就业创业，提升退役军人就业质量，重点帮扶残疾人、零就业家庭成员就业。健全劳务协作机制，推动区域劳务协作。健全就业需求调查和失业监测预警机制，千方百计稳定和扩大就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368" w:name="_Toc22584_WPSOffice_Level3"/>
      <w:bookmarkStart w:id="369" w:name="_Toc13032_WPSOffice_Level2"/>
      <w:bookmarkStart w:id="370" w:name="_Toc135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第二章  提高标准化配置水平</w:t>
      </w:r>
      <w:bookmarkEnd w:id="366"/>
      <w:bookmarkEnd w:id="368"/>
      <w:bookmarkEnd w:id="369"/>
      <w:bookmarkEnd w:id="37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围绕社会事业各领域建设的相关标准，注重区域资源承载和发展的预期性分析研判，以人口的转移、吸纳、承接为基础，依托现有科技水平，突出高质量发展特点，在基于总量平衡的基础上，对各领域社会事业建设项目的规模进行优化，尽量减少各类资源浪费，确保社会事业充分满足社会发展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71" w:name="_Toc30998"/>
      <w:bookmarkStart w:id="372" w:name="_Toc29976_WPSOffice_Level3"/>
      <w:bookmarkStart w:id="373" w:name="_Toc17292_WPSOffice_Level3"/>
      <w:bookmarkStart w:id="374" w:name="_Toc13874"/>
      <w:r>
        <w:rPr>
          <w:rFonts w:hint="eastAsia" w:ascii="宋体" w:hAnsi="宋体" w:eastAsia="方正楷体_GBK" w:cs="方正楷体_GBK"/>
          <w:b w:val="0"/>
          <w:color w:val="auto"/>
          <w:kern w:val="2"/>
          <w:sz w:val="32"/>
          <w:szCs w:val="32"/>
          <w:highlight w:val="none"/>
          <w:lang w:val="en-US" w:eastAsia="zh-CN" w:bidi="ar-SA"/>
        </w:rPr>
        <w:t>第一节  标准化配置设施</w:t>
      </w:r>
      <w:bookmarkEnd w:id="371"/>
      <w:bookmarkEnd w:id="372"/>
      <w:r>
        <w:rPr>
          <w:rFonts w:hint="eastAsia" w:ascii="宋体" w:hAnsi="宋体" w:eastAsia="方正楷体_GBK" w:cs="方正楷体_GBK"/>
          <w:b w:val="0"/>
          <w:color w:val="auto"/>
          <w:kern w:val="2"/>
          <w:sz w:val="32"/>
          <w:szCs w:val="32"/>
          <w:highlight w:val="none"/>
          <w:lang w:val="en-US" w:eastAsia="zh-CN" w:bidi="ar-SA"/>
        </w:rPr>
        <w:t>设备</w:t>
      </w:r>
      <w:bookmarkEnd w:id="373"/>
      <w:bookmarkEnd w:id="37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根据生产力空间布局，结合《西畴县乡村振兴战略实施规划》中的差异化推进乡村发展要求，充分考虑“广大农村</w:t>
      </w:r>
      <w:r>
        <w:rPr>
          <w:rFonts w:hint="default" w:ascii="宋体" w:hAnsi="宋体" w:eastAsia="方正仿宋_GBK" w:cstheme="minorBidi"/>
          <w:b w:val="0"/>
          <w:color w:val="auto"/>
          <w:kern w:val="2"/>
          <w:sz w:val="32"/>
          <w:szCs w:val="32"/>
          <w:highlight w:val="none"/>
          <w:lang w:val="en-US" w:eastAsia="zh-CN" w:bidi="ar-SA"/>
        </w:rPr>
        <w:t>资源承载差、产出率低</w:t>
      </w:r>
      <w:r>
        <w:rPr>
          <w:rFonts w:hint="eastAsia" w:ascii="宋体" w:hAnsi="宋体" w:eastAsia="方正仿宋_GBK" w:cstheme="minorBidi"/>
          <w:b w:val="0"/>
          <w:color w:val="auto"/>
          <w:kern w:val="2"/>
          <w:sz w:val="32"/>
          <w:szCs w:val="32"/>
          <w:highlight w:val="none"/>
          <w:lang w:val="en-US" w:eastAsia="zh-CN" w:bidi="ar-SA"/>
        </w:rPr>
        <w:t>、</w:t>
      </w:r>
      <w:r>
        <w:rPr>
          <w:rFonts w:hint="default" w:ascii="宋体" w:hAnsi="宋体" w:eastAsia="方正仿宋_GBK" w:cstheme="minorBidi"/>
          <w:b w:val="0"/>
          <w:color w:val="auto"/>
          <w:kern w:val="2"/>
          <w:sz w:val="32"/>
          <w:szCs w:val="32"/>
          <w:highlight w:val="none"/>
          <w:lang w:val="en-US" w:eastAsia="zh-CN" w:bidi="ar-SA"/>
        </w:rPr>
        <w:t>不具有保留价值的20户以下不具备发展条件村庄及自然保护区核心区、生态脆弱区、地质灾害易发区、重要饮用水源区、重要经济发展聚焦区等特殊区域的村庄</w:t>
      </w:r>
      <w:r>
        <w:rPr>
          <w:rFonts w:hint="eastAsia" w:ascii="宋体" w:hAnsi="宋体" w:eastAsia="方正仿宋_GBK" w:cstheme="minorBidi"/>
          <w:b w:val="0"/>
          <w:color w:val="auto"/>
          <w:kern w:val="2"/>
          <w:sz w:val="32"/>
          <w:szCs w:val="32"/>
          <w:highlight w:val="none"/>
          <w:lang w:val="en-US" w:eastAsia="zh-CN" w:bidi="ar-SA"/>
        </w:rPr>
        <w:t>”搬迁撤并等因素，按照人口发展及变化需求，“标准化、优质化、特色化”改造或建设社会事业用房。围绕实现现代化、智能化要求，标准化进行现场教育教学设备、远程可视化教育教学设备配置，以满足城乡幼儿园、中小学、高中学生的教育发展需求。按照“30分钟医疗服务圈”要求，配置好县级医疗机构、乡（镇）卫生院、行政村（社区）卫生室，标准化配置医疗检查操作设备、远程可视化医疗教学设备、病床、移动医疗设施配置。配全县乡村（社区）各类敬老院、福利院、居家养老中心等民政福利机构，健全县级残疾人康复中心、托养中心及配套设施，健全县乡村（社区）老年活动室、文化娱乐室、乡村文化阵地等设施设备提档升级。合理配置乡村体育运动场、停车场、公园、公厕等社会事业基础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75" w:name="_Toc30563_WPSOffice_Level3"/>
      <w:bookmarkStart w:id="376" w:name="_Toc2807_WPSOffice_Level3"/>
      <w:bookmarkStart w:id="377" w:name="_Toc7563"/>
      <w:bookmarkStart w:id="378" w:name="_Toc11769"/>
      <w:r>
        <w:rPr>
          <w:rFonts w:hint="eastAsia" w:ascii="宋体" w:hAnsi="宋体" w:eastAsia="方正楷体_GBK" w:cs="方正楷体_GBK"/>
          <w:b w:val="0"/>
          <w:color w:val="auto"/>
          <w:kern w:val="2"/>
          <w:sz w:val="32"/>
          <w:szCs w:val="32"/>
          <w:highlight w:val="none"/>
          <w:lang w:val="en-US" w:eastAsia="zh-CN" w:bidi="ar-SA"/>
        </w:rPr>
        <w:t>第二节  标准化配置相关人员</w:t>
      </w:r>
      <w:bookmarkEnd w:id="375"/>
      <w:bookmarkEnd w:id="376"/>
      <w:bookmarkEnd w:id="377"/>
      <w:bookmarkEnd w:id="37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根据区域人口变化实际，按照各类服务队伍配置标准，积极做好各类社会事业服务人员的招聘、录用和社会购买，不断调整充实师资、医疗、文化辅导和其它专业服务队伍。建立健全在岗社会事业服务人员培训培养制度，加强服务人员政治思想教育，不断提高服务人员的服务意识和服务水平，不断提高现代服务人员的服务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79" w:name="_Toc606"/>
      <w:bookmarkStart w:id="380" w:name="_Toc3605"/>
      <w:bookmarkStart w:id="381" w:name="_Toc5368_WPSOffice_Level3"/>
      <w:bookmarkStart w:id="382" w:name="_Toc13526_WPSOffice_Level3"/>
      <w:r>
        <w:rPr>
          <w:rFonts w:hint="eastAsia" w:ascii="宋体" w:hAnsi="宋体" w:eastAsia="方正楷体_GBK" w:cs="方正楷体_GBK"/>
          <w:b w:val="0"/>
          <w:color w:val="auto"/>
          <w:kern w:val="2"/>
          <w:sz w:val="32"/>
          <w:szCs w:val="32"/>
          <w:highlight w:val="none"/>
          <w:lang w:val="en-US" w:eastAsia="zh-CN" w:bidi="ar-SA"/>
        </w:rPr>
        <w:t>第三节  抓好信息运用</w:t>
      </w:r>
      <w:bookmarkEnd w:id="379"/>
      <w:bookmarkEnd w:id="380"/>
      <w:bookmarkEnd w:id="381"/>
      <w:bookmarkEnd w:id="38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提高社会事业信息化水平，加快实施“互联网+社会事业”攻坚行动，积极拓展5G网络工程运用，全力推进“互联网+教育”“互联网+医疗健康”“互联网+文化体育”“互联网+社会保障”等计划。积极开创“一校带多校”同步互动课堂、医疗远程示范操作培训、基本医疗保险异地结算、居民信息“一点通”，城乡社会救助信息“社银一体化”等建设新局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楷体_GBK" w:cs="方正楷体_GBK"/>
          <w:b w:val="0"/>
          <w:color w:val="auto"/>
          <w:kern w:val="2"/>
          <w:sz w:val="32"/>
          <w:szCs w:val="32"/>
          <w:highlight w:val="none"/>
          <w:lang w:val="en-US" w:eastAsia="zh-CN" w:bidi="ar-SA"/>
        </w:rPr>
      </w:pPr>
      <w:bookmarkStart w:id="383" w:name="_Toc21077_WPSOffice_Level2"/>
      <w:bookmarkStart w:id="384" w:name="_Toc23307_WPSOffice_Level3"/>
      <w:bookmarkStart w:id="385" w:name="_Toc24656_WPSOffice_Level2"/>
      <w:bookmarkStart w:id="386" w:name="_Toc115"/>
      <w:bookmarkStart w:id="387" w:name="_Toc22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第三章　提高社会事业建设水平</w:t>
      </w:r>
      <w:bookmarkEnd w:id="383"/>
      <w:bookmarkEnd w:id="384"/>
      <w:bookmarkEnd w:id="385"/>
      <w:bookmarkEnd w:id="386"/>
      <w:bookmarkEnd w:id="38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加强社会事业投入，鼓励支持民营企业、社会组织、个人参与社会事业建设，推进社会事业快速发展。充分注重社会事业建设在城乡建设规划中的地位作用，坚持现有资源利用，坚持“缺什么、补什么”“哪里缺、补哪里”原则，确保社会事业进步与经济发展相适应。突出区域未来发展的特点和重点，做好社会事业项目的规划和布局，做实预算内资金补助项目的前期工作，加大各级预算内资金争取力度，确保社会事业项目及时落地。切实加大教育、医疗、妇幼保健、社会福利机构等领域的开放力度，认真落实《中共中央国务院关于营造更好发展环境支持民营企业改革发展的意见》，坚持公平竞争、各类市场主体一视同仁，积极营造社会事业公平竞争的市场环境、政策环境、法治环境，确保各类主体进入社会事业的权利平等、机会平等、规则平等。鼓励民营企业、社会资本进入我县的社会事业领域，根据生产空间和生活空间的规划布局，坚持高质量发展标准与要求，重点对项目资金投入、政策应用、收益来源分析研究，本着投资回收可预期原则，重点研究投资回补方法和路径。定期发布我县的社会事业建设招商引资项目，吸引社会资本参与社会事业建设，提高社会资本在我县社会事业发展融合度，促进社会事业健康协调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388" w:name="_Toc10221_WPSOffice_Level3"/>
      <w:bookmarkStart w:id="389" w:name="_Toc6640"/>
      <w:bookmarkStart w:id="390" w:name="_Toc8594_WPSOffice_Level3"/>
      <w:bookmarkStart w:id="391" w:name="_Toc5612_WPSOffice_Level2"/>
      <w:bookmarkStart w:id="392" w:name="_Toc1870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第四章  健全社会融合管理</w:t>
      </w:r>
      <w:bookmarkEnd w:id="388"/>
      <w:bookmarkEnd w:id="389"/>
      <w:bookmarkEnd w:id="390"/>
      <w:bookmarkEnd w:id="391"/>
      <w:bookmarkEnd w:id="39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在国家法律、法规和政策指导下，依照各类社会事业管理特点和重点，分类完善各类社会事业管理制度，建立健全相关各类社会事业管理的执行标准、操作标准，抓好信息数据采集与运用，建立可视化管理系统，逐步实现可视化管理。要求社会化、商业化社会事业服务机构对服务的范围、内容、相关收费标准等向社会公开公示，接受社会监督。强化社会事业社会化、商业化社会服务机构诚信教育，设立社会事业商业化服务机构社会信用“红黑榜”“黑名单”，坚持政府失信责任追溯和承担机制，实现管理有据可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bookmarkStart w:id="393" w:name="_Toc18565"/>
      <w:bookmarkStart w:id="394" w:name="_Toc23050_WPSOffice_Level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宋体" w:hAnsi="宋体" w:eastAsia="方正黑体_GBK" w:cs="方正黑体_GBK"/>
          <w:b w:val="0"/>
          <w:color w:val="auto"/>
          <w:kern w:val="2"/>
          <w:sz w:val="32"/>
          <w:szCs w:val="32"/>
          <w:highlight w:val="none"/>
          <w:lang w:val="en-US" w:eastAsia="zh-CN" w:bidi="ar-SA"/>
        </w:rPr>
      </w:pPr>
      <w:r>
        <w:rPr>
          <w:rFonts w:hint="eastAsia" w:ascii="宋体" w:hAnsi="宋体" w:eastAsia="方正黑体_GBK" w:cs="方正黑体_GBK"/>
          <w:b w:val="0"/>
          <w:color w:val="auto"/>
          <w:kern w:val="2"/>
          <w:sz w:val="32"/>
          <w:szCs w:val="32"/>
          <w:highlight w:val="none"/>
          <w:lang w:val="en-US" w:eastAsia="zh-CN" w:bidi="ar-SA"/>
        </w:rPr>
        <w:t>第五章  提高防灾减灾与应急管理能力</w:t>
      </w:r>
      <w:bookmarkEnd w:id="393"/>
      <w:bookmarkEnd w:id="39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方正仿宋_GBK" w:cstheme="minorBidi"/>
          <w:b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坚持“以防为主、防抗救相结合”原则，统筹抓好县级应急物资综合储备中心和应急保障政策建设，积极做好各类应急装备物资采购、分类管理与更新，保证各类应急救援需要。抓好应急风险防控、监测预警、应急指挥、应急救援、信息保障、宣传教育、应急避难等工程建设，提高应急体系保障能力。加强应急队伍的替代与培训，提高应急快速反应能力。做好地质灾害调查、排查、自然灾害预测预警、安全生产排查、安全隐患消除、农村消防基础设施建设。抓好各类应急预案修正与调整，提高应急预案的适用性和可操作性。</w:t>
      </w:r>
    </w:p>
    <w:tbl>
      <w:tblPr>
        <w:tblStyle w:val="20"/>
        <w:tblW w:w="8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88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方正仿宋_GBK" w:cs="方正仿宋_GBK"/>
                <w:b/>
                <w:bCs/>
                <w:color w:val="auto"/>
                <w:kern w:val="0"/>
                <w:sz w:val="32"/>
                <w:szCs w:val="32"/>
                <w:highlight w:val="none"/>
                <w:lang w:val="en-US" w:eastAsia="zh-CN" w:bidi="ar"/>
              </w:rPr>
              <w:t>专栏12：</w:t>
            </w:r>
            <w:r>
              <w:rPr>
                <w:rFonts w:hint="eastAsia" w:ascii="宋体" w:hAnsi="宋体" w:eastAsia="方正仿宋_GBK" w:cs="方正仿宋_GBK"/>
                <w:b w:val="0"/>
                <w:bCs w:val="0"/>
                <w:color w:val="auto"/>
                <w:kern w:val="0"/>
                <w:sz w:val="32"/>
                <w:szCs w:val="32"/>
                <w:highlight w:val="none"/>
                <w:lang w:val="en-US" w:eastAsia="zh-CN" w:bidi="ar"/>
              </w:rPr>
              <w:t>社会事业建设工程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8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教育强基工程：</w:t>
            </w:r>
            <w:r>
              <w:rPr>
                <w:rFonts w:hint="eastAsia" w:ascii="宋体" w:hAnsi="宋体" w:eastAsia="宋体" w:cs="宋体"/>
                <w:i w:val="0"/>
                <w:color w:val="auto"/>
                <w:kern w:val="0"/>
                <w:sz w:val="22"/>
                <w:szCs w:val="22"/>
                <w:highlight w:val="none"/>
                <w:u w:val="none"/>
                <w:lang w:val="en-US" w:eastAsia="zh-CN" w:bidi="ar"/>
              </w:rPr>
              <w:t>做好西洒、兴街地区幼儿园的布局与建设，做好农村学前教育普及普惠。围绕义教均衡，进一步优化义务教育教学点。做好职业教育实训基地建设。抓好教育信息网络建设与运用。建设好乡镇健身中心，按人均2平方米要求合理配置城乡体育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889"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健康工程：</w:t>
            </w:r>
            <w:r>
              <w:rPr>
                <w:rFonts w:hint="eastAsia" w:ascii="宋体" w:hAnsi="宋体" w:eastAsia="宋体" w:cs="宋体"/>
                <w:i w:val="0"/>
                <w:color w:val="auto"/>
                <w:kern w:val="0"/>
                <w:sz w:val="22"/>
                <w:szCs w:val="22"/>
                <w:highlight w:val="none"/>
                <w:u w:val="none"/>
                <w:lang w:val="en-US" w:eastAsia="zh-CN" w:bidi="ar"/>
              </w:rPr>
              <w:t>突出抓好莲花塘医养康基地建设。加强信息远程化建设，提高医疗技能承接水平。建好第二人民医院及社区（小区）自然村健康屋。加强信息平台建设和个人健康档案建设，推进个人健康信息“一点通”建设进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89"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文化工程：</w:t>
            </w:r>
            <w:r>
              <w:rPr>
                <w:rFonts w:hint="eastAsia" w:ascii="宋体" w:hAnsi="宋体" w:eastAsia="宋体" w:cs="宋体"/>
                <w:i w:val="0"/>
                <w:color w:val="auto"/>
                <w:kern w:val="0"/>
                <w:sz w:val="22"/>
                <w:szCs w:val="22"/>
                <w:highlight w:val="none"/>
                <w:u w:val="none"/>
                <w:lang w:val="en-US" w:eastAsia="zh-CN" w:bidi="ar"/>
              </w:rPr>
              <w:t>做好民族民间文化、“西畴精神”保护、传承与弘扬，开发一批文艺精品。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89"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老年人关爱工程：</w:t>
            </w:r>
            <w:r>
              <w:rPr>
                <w:rFonts w:hint="eastAsia" w:ascii="宋体" w:hAnsi="宋体" w:eastAsia="宋体" w:cs="宋体"/>
                <w:i w:val="0"/>
                <w:color w:val="auto"/>
                <w:kern w:val="0"/>
                <w:sz w:val="22"/>
                <w:szCs w:val="22"/>
                <w:highlight w:val="none"/>
                <w:u w:val="none"/>
                <w:lang w:val="en-US" w:eastAsia="zh-CN" w:bidi="ar"/>
              </w:rPr>
              <w:t>抓好县城、乡（镇）老年大学建设，做好乡镇、行政村、较大自然村养老集中点建设。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8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幼儿关照工程：</w:t>
            </w:r>
            <w:r>
              <w:rPr>
                <w:rFonts w:hint="eastAsia" w:ascii="宋体" w:hAnsi="宋体" w:eastAsia="宋体" w:cs="宋体"/>
                <w:i w:val="0"/>
                <w:color w:val="auto"/>
                <w:kern w:val="0"/>
                <w:sz w:val="22"/>
                <w:szCs w:val="22"/>
                <w:highlight w:val="none"/>
                <w:u w:val="none"/>
                <w:lang w:val="en-US" w:eastAsia="zh-CN" w:bidi="ar"/>
              </w:rPr>
              <w:t>在县城、乡（镇）培育一批托育服务机构，增设一批3岁以下托育学位。</w:t>
            </w:r>
          </w:p>
        </w:tc>
      </w:tr>
    </w:tbl>
    <w:p>
      <w:pPr>
        <w:rPr>
          <w:rFonts w:hint="eastAsia" w:ascii="宋体" w:hAnsi="宋体" w:eastAsia="方正仿宋_GBK" w:cs="方正仿宋_GBK"/>
          <w:b w:val="0"/>
          <w:bCs w:val="0"/>
          <w:color w:val="auto"/>
          <w:kern w:val="0"/>
          <w:sz w:val="32"/>
          <w:szCs w:val="32"/>
          <w:highlight w:val="none"/>
          <w:lang w:val="en-US" w:eastAsia="zh-CN" w:bidi="ar"/>
        </w:rPr>
      </w:pPr>
      <w:r>
        <w:rPr>
          <w:rFonts w:hint="eastAsia" w:ascii="宋体" w:hAnsi="宋体" w:eastAsia="方正仿宋_GBK" w:cs="方正仿宋_GBK"/>
          <w:b w:val="0"/>
          <w:bCs w:val="0"/>
          <w:color w:val="auto"/>
          <w:kern w:val="0"/>
          <w:sz w:val="32"/>
          <w:szCs w:val="32"/>
          <w:highlight w:val="none"/>
          <w:lang w:val="en-US" w:eastAsia="zh-CN" w:bidi="ar"/>
        </w:rPr>
        <w:br w:type="page"/>
      </w:r>
    </w:p>
    <w:bookmarkEnd w:id="345"/>
    <w:bookmarkEnd w:id="367"/>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0"/>
        <w:rPr>
          <w:rFonts w:hint="eastAsia" w:ascii="宋体" w:hAnsi="宋体" w:eastAsia="方正小标宋_GBK" w:cs="方正小标宋_GBK"/>
          <w:b w:val="0"/>
          <w:bCs/>
          <w:color w:val="auto"/>
          <w:kern w:val="44"/>
          <w:sz w:val="44"/>
          <w:szCs w:val="44"/>
          <w:highlight w:val="none"/>
          <w:lang w:val="en-US" w:eastAsia="zh-CN" w:bidi="ar"/>
        </w:rPr>
      </w:pPr>
      <w:bookmarkStart w:id="395" w:name="_Toc10354_WPSOffice_Level1"/>
      <w:bookmarkStart w:id="396" w:name="_Toc6253"/>
      <w:bookmarkStart w:id="397" w:name="_Toc27292_WPSOffice_Level1"/>
      <w:r>
        <w:rPr>
          <w:rFonts w:hint="eastAsia" w:ascii="宋体" w:hAnsi="宋体" w:eastAsia="方正小标宋_GBK" w:cs="方正小标宋_GBK"/>
          <w:b w:val="0"/>
          <w:bCs/>
          <w:color w:val="auto"/>
          <w:kern w:val="44"/>
          <w:sz w:val="44"/>
          <w:szCs w:val="44"/>
          <w:highlight w:val="none"/>
          <w:lang w:val="en-US" w:eastAsia="zh-CN" w:bidi="ar"/>
        </w:rPr>
        <w:t>第十二篇  推动社会治理体系和治理能力现代化 建设更高水平平安西畴</w:t>
      </w:r>
      <w:bookmarkEnd w:id="395"/>
      <w:bookmarkEnd w:id="396"/>
      <w:bookmarkEnd w:id="39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共建共治共享的社会治理制度是保持社会稳定的重要保障。认真贯彻落实《中共中央关于坚持和完善中国特色社会主义制度 推进国家治理体系和治理能力现代化若干重大问题的决定》。健全和完善党委领导、政府负责、民主协商、社会协同、公众参与、法治保障、科技支撑的社会治理体系，努力构建人人有责、人人尽责、人人享有的社会治理共同体，确保人民安居乐业、社会安定有序。  </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仿宋_GBK" w:cs="方正小标宋_GBK"/>
          <w:b w:val="0"/>
          <w:bCs/>
          <w:color w:val="auto"/>
          <w:kern w:val="2"/>
          <w:sz w:val="32"/>
          <w:szCs w:val="32"/>
          <w:highlight w:val="none"/>
          <w:lang w:val="en-US" w:eastAsia="zh-CN" w:bidi="ar-SA"/>
        </w:rPr>
      </w:pPr>
      <w:bookmarkStart w:id="398" w:name="_Toc5864_WPSOffice_Level2"/>
      <w:bookmarkStart w:id="399" w:name="_Toc28524"/>
      <w:bookmarkStart w:id="400" w:name="_Toc17292_WPSOffice_Level2"/>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第一章  健全和完善社会矛盾调处体系</w:t>
      </w:r>
      <w:bookmarkEnd w:id="398"/>
      <w:bookmarkEnd w:id="399"/>
      <w:bookmarkEnd w:id="40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default"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坚持和发展新时代“枫桥经验”，完善信访制度，畅通和规范群众诉求表达、利益协调、权益保障通道。充分发挥村小组、村“两委”基层组织人民调解“第一道防线”作用，进一步完善人民调解、行政调解、司法调解联动工作体系，构建社会矛盾纠纷多元预防调处化解综合机制。完善重大项目、重大工程、重大决策社会稳定风险评估制度，健全社会心理服务体系和危机干预机制，健全劳动关系协调、处理与仲裁保障机制，从源头上预防和减少矛盾。深入贯彻落实习近平法治思想，深入推进“八五”普法，推行政务、财务、审务、检务、警务公开，做好司法救助、行政复议、行政诉讼、人民陪审、人民监督、全民禁毒等工作，强化纪检监察，坚决防治腐败。</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仿宋_GBK" w:cs="方正小标宋_GBK"/>
          <w:b w:val="0"/>
          <w:bCs/>
          <w:color w:val="auto"/>
          <w:kern w:val="2"/>
          <w:sz w:val="32"/>
          <w:szCs w:val="32"/>
          <w:highlight w:val="none"/>
          <w:lang w:val="en-US" w:eastAsia="zh-CN" w:bidi="ar-SA"/>
        </w:rPr>
      </w:pPr>
      <w:bookmarkStart w:id="401" w:name="_Toc2047_WPSOffice_Level2"/>
      <w:bookmarkStart w:id="402" w:name="_Toc30563_WPSOffice_Level2"/>
      <w:bookmarkStart w:id="403" w:name="_Toc16889"/>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第二章  完善社会治安防控体系</w:t>
      </w:r>
      <w:bookmarkEnd w:id="401"/>
      <w:bookmarkEnd w:id="402"/>
      <w:bookmarkEnd w:id="40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宋体" w:hAnsi="宋体" w:eastAsia="方正仿宋_GBK" w:cs="Times New Roman"/>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把维护好、巩固好“西畴新现象”作为县、乡、村党委政府的政治之责、为政之要，建立健全以治安法治力量为基础、村小组为根本、社会群团力量为补充的专群结合、群防群治社会治安防控体系，形成问题联治、工作联动、平安联创的联合工作机制，进一步织密织牢社会治安防控网络，加强视频图像信息综合应用工程、智慧乡村工程建设，重点提高社会治安立体化、法治化、专业化、智能化水平，使人民群众安全感和满意度明显提升。</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bookmarkStart w:id="404" w:name="_Toc32214_WPSOffice_Level2"/>
      <w:bookmarkStart w:id="405" w:name="_Toc5368_WPSOffice_Level2"/>
      <w:bookmarkStart w:id="406" w:name="_Toc162"/>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第三章  完善公共安全管理体系</w:t>
      </w:r>
      <w:bookmarkEnd w:id="404"/>
      <w:bookmarkEnd w:id="405"/>
      <w:bookmarkEnd w:id="40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深入抓好矿山、地质灾害隐患、公共场所、道路运输、重点企业、危险化学品、食药品、重点行业安全防范和专项整治，完善和落实安全生产责任和管理制度，建立公共安全隐患排查和安全预防控制体系，坚决维护人民群众生命财产安全。健全和完善各类管理制度，构建统一指挥、专常兼备、反应灵敏、上下联动的应急管理体制，抓好综合应急物资储备中心建设和相应物资储备工作，切实落实各类商业保险和创新商业险种，提高防灾减灾救灾能力。实施更加严格的食品药品安全监管举措，做好相应质量检测工作，保障人民身体健康和生命安全。</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bookmarkStart w:id="407" w:name="_Toc10983"/>
      <w:bookmarkStart w:id="408" w:name="_Toc30575_WPSOffice_Level2"/>
      <w:bookmarkStart w:id="409" w:name="_Toc12892_WPSOffice_Level2"/>
      <w:r>
        <w:rPr>
          <w:rFonts w:hint="eastAsia" w:ascii="宋体" w:hAnsi="宋体" w:eastAsia="方正黑体_GBK" w:cs="方正黑体_GBK"/>
          <w:b w:val="0"/>
          <w:bCs/>
          <w:color w:val="auto"/>
          <w:kern w:val="2"/>
          <w:sz w:val="32"/>
          <w:szCs w:val="32"/>
          <w:highlight w:val="none"/>
          <w:lang w:val="en-US" w:eastAsia="zh-CN" w:bidi="ar-SA"/>
        </w:rPr>
        <w:t>第四章  完善城乡基层治理体系</w:t>
      </w:r>
      <w:bookmarkEnd w:id="407"/>
      <w:bookmarkEnd w:id="408"/>
      <w:bookmarkEnd w:id="40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以村（社区）为重点，以优化服务为载体，健全党组织领导下的自治、法治、德治相结合的城乡基层治理体系，推行网格化管理和服务。发挥工、青、妇群团组织和工商联、民族宗教事务管理、科协等社会组织参与经济社会发展作用，发挥行业协会商会自律功能，实现政府治理和社会调节、居民自治良性互动，夯实基层社会治理基础。巩固拓展“西畴新现象”，建立健全专群结合、群防群治社会治安防控体系，推行网格化管理和服务，进一步织密织牢社会治安防控网络，使人民群众安全感和满意度明显提升。</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bookmarkStart w:id="410" w:name="_Toc7628"/>
      <w:bookmarkStart w:id="411" w:name="_Toc5622_WPSOffice_Level2"/>
      <w:bookmarkStart w:id="412" w:name="_Toc21366_WPSOffice_Level2"/>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第五章  完善重大风险防范体系</w:t>
      </w:r>
      <w:bookmarkEnd w:id="410"/>
      <w:bookmarkEnd w:id="411"/>
      <w:bookmarkEnd w:id="41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严格落实国家安全责任制，健全国家安全制度体系，加快推进应急管理体系和应急能力现代化建设，全面提高重点领域防范抵御安全风险的能力。进一步完善粮食产购储加销体系，增强粮食和重要农产品储备安全保障能力。积极落实国家金融安全战略，完善市场风险预警和应急处置机制，不断强化对数据资源、网络信息和设施的保护，完善网络安全制度体系。</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bookmarkStart w:id="413" w:name="_Toc603_WPSOffice_Level2"/>
      <w:bookmarkStart w:id="414" w:name="_Toc449035155"/>
      <w:bookmarkStart w:id="415" w:name="_Toc17070"/>
      <w:bookmarkStart w:id="416" w:name="_Toc12614_WPSOffice_Level2"/>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第六章　全力服务国防和军队现代化建设</w:t>
      </w:r>
      <w:bookmarkEnd w:id="413"/>
      <w:bookmarkEnd w:id="414"/>
      <w:bookmarkEnd w:id="415"/>
      <w:bookmarkEnd w:id="416"/>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pP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方正仿宋_GBK" w:cs="方正仿宋简体"/>
          <w:color w:val="000000" w:themeColor="text1"/>
          <w:sz w:val="32"/>
          <w:szCs w:val="32"/>
          <w:shd w:val="clear" w:color="auto" w:fill="auto"/>
          <w14:textFill>
            <w14:solidFill>
              <w14:schemeClr w14:val="tx1"/>
            </w14:solidFill>
          </w14:textFill>
        </w:rPr>
      </w:pPr>
      <w:r>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t>深入学习贯彻习近平强军思想，贯彻新时代军事战略方针，积极适应国家一体化战略体系和能力建设要求，把国防建设融入经济社会发展，推进经济建设项目贯彻国防要求，促进国防实力和经济实力同步提升。</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方正仿宋_GBK" w:cs="方正仿宋简体"/>
          <w:color w:val="000000" w:themeColor="text1"/>
          <w:sz w:val="32"/>
          <w:szCs w:val="32"/>
          <w:shd w:val="clear" w:color="auto" w:fill="auto"/>
          <w14:textFill>
            <w14:solidFill>
              <w14:schemeClr w14:val="tx1"/>
            </w14:solidFill>
          </w14:textFill>
        </w:rPr>
      </w:pPr>
      <w:r>
        <w:rPr>
          <w:rFonts w:hint="eastAsia" w:ascii="宋体" w:hAnsi="宋体" w:eastAsia="方正仿宋_GBK" w:cs="方正仿宋简体"/>
          <w:b/>
          <w:bCs/>
          <w:i w:val="0"/>
          <w:caps w:val="0"/>
          <w:color w:val="000000" w:themeColor="text1"/>
          <w:spacing w:val="0"/>
          <w:sz w:val="32"/>
          <w:szCs w:val="32"/>
          <w:shd w:val="clear" w:color="auto" w:fill="auto"/>
          <w14:textFill>
            <w14:solidFill>
              <w14:schemeClr w14:val="tx1"/>
            </w14:solidFill>
          </w14:textFill>
        </w:rPr>
        <w:t>完善国防动员组织体系</w:t>
      </w:r>
      <w:r>
        <w:rPr>
          <w:rFonts w:hint="eastAsia" w:ascii="宋体" w:hAnsi="宋体" w:eastAsia="方正仿宋_GBK" w:cs="方正仿宋简体"/>
          <w:b/>
          <w:bCs/>
          <w:i w:val="0"/>
          <w:caps w:val="0"/>
          <w:color w:val="000000" w:themeColor="text1"/>
          <w:spacing w:val="0"/>
          <w:sz w:val="32"/>
          <w:szCs w:val="32"/>
          <w:shd w:val="clear" w:color="auto" w:fill="auto"/>
          <w:lang w:eastAsia="zh-CN"/>
          <w14:textFill>
            <w14:solidFill>
              <w14:schemeClr w14:val="tx1"/>
            </w14:solidFill>
          </w14:textFill>
        </w:rPr>
        <w:t>。</w:t>
      </w:r>
      <w:r>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t>落实深化国防动员体制改革任务，完善领导指挥体系，严格落实党管武装制度，建强国防动员工作队伍。健全国防动员机制，完善国防动员潜力核查、能力检验评估等制度</w:t>
      </w:r>
      <w:r>
        <w:rPr>
          <w:rFonts w:hint="eastAsia" w:ascii="宋体" w:hAnsi="宋体" w:eastAsia="方正仿宋_GBK" w:cs="方正仿宋简体"/>
          <w:b w:val="0"/>
          <w:i w:val="0"/>
          <w:caps w:val="0"/>
          <w:color w:val="000000" w:themeColor="text1"/>
          <w:spacing w:val="0"/>
          <w:sz w:val="32"/>
          <w:szCs w:val="32"/>
          <w:shd w:val="clear" w:color="auto" w:fill="auto"/>
          <w:lang w:eastAsia="zh-CN"/>
          <w14:textFill>
            <w14:solidFill>
              <w14:schemeClr w14:val="tx1"/>
            </w14:solidFill>
          </w14:textFill>
        </w:rPr>
        <w:t>，</w:t>
      </w:r>
      <w:r>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t>适应机械化信息化智能化融合发展趋势，加快智慧动员建设。推进国防动员与应急管理体系之间有效衔接，推动平战结合、应急应战一体化建设。</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方正仿宋_GBK" w:cs="方正仿宋简体"/>
          <w:color w:val="000000" w:themeColor="text1"/>
          <w:sz w:val="32"/>
          <w:szCs w:val="32"/>
          <w:shd w:val="clear" w:color="auto" w:fill="auto"/>
          <w14:textFill>
            <w14:solidFill>
              <w14:schemeClr w14:val="tx1"/>
            </w14:solidFill>
          </w14:textFill>
        </w:rPr>
      </w:pPr>
      <w:r>
        <w:rPr>
          <w:rFonts w:hint="eastAsia" w:ascii="宋体" w:hAnsi="宋体" w:eastAsia="方正仿宋_GBK" w:cs="方正仿宋简体"/>
          <w:b/>
          <w:bCs/>
          <w:i w:val="0"/>
          <w:caps w:val="0"/>
          <w:color w:val="000000" w:themeColor="text1"/>
          <w:spacing w:val="0"/>
          <w:sz w:val="32"/>
          <w:szCs w:val="32"/>
          <w:shd w:val="clear" w:color="auto" w:fill="auto"/>
          <w14:textFill>
            <w14:solidFill>
              <w14:schemeClr w14:val="tx1"/>
            </w14:solidFill>
          </w14:textFill>
        </w:rPr>
        <w:t>夯实国防动员发展基础</w:t>
      </w:r>
      <w:r>
        <w:rPr>
          <w:rFonts w:hint="eastAsia" w:ascii="宋体" w:hAnsi="宋体" w:eastAsia="方正仿宋_GBK" w:cs="方正仿宋简体"/>
          <w:b/>
          <w:bCs/>
          <w:i w:val="0"/>
          <w:caps w:val="0"/>
          <w:color w:val="000000" w:themeColor="text1"/>
          <w:spacing w:val="0"/>
          <w:sz w:val="32"/>
          <w:szCs w:val="32"/>
          <w:shd w:val="clear" w:color="auto" w:fill="auto"/>
          <w:lang w:eastAsia="zh-CN"/>
          <w14:textFill>
            <w14:solidFill>
              <w14:schemeClr w14:val="tx1"/>
            </w14:solidFill>
          </w14:textFill>
        </w:rPr>
        <w:t>。</w:t>
      </w:r>
      <w:r>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t>持续推进民兵建设调整改革，统筹运用民兵应急力量与地方专业应急力量。依托社会优质资源发展新型后备力量。整合军地各方资源，改善民兵训练条件，完善训练基地体系。将民兵应急装备建设与地方应急装备建设有机结合，加大专业装备配备力度，做好应急保障、抗震救灾、森林灭火、维稳处突等任务物资器材储备。突出大学毕业生征集，提升兵员征集质量。</w:t>
      </w:r>
      <w:r>
        <w:rPr>
          <w:rFonts w:hint="eastAsia" w:ascii="宋体" w:hAnsi="宋体" w:eastAsia="方正仿宋_GBK" w:cs="方正仿宋简体"/>
          <w:b w:val="0"/>
          <w:bCs w:val="0"/>
          <w:color w:val="auto"/>
          <w:kern w:val="2"/>
          <w:sz w:val="32"/>
          <w:szCs w:val="32"/>
          <w:highlight w:val="none"/>
          <w:lang w:val="en-US" w:eastAsia="zh-CN" w:bidi="ar-SA"/>
        </w:rPr>
        <w:t>深入开展双拥共建活动，构建“双拥”模范县。抓好应急救援物资储备中心、西畴“两山”作战人员接待中心、前沿指挥部修复等项目申报与建设。</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方正仿宋_GBK" w:cs="方正仿宋简体"/>
          <w:color w:val="000000" w:themeColor="text1"/>
          <w:sz w:val="32"/>
          <w:szCs w:val="32"/>
          <w:shd w:val="clear" w:color="auto" w:fill="auto"/>
          <w14:textFill>
            <w14:solidFill>
              <w14:schemeClr w14:val="tx1"/>
            </w14:solidFill>
          </w14:textFill>
        </w:rPr>
      </w:pPr>
      <w:r>
        <w:rPr>
          <w:rFonts w:hint="eastAsia" w:ascii="宋体" w:hAnsi="宋体" w:eastAsia="方正仿宋_GBK" w:cs="方正仿宋简体"/>
          <w:b/>
          <w:bCs/>
          <w:i w:val="0"/>
          <w:caps w:val="0"/>
          <w:color w:val="000000" w:themeColor="text1"/>
          <w:spacing w:val="0"/>
          <w:sz w:val="32"/>
          <w:szCs w:val="32"/>
          <w:shd w:val="clear" w:color="auto" w:fill="auto"/>
          <w14:textFill>
            <w14:solidFill>
              <w14:schemeClr w14:val="tx1"/>
            </w14:solidFill>
          </w14:textFill>
        </w:rPr>
        <w:t>优化国防动员资源配置</w:t>
      </w:r>
      <w:r>
        <w:rPr>
          <w:rFonts w:hint="eastAsia" w:ascii="宋体" w:hAnsi="宋体" w:eastAsia="方正仿宋_GBK" w:cs="方正仿宋简体"/>
          <w:b/>
          <w:bCs/>
          <w:i w:val="0"/>
          <w:caps w:val="0"/>
          <w:color w:val="000000" w:themeColor="text1"/>
          <w:spacing w:val="0"/>
          <w:sz w:val="32"/>
          <w:szCs w:val="32"/>
          <w:shd w:val="clear" w:color="auto" w:fill="auto"/>
          <w:lang w:eastAsia="zh-CN"/>
          <w14:textFill>
            <w14:solidFill>
              <w14:schemeClr w14:val="tx1"/>
            </w14:solidFill>
          </w14:textFill>
        </w:rPr>
        <w:t>。</w:t>
      </w:r>
      <w:r>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t>完善国民经济动员组织机构体系，推动相关资源开放共享和配套发展，为部队战斗力建设和经济高质量发展提供新支撑。以信息化、法治化、实战化为重点，加快转变人民防空建设发展方式，完善指挥防护工程体系，不断提升城市和重要经济目标综合防护能力。推动铁路网、公路网和国边防公路融合</w:t>
      </w:r>
      <w:r>
        <w:rPr>
          <w:rFonts w:hint="eastAsia" w:ascii="宋体" w:hAnsi="宋体" w:eastAsia="方正仿宋_GBK" w:cs="方正仿宋简体"/>
          <w:b w:val="0"/>
          <w:i w:val="0"/>
          <w:caps w:val="0"/>
          <w:color w:val="auto"/>
          <w:spacing w:val="0"/>
          <w:sz w:val="32"/>
          <w:szCs w:val="32"/>
          <w:shd w:val="clear" w:color="auto" w:fill="auto"/>
          <w:lang w:eastAsia="zh-CN"/>
        </w:rPr>
        <w:t>建设</w:t>
      </w:r>
      <w:r>
        <w:rPr>
          <w:rFonts w:hint="eastAsia" w:ascii="宋体" w:hAnsi="宋体" w:eastAsia="方正仿宋_GBK" w:cs="方正仿宋简体"/>
          <w:b w:val="0"/>
          <w:i w:val="0"/>
          <w:caps w:val="0"/>
          <w:color w:val="auto"/>
          <w:spacing w:val="0"/>
          <w:sz w:val="32"/>
          <w:szCs w:val="32"/>
          <w:shd w:val="clear" w:color="auto" w:fill="auto"/>
        </w:rPr>
        <w:t>，</w:t>
      </w:r>
      <w:r>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t>加快推进综合立体国防交通基础设施建设，强化交通战备保障能力建设，增强国防交通综合保障能力。适应科技创新迭代快、进程短的发展趋势，提升国防动员科技敏锐度、认知力和响应速度，提升新兴产业、现代科技对国防动员的贡献率，推动高新技术的国防动员转化应用。</w:t>
      </w:r>
      <w:r>
        <w:rPr>
          <w:rFonts w:hint="eastAsia" w:ascii="宋体" w:hAnsi="宋体" w:eastAsia="方正仿宋_GBK" w:cs="方正仿宋简体"/>
          <w:b w:val="0"/>
          <w:bCs w:val="0"/>
          <w:color w:val="auto"/>
          <w:kern w:val="2"/>
          <w:sz w:val="32"/>
          <w:szCs w:val="32"/>
          <w:highlight w:val="none"/>
          <w:lang w:val="en-US" w:eastAsia="zh-CN" w:bidi="ar-SA"/>
        </w:rPr>
        <w:t>积极探索军政军民融合式发展的新思路、新举措、新对策，</w:t>
      </w:r>
      <w:r>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t>强化政策制度协调，加快基础设施建设、生物医药、新能源、应急救援等新兴领域融合发展</w:t>
      </w:r>
      <w:r>
        <w:rPr>
          <w:rFonts w:hint="eastAsia" w:ascii="宋体" w:hAnsi="宋体" w:eastAsia="方正仿宋_GBK" w:cs="方正仿宋简体"/>
          <w:b w:val="0"/>
          <w:i w:val="0"/>
          <w:caps w:val="0"/>
          <w:color w:val="000000" w:themeColor="text1"/>
          <w:spacing w:val="0"/>
          <w:sz w:val="32"/>
          <w:szCs w:val="32"/>
          <w:shd w:val="clear" w:color="auto" w:fill="auto"/>
          <w:lang w:eastAsia="zh-CN"/>
          <w14:textFill>
            <w14:solidFill>
              <w14:schemeClr w14:val="tx1"/>
            </w14:solidFill>
          </w14:textFill>
        </w:rPr>
        <w:t>，</w:t>
      </w:r>
      <w:r>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t>统筹推进军地共建共用共享。加强军事设施保护。</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方正仿宋_GBK" w:cs="方正仿宋简体"/>
          <w:b w:val="0"/>
          <w:bCs w:val="0"/>
          <w:color w:val="auto"/>
          <w:kern w:val="2"/>
          <w:sz w:val="32"/>
          <w:szCs w:val="32"/>
          <w:highlight w:val="none"/>
          <w:lang w:val="en-US" w:eastAsia="zh-CN" w:bidi="ar-SA"/>
        </w:rPr>
      </w:pPr>
      <w:r>
        <w:rPr>
          <w:rFonts w:hint="eastAsia" w:ascii="宋体" w:hAnsi="宋体" w:eastAsia="方正仿宋_GBK" w:cs="方正仿宋简体"/>
          <w:b/>
          <w:bCs/>
          <w:i w:val="0"/>
          <w:caps w:val="0"/>
          <w:color w:val="000000" w:themeColor="text1"/>
          <w:spacing w:val="0"/>
          <w:sz w:val="32"/>
          <w:szCs w:val="32"/>
          <w:shd w:val="clear" w:color="auto" w:fill="auto"/>
          <w14:textFill>
            <w14:solidFill>
              <w14:schemeClr w14:val="tx1"/>
            </w14:solidFill>
          </w14:textFill>
        </w:rPr>
        <w:t>巩固军政军民团结</w:t>
      </w:r>
      <w:r>
        <w:rPr>
          <w:rFonts w:hint="eastAsia" w:ascii="宋体" w:hAnsi="宋体" w:eastAsia="方正仿宋_GBK" w:cs="方正仿宋简体"/>
          <w:b/>
          <w:bCs/>
          <w:i w:val="0"/>
          <w:caps w:val="0"/>
          <w:color w:val="000000" w:themeColor="text1"/>
          <w:spacing w:val="0"/>
          <w:sz w:val="32"/>
          <w:szCs w:val="32"/>
          <w:shd w:val="clear" w:color="auto" w:fill="auto"/>
          <w:lang w:eastAsia="zh-CN"/>
          <w14:textFill>
            <w14:solidFill>
              <w14:schemeClr w14:val="tx1"/>
            </w14:solidFill>
          </w14:textFill>
        </w:rPr>
        <w:t>。</w:t>
      </w:r>
      <w:r>
        <w:rPr>
          <w:rFonts w:hint="eastAsia" w:ascii="宋体" w:hAnsi="宋体" w:eastAsia="方正仿宋_GBK" w:cs="方正仿宋简体"/>
          <w:b w:val="0"/>
          <w:i w:val="0"/>
          <w:caps w:val="0"/>
          <w:color w:val="000000" w:themeColor="text1"/>
          <w:spacing w:val="0"/>
          <w:sz w:val="32"/>
          <w:szCs w:val="32"/>
          <w:shd w:val="clear" w:color="auto" w:fill="auto"/>
          <w14:textFill>
            <w14:solidFill>
              <w14:schemeClr w14:val="tx1"/>
            </w14:solidFill>
          </w14:textFill>
        </w:rPr>
        <w:t>推进国防教育融入全民思想教育、国民素质教育，突出抓好领导干部和大学生国防教育，强化中小学生国防教育，普及群众性国防教育，强化总体国家安全观和忧患意识、斗争意识、责任意识，使关心国防、热爱国防、保卫国防成为全社会的思想共识和自觉行动。发扬军民团结优良传统，激发群众爱国拥军热情，推进现役军人、烈军属优抚优待和军人家属就业就医、子女就学以及退役军人就业创业等方面的政策落实，加强美丽军营建设。广泛开展军民共建和民族团结进步创建活动，组织国防后备力量对接乡村振兴战略，巩固脱贫攻坚质效，投身边境疫情防控、维护社会治安、自然灾害抢险救灾等工作，巩固坚如磐石的军政军民关系。</w:t>
      </w:r>
      <w:r>
        <w:rPr>
          <w:rFonts w:hint="eastAsia" w:ascii="宋体" w:hAnsi="宋体" w:eastAsia="方正仿宋_GBK" w:cs="方正仿宋简体"/>
          <w:b w:val="0"/>
          <w:bCs w:val="0"/>
          <w:color w:val="auto"/>
          <w:kern w:val="2"/>
          <w:sz w:val="32"/>
          <w:szCs w:val="32"/>
          <w:highlight w:val="none"/>
          <w:lang w:val="en-US" w:eastAsia="zh-CN" w:bidi="ar-SA"/>
        </w:rPr>
        <w:t>不断巩固和发展军政军民“同呼吸、共命运、心连心”的大好局面，提高军政军民融合式发展水平。</w:t>
      </w:r>
    </w:p>
    <w:p>
      <w:pPr>
        <w:rPr>
          <w:rFonts w:hint="eastAsia" w:ascii="宋体" w:hAnsi="宋体" w:eastAsia="方正仿宋_GBK" w:cs="方正仿宋简体"/>
          <w:b w:val="0"/>
          <w:bCs w:val="0"/>
          <w:color w:val="auto"/>
          <w:kern w:val="2"/>
          <w:sz w:val="32"/>
          <w:szCs w:val="32"/>
          <w:highlight w:val="none"/>
          <w:lang w:val="en-US" w:eastAsia="zh-CN" w:bidi="ar-SA"/>
        </w:rPr>
      </w:pPr>
      <w:r>
        <w:rPr>
          <w:rFonts w:hint="eastAsia" w:ascii="宋体" w:hAnsi="宋体" w:eastAsia="方正仿宋_GBK" w:cs="方正仿宋简体"/>
          <w:b w:val="0"/>
          <w:bCs w:val="0"/>
          <w:color w:val="auto"/>
          <w:kern w:val="2"/>
          <w:sz w:val="32"/>
          <w:szCs w:val="32"/>
          <w:highlight w:val="none"/>
          <w:lang w:val="en-US" w:eastAsia="zh-CN" w:bidi="ar-SA"/>
        </w:rPr>
        <w:br w:type="page"/>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方正仿宋简体"/>
          <w:b w:val="0"/>
          <w:bCs w:val="0"/>
          <w:color w:val="auto"/>
          <w:kern w:val="2"/>
          <w:sz w:val="32"/>
          <w:szCs w:val="32"/>
          <w:highlight w:val="none"/>
          <w:lang w:val="en-US" w:eastAsia="zh-CN" w:bidi="ar-SA"/>
        </w:rPr>
      </w:pPr>
    </w:p>
    <w:tbl>
      <w:tblPr>
        <w:tblStyle w:val="20"/>
        <w:tblW w:w="8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888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auto"/>
                <w:sz w:val="22"/>
                <w:szCs w:val="22"/>
                <w:highlight w:val="none"/>
                <w:u w:val="none"/>
              </w:rPr>
            </w:pPr>
            <w:r>
              <w:rPr>
                <w:rFonts w:hint="eastAsia" w:ascii="宋体" w:hAnsi="宋体" w:eastAsia="方正仿宋_GBK" w:cs="方正仿宋_GBK"/>
                <w:b/>
                <w:bCs/>
                <w:sz w:val="32"/>
                <w:szCs w:val="32"/>
              </w:rPr>
              <w:t>专栏</w:t>
            </w:r>
            <w:r>
              <w:rPr>
                <w:rFonts w:hint="eastAsia" w:ascii="宋体" w:hAnsi="宋体" w:eastAsia="方正仿宋_GBK" w:cs="方正仿宋_GBK"/>
                <w:b/>
                <w:bCs/>
                <w:sz w:val="32"/>
                <w:szCs w:val="32"/>
                <w:lang w:val="en-US" w:eastAsia="zh-CN"/>
              </w:rPr>
              <w:t>13</w:t>
            </w:r>
            <w:r>
              <w:rPr>
                <w:rFonts w:hint="eastAsia" w:ascii="宋体" w:hAnsi="宋体" w:eastAsia="方正仿宋_GBK" w:cs="方正仿宋_GBK"/>
                <w:b/>
                <w:bCs/>
                <w:sz w:val="32"/>
                <w:szCs w:val="32"/>
              </w:rPr>
              <w:t>：</w:t>
            </w:r>
            <w:r>
              <w:rPr>
                <w:rFonts w:hint="eastAsia" w:ascii="宋体" w:hAnsi="宋体" w:eastAsia="方正仿宋_GBK" w:cs="方正仿宋_GBK"/>
                <w:sz w:val="32"/>
                <w:szCs w:val="32"/>
                <w:lang w:eastAsia="zh-CN"/>
              </w:rPr>
              <w:t>国防动员建设重点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8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41"/>
              <w:ind w:left="0" w:leftChars="0" w:firstLine="0" w:firstLineChars="0"/>
              <w:rPr>
                <w:rFonts w:hint="eastAsia" w:ascii="宋体" w:hAnsi="宋体" w:eastAsia="宋体" w:cs="宋体"/>
                <w:b/>
                <w:i w:val="0"/>
                <w:color w:val="auto"/>
                <w:sz w:val="22"/>
                <w:szCs w:val="22"/>
                <w:highlight w:val="none"/>
                <w:u w:val="none"/>
              </w:rPr>
            </w:pPr>
            <w:r>
              <w:rPr>
                <w:rFonts w:hint="eastAsia" w:ascii="宋体" w:hAnsi="宋体" w:eastAsiaTheme="minorEastAsia" w:cstheme="minorEastAsia"/>
                <w:b/>
                <w:bCs/>
                <w:sz w:val="22"/>
                <w:szCs w:val="22"/>
                <w:lang w:eastAsia="zh-CN"/>
              </w:rPr>
              <w:t>民兵训练基地建设</w:t>
            </w:r>
            <w:r>
              <w:rPr>
                <w:rFonts w:hint="eastAsia" w:ascii="宋体" w:hAnsi="宋体" w:eastAsiaTheme="minorEastAsia" w:cstheme="minorEastAsia"/>
                <w:sz w:val="22"/>
                <w:szCs w:val="22"/>
              </w:rPr>
              <w:t>：</w:t>
            </w:r>
            <w:r>
              <w:rPr>
                <w:rFonts w:hint="eastAsia" w:ascii="宋体" w:hAnsi="宋体" w:eastAsiaTheme="minorEastAsia" w:cstheme="minorEastAsia"/>
                <w:sz w:val="22"/>
                <w:szCs w:val="22"/>
                <w:lang w:eastAsia="zh-CN"/>
              </w:rPr>
              <w:t>适应国防动员后备力量转型需求，按照民兵训练、学生军训、国防教育、新兵役前训练、国防后备力量建设“五训合一”的思路，</w:t>
            </w:r>
            <w:r>
              <w:rPr>
                <w:rFonts w:hint="eastAsia" w:ascii="宋体" w:hAnsi="宋体" w:eastAsiaTheme="minorEastAsia" w:cstheme="minorEastAsia"/>
                <w:sz w:val="22"/>
                <w:szCs w:val="22"/>
                <w:lang w:val="en-US" w:eastAsia="zh-CN"/>
              </w:rPr>
              <w:t>引入拓展训练营、军事夏令营等社会资源模式，打造集教学、训练、生活、管理为一体的军营文化设施。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889"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pStyle w:val="41"/>
              <w:ind w:left="0" w:leftChars="0" w:firstLine="0" w:firstLineChars="0"/>
              <w:rPr>
                <w:rFonts w:hint="eastAsia" w:ascii="宋体" w:hAnsi="宋体" w:eastAsia="宋体" w:cs="宋体"/>
                <w:b/>
                <w:i w:val="0"/>
                <w:color w:val="auto"/>
                <w:sz w:val="22"/>
                <w:szCs w:val="22"/>
                <w:highlight w:val="none"/>
                <w:u w:val="none"/>
              </w:rPr>
            </w:pPr>
            <w:r>
              <w:rPr>
                <w:rFonts w:hint="eastAsia" w:ascii="宋体" w:hAnsi="宋体" w:eastAsiaTheme="minorEastAsia" w:cstheme="minorEastAsia"/>
                <w:b/>
                <w:bCs/>
                <w:sz w:val="22"/>
                <w:szCs w:val="22"/>
                <w:lang w:val="en-US" w:eastAsia="zh-CN"/>
              </w:rPr>
              <w:t>民兵力量纳入县应急管理体系建设</w:t>
            </w:r>
            <w:r>
              <w:rPr>
                <w:rFonts w:hint="eastAsia" w:ascii="宋体" w:hAnsi="宋体" w:eastAsiaTheme="minorEastAsia" w:cstheme="minorEastAsia"/>
                <w:sz w:val="22"/>
                <w:szCs w:val="22"/>
                <w:lang w:val="en-US" w:eastAsia="zh-CN"/>
              </w:rPr>
              <w:t>：按照情报联判、任务联商、情况联处、行动联合、装备联储的思路，具体做好四项工作：一是建立情报会商机制。每</w:t>
            </w:r>
            <w:r>
              <w:rPr>
                <w:rFonts w:hint="eastAsia" w:ascii="宋体" w:hAnsi="宋体" w:eastAsiaTheme="minorEastAsia" w:cstheme="minorEastAsia"/>
                <w:color w:val="auto"/>
                <w:sz w:val="22"/>
                <w:szCs w:val="22"/>
                <w:lang w:val="en-US" w:eastAsia="zh-CN"/>
              </w:rPr>
              <w:t>年</w:t>
            </w:r>
            <w:r>
              <w:rPr>
                <w:rFonts w:hint="eastAsia" w:ascii="宋体" w:hAnsi="宋体" w:eastAsiaTheme="minorEastAsia" w:cstheme="minorEastAsia"/>
                <w:sz w:val="22"/>
                <w:szCs w:val="22"/>
                <w:lang w:val="en-US" w:eastAsia="zh-CN"/>
              </w:rPr>
              <w:t>由应急管理部门牵头，公安、水务、林草、国土、卫健、气象等职能单位参加，共同研判形势，确定任务重点，相关情况通报人武部；二是组织方案预案对接。军地共同商定应急响应等级、民兵出动时机、指挥协同手段、有关保障措施等；三是整合指挥信息系统。依托人武部作战室，引接地方水文气象、地震预警、道路交通等信息系统，以地方政务平台为基础，建设指挥信息系统，实现统一指挥、统一行动；四是完善装备器材储备。按照分头储备、共同使用的原则，人武部储备军用和部分军地通用器材，各行业单位储备专业装备器材，明确使用力量，规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8889"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pStyle w:val="41"/>
              <w:ind w:left="0" w:leftChars="0" w:firstLine="0" w:firstLineChars="0"/>
              <w:rPr>
                <w:rFonts w:hint="eastAsia" w:ascii="宋体" w:hAnsi="宋体" w:eastAsia="宋体" w:cs="宋体"/>
                <w:b/>
                <w:i w:val="0"/>
                <w:color w:val="auto"/>
                <w:sz w:val="22"/>
                <w:szCs w:val="22"/>
                <w:highlight w:val="none"/>
                <w:u w:val="none"/>
              </w:rPr>
            </w:pPr>
            <w:r>
              <w:rPr>
                <w:rFonts w:hint="eastAsia" w:ascii="宋体" w:hAnsi="宋体" w:eastAsiaTheme="minorEastAsia" w:cstheme="minorEastAsia"/>
                <w:b/>
                <w:bCs/>
                <w:sz w:val="22"/>
                <w:szCs w:val="22"/>
                <w:lang w:val="en-US" w:eastAsia="zh-CN"/>
              </w:rPr>
              <w:t>国防教育和国防基础建设：</w:t>
            </w:r>
            <w:r>
              <w:rPr>
                <w:rFonts w:hint="eastAsia" w:ascii="宋体" w:hAnsi="宋体" w:eastAsiaTheme="minorEastAsia" w:cstheme="minorEastAsia"/>
                <w:sz w:val="22"/>
                <w:szCs w:val="22"/>
                <w:lang w:val="en-US" w:eastAsia="zh-CN"/>
              </w:rPr>
              <w:t>充分挖掘西畴红色资源，依托全县革命遗址、烈士陵园等场所，西畴“两山”作战人员接待中心、前沿指挥部修复、国边防公路等基础设施建设、构建形成面向社会的国防教育展陈体系。</w:t>
            </w:r>
          </w:p>
        </w:tc>
      </w:tr>
    </w:tbl>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方正仿宋_GBK" w:cs="方正仿宋简体"/>
          <w:b w:val="0"/>
          <w:i w:val="0"/>
          <w:caps w:val="0"/>
          <w:color w:val="000000" w:themeColor="text1"/>
          <w:spacing w:val="0"/>
          <w:sz w:val="32"/>
          <w:szCs w:val="32"/>
          <w:shd w:val="clear" w:color="auto" w:fill="auto"/>
          <w:lang w:val="en-US" w:eastAsia="zh-CN"/>
          <w14:textFill>
            <w14:solidFill>
              <w14:schemeClr w14:val="tx1"/>
            </w14:solidFill>
          </w14:textFill>
        </w:rPr>
      </w:pPr>
      <w:bookmarkStart w:id="417" w:name="_Toc1054_WPSOffice_Level2"/>
      <w:bookmarkStart w:id="418" w:name="_Toc20514"/>
      <w:bookmarkStart w:id="419" w:name="_Toc1493_WPSOffice_Level2"/>
      <w:bookmarkStart w:id="420" w:name="_Toc26476_WPSOffice_Level2"/>
      <w:bookmarkStart w:id="421" w:name="_Toc3505_WPSOffice_Level2"/>
      <w:bookmarkStart w:id="422" w:name="_Toc9030"/>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方正黑体_GBK" w:cs="方正黑体_GBK"/>
          <w:b w:val="0"/>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宋体" w:hAnsi="宋体" w:eastAsia="方正黑体_GBK" w:cs="方正黑体_GBK"/>
          <w:b w:val="0"/>
          <w:i w:val="0"/>
          <w:caps w:val="0"/>
          <w:color w:val="000000" w:themeColor="text1"/>
          <w:spacing w:val="0"/>
          <w:sz w:val="32"/>
          <w:szCs w:val="32"/>
          <w:shd w:val="clear" w:color="auto" w:fill="auto"/>
          <w:lang w:val="en-US" w:eastAsia="zh-CN"/>
          <w14:textFill>
            <w14:solidFill>
              <w14:schemeClr w14:val="tx1"/>
            </w14:solidFill>
          </w14:textFill>
        </w:rPr>
        <w:t>第七章　健全社会信用</w:t>
      </w:r>
      <w:bookmarkEnd w:id="417"/>
      <w:bookmarkEnd w:id="418"/>
      <w:r>
        <w:rPr>
          <w:rFonts w:hint="eastAsia" w:ascii="宋体" w:hAnsi="宋体" w:eastAsia="方正黑体_GBK" w:cs="方正黑体_GBK"/>
          <w:b w:val="0"/>
          <w:i w:val="0"/>
          <w:caps w:val="0"/>
          <w:color w:val="000000" w:themeColor="text1"/>
          <w:spacing w:val="0"/>
          <w:sz w:val="32"/>
          <w:szCs w:val="32"/>
          <w:shd w:val="clear" w:color="auto" w:fill="auto"/>
          <w:lang w:val="en-US" w:eastAsia="zh-CN"/>
          <w14:textFill>
            <w14:solidFill>
              <w14:schemeClr w14:val="tx1"/>
            </w14:solidFill>
          </w14:textFill>
        </w:rPr>
        <w:t>管理</w:t>
      </w:r>
      <w:bookmarkEnd w:id="419"/>
      <w:r>
        <w:rPr>
          <w:rFonts w:hint="eastAsia" w:ascii="宋体" w:hAnsi="宋体" w:eastAsia="方正黑体_GBK" w:cs="方正黑体_GBK"/>
          <w:b w:val="0"/>
          <w:i w:val="0"/>
          <w:caps w:val="0"/>
          <w:color w:val="000000" w:themeColor="text1"/>
          <w:spacing w:val="0"/>
          <w:sz w:val="32"/>
          <w:szCs w:val="32"/>
          <w:shd w:val="clear" w:color="auto" w:fill="auto"/>
          <w:lang w:val="en-US" w:eastAsia="zh-CN"/>
          <w14:textFill>
            <w14:solidFill>
              <w14:schemeClr w14:val="tx1"/>
            </w14:solidFill>
          </w14:textFill>
        </w:rPr>
        <w:t>与应用</w:t>
      </w:r>
      <w:bookmarkEnd w:id="420"/>
      <w:bookmarkEnd w:id="421"/>
      <w:bookmarkEnd w:id="422"/>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方正仿宋简体"/>
          <w:b w:val="0"/>
          <w:i w:val="0"/>
          <w:caps w:val="0"/>
          <w:color w:val="000000" w:themeColor="text1"/>
          <w:spacing w:val="0"/>
          <w:sz w:val="32"/>
          <w:szCs w:val="32"/>
          <w:shd w:val="clear" w:color="auto" w:fill="auto"/>
          <w:lang w:val="en-US" w:eastAsia="zh-CN"/>
          <w14:textFill>
            <w14:solidFill>
              <w14:schemeClr w14:val="tx1"/>
            </w14:solidFill>
          </w14:textFill>
        </w:rPr>
      </w:pP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方正仿宋简体"/>
          <w:b w:val="0"/>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宋体" w:hAnsi="宋体" w:eastAsia="方正仿宋_GBK" w:cs="方正仿宋简体"/>
          <w:b w:val="0"/>
          <w:i w:val="0"/>
          <w:caps w:val="0"/>
          <w:color w:val="000000" w:themeColor="text1"/>
          <w:spacing w:val="0"/>
          <w:sz w:val="32"/>
          <w:szCs w:val="32"/>
          <w:shd w:val="clear" w:color="auto" w:fill="auto"/>
          <w:lang w:val="en-US" w:eastAsia="zh-CN"/>
          <w14:textFill>
            <w14:solidFill>
              <w14:schemeClr w14:val="tx1"/>
            </w14:solidFill>
          </w14:textFill>
        </w:rPr>
        <w:t>突出“信用西畴”建设，围绕社会信用体系建设中城市信用建设这一关键支撑，加快推进政务诚信、商务诚信、社会诚信和司法公信等重点领域信用建设，加快完善各类市场主体和社会成员信用信息归集机制，建立公共和社会信用服务机构互为补充、信用信息基础服务和增值服务相辅相成的多层次信用服务组织体系。推动信用服务产品开发创新和广泛运用，支持征信、信用评级机构规范发展，提高服务质量和竞争力。健全征信和信用服务市场监管主体，强化企业信用依法公示和监管，建立各行业失信黑名单制度和市场退出机制。推进信用信息共享，健全激励惩戒机制，提高全社会诚信意识和信用水平，努力营造诚实、自律、守信、互信的社会信用环境。</w:t>
      </w:r>
    </w:p>
    <w:tbl>
      <w:tblPr>
        <w:tblStyle w:val="2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5" w:hRule="atLeast"/>
        </w:trPr>
        <w:tc>
          <w:tcPr>
            <w:tcW w:w="884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highlight w:val="none"/>
                <w:u w:val="none"/>
              </w:rPr>
            </w:pPr>
            <w:r>
              <w:rPr>
                <w:rFonts w:hint="eastAsia" w:ascii="宋体" w:hAnsi="宋体" w:eastAsia="方正仿宋_GBK"/>
                <w:b/>
                <w:bCs/>
                <w:color w:val="auto"/>
                <w:sz w:val="32"/>
                <w:szCs w:val="32"/>
                <w:highlight w:val="none"/>
                <w:lang w:val="en-US" w:eastAsia="zh-CN"/>
              </w:rPr>
              <w:t>专栏14：</w:t>
            </w:r>
            <w:r>
              <w:rPr>
                <w:rFonts w:hint="eastAsia" w:ascii="宋体" w:hAnsi="宋体" w:eastAsia="方正仿宋_GBK"/>
                <w:color w:val="auto"/>
                <w:sz w:val="32"/>
                <w:szCs w:val="32"/>
                <w:highlight w:val="none"/>
                <w:lang w:val="en-US" w:eastAsia="zh-CN"/>
              </w:rPr>
              <w:t>社会能力建设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8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“八五”普法工程：</w:t>
            </w:r>
            <w:r>
              <w:rPr>
                <w:rFonts w:hint="eastAsia" w:ascii="宋体" w:hAnsi="宋体" w:eastAsia="宋体" w:cs="宋体"/>
                <w:i w:val="0"/>
                <w:color w:val="auto"/>
                <w:kern w:val="0"/>
                <w:sz w:val="22"/>
                <w:szCs w:val="22"/>
                <w:highlight w:val="none"/>
                <w:u w:val="none"/>
                <w:lang w:val="en-US" w:eastAsia="zh-CN" w:bidi="ar"/>
              </w:rPr>
              <w:t>在县、乡镇建设法治广场、长廊、公园，在广大农村开设法治宣传专栏，培养一批法律明白人、法律讲解人和民事调解人、纠纷化解人。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884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社会治安防控体系工程：</w:t>
            </w:r>
            <w:r>
              <w:rPr>
                <w:rFonts w:hint="eastAsia" w:ascii="宋体" w:hAnsi="宋体" w:eastAsia="宋体" w:cs="宋体"/>
                <w:i w:val="0"/>
                <w:color w:val="auto"/>
                <w:kern w:val="0"/>
                <w:sz w:val="22"/>
                <w:szCs w:val="22"/>
                <w:highlight w:val="none"/>
                <w:u w:val="none"/>
                <w:lang w:val="en-US" w:eastAsia="zh-CN" w:bidi="ar"/>
              </w:rPr>
              <w:t>做好防控公域全覆盖、全网共享、全时可用、全程可控的社会治安智慧管理中心和网络建设，建好县城和乡镇智慧街区、小区、广场、公园、道路监管设施，建好农村“雪亮工程”。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trPr>
        <w:tc>
          <w:tcPr>
            <w:tcW w:w="884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安全生产与自然灾害防控工程：</w:t>
            </w:r>
            <w:r>
              <w:rPr>
                <w:rFonts w:hint="eastAsia" w:ascii="宋体" w:hAnsi="宋体" w:eastAsia="宋体" w:cs="宋体"/>
                <w:i w:val="0"/>
                <w:color w:val="auto"/>
                <w:kern w:val="0"/>
                <w:sz w:val="22"/>
                <w:szCs w:val="22"/>
                <w:highlight w:val="none"/>
                <w:u w:val="none"/>
                <w:lang w:val="en-US" w:eastAsia="zh-CN" w:bidi="ar"/>
              </w:rPr>
              <w:t>健全乡、行政村、自然村三级自然灾害监测体系和管理体系。实现自然灾害综合监测、风险及早识别、快速预警预报。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8844"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军民融合工程：</w:t>
            </w:r>
            <w:r>
              <w:rPr>
                <w:rFonts w:hint="eastAsia" w:ascii="宋体" w:hAnsi="宋体" w:eastAsia="宋体" w:cs="宋体"/>
                <w:i w:val="0"/>
                <w:color w:val="auto"/>
                <w:kern w:val="0"/>
                <w:sz w:val="22"/>
                <w:szCs w:val="22"/>
                <w:highlight w:val="none"/>
                <w:u w:val="none"/>
                <w:lang w:val="en-US" w:eastAsia="zh-CN" w:bidi="ar"/>
              </w:rPr>
              <w:t>在教育战线开启“民拥军”宣传教育，在公共服务领域开设现役、退役军人办事窗口。建好县级优抚医院和光荣院。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2" w:hRule="atLeast"/>
        </w:trPr>
        <w:tc>
          <w:tcPr>
            <w:tcW w:w="8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诚信社会建设工程：</w:t>
            </w:r>
            <w:r>
              <w:rPr>
                <w:rFonts w:hint="eastAsia" w:ascii="宋体" w:hAnsi="宋体" w:eastAsia="宋体" w:cs="宋体"/>
                <w:i w:val="0"/>
                <w:color w:val="auto"/>
                <w:kern w:val="0"/>
                <w:sz w:val="22"/>
                <w:szCs w:val="22"/>
                <w:highlight w:val="none"/>
                <w:u w:val="none"/>
                <w:lang w:val="en-US" w:eastAsia="zh-CN" w:bidi="ar"/>
              </w:rPr>
              <w:t>用好信用信息平台，开设信用信息宣传电视栏目，积极做好“信用＋”建设。</w:t>
            </w:r>
          </w:p>
        </w:tc>
      </w:tr>
    </w:tbl>
    <w:p>
      <w:pPr>
        <w:rPr>
          <w:rFonts w:hint="eastAsia" w:ascii="宋体" w:hAnsi="宋体" w:eastAsia="方正小标宋_GBK" w:cs="方正小标宋_GBK"/>
          <w:b/>
          <w:color w:val="auto"/>
          <w:kern w:val="44"/>
          <w:sz w:val="36"/>
          <w:szCs w:val="36"/>
          <w:highlight w:val="none"/>
          <w:lang w:val="en-US" w:eastAsia="zh-CN" w:bidi="ar"/>
        </w:rPr>
      </w:pPr>
      <w:bookmarkStart w:id="423" w:name="_Toc6067_WPSOffice_Level1"/>
      <w:bookmarkStart w:id="424" w:name="_Toc29227"/>
      <w:bookmarkStart w:id="425" w:name="_Toc1560_WPSOffice_Level1"/>
      <w:bookmarkStart w:id="426" w:name="_Toc23700_WPSOffice_Level1"/>
      <w:bookmarkStart w:id="427" w:name="_Toc25744_WPSOffice_Level1"/>
      <w:bookmarkStart w:id="428" w:name="_Toc24870_WPSOffice_Level1"/>
      <w:r>
        <w:rPr>
          <w:rFonts w:hint="eastAsia" w:ascii="宋体" w:hAnsi="宋体" w:eastAsia="方正小标宋_GBK" w:cs="方正小标宋_GBK"/>
          <w:b/>
          <w:color w:val="auto"/>
          <w:kern w:val="44"/>
          <w:sz w:val="36"/>
          <w:szCs w:val="36"/>
          <w:highlight w:val="none"/>
          <w:lang w:val="en-US" w:eastAsia="zh-CN" w:bidi="ar"/>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宋体" w:hAnsi="宋体" w:eastAsia="方正小标宋_GBK" w:cs="方正小标宋_GBK"/>
          <w:b w:val="0"/>
          <w:bCs/>
          <w:color w:val="auto"/>
          <w:sz w:val="44"/>
          <w:szCs w:val="44"/>
          <w:highlight w:val="none"/>
          <w:lang w:val="en-US" w:eastAsia="zh-CN"/>
        </w:rPr>
      </w:pPr>
      <w:bookmarkStart w:id="429" w:name="_Toc19449_WPSOffice_Level1"/>
      <w:bookmarkStart w:id="430" w:name="_Toc31735"/>
      <w:bookmarkStart w:id="431" w:name="_Toc8721_WPSOffice_Level1"/>
      <w:r>
        <w:rPr>
          <w:rFonts w:hint="eastAsia" w:ascii="宋体" w:hAnsi="宋体" w:eastAsia="方正小标宋_GBK" w:cs="方正小标宋_GBK"/>
          <w:b w:val="0"/>
          <w:bCs/>
          <w:color w:val="auto"/>
          <w:sz w:val="44"/>
          <w:szCs w:val="44"/>
          <w:highlight w:val="none"/>
          <w:lang w:val="en-US" w:eastAsia="zh-CN"/>
        </w:rPr>
        <w:t>第十三篇　打造</w:t>
      </w:r>
      <w:bookmarkEnd w:id="429"/>
      <w:r>
        <w:rPr>
          <w:rFonts w:hint="eastAsia" w:ascii="宋体" w:hAnsi="宋体" w:eastAsia="方正小标宋_GBK" w:cs="方正小标宋_GBK"/>
          <w:b w:val="0"/>
          <w:bCs/>
          <w:color w:val="auto"/>
          <w:sz w:val="44"/>
          <w:szCs w:val="44"/>
          <w:highlight w:val="none"/>
          <w:lang w:val="en-US" w:eastAsia="zh-CN"/>
        </w:rPr>
        <w:t>民族团结进步示范县样板</w:t>
      </w:r>
      <w:bookmarkEnd w:id="430"/>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仿宋_GBK" w:cs="方正小标宋_GBK"/>
          <w:b w:val="0"/>
          <w:bCs/>
          <w:color w:val="auto"/>
          <w:sz w:val="32"/>
          <w:szCs w:val="32"/>
          <w:highlight w:val="none"/>
          <w:lang w:val="en-US" w:eastAsia="zh-CN"/>
        </w:rPr>
      </w:pPr>
      <w:bookmarkStart w:id="432" w:name="_Toc2532"/>
      <w:bookmarkStart w:id="433" w:name="_Toc24659_WPSOffice_Level2"/>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第一章　铸牢中华民族共同体意识</w:t>
      </w:r>
      <w:bookmarkEnd w:id="432"/>
      <w:bookmarkEnd w:id="43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紧扣“中华民族一家亲，同心共筑中国梦”总目标，深入开展中国特色社会主义思想和中国梦宣传教育，引导各族群众牢固树立“三个离不开”思想，不断夯实“五个认同”的思想根基。不断挖掘和大力弘扬各民族爱国主义精神，把中华民族共同体意识教育纳入干部教育、青少年教育、社会教育。实施少数民族优秀文化保护传承工程、少数民族文化精品工程、非遗纪录和数字化保护工程、传统村落和文物保护工程，促进民族文化创造性转化和创新性发展。</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仿宋_GBK" w:cs="方正小标宋_GBK"/>
          <w:b w:val="0"/>
          <w:bCs/>
          <w:color w:val="auto"/>
          <w:sz w:val="32"/>
          <w:szCs w:val="32"/>
          <w:highlight w:val="none"/>
          <w:lang w:val="en-US" w:eastAsia="zh-CN"/>
        </w:rPr>
      </w:pPr>
      <w:bookmarkStart w:id="434" w:name="_Toc9008_WPSOffice_Level2"/>
      <w:bookmarkStart w:id="435" w:name="_Toc1542_WPSOffice_Level2"/>
      <w:bookmarkStart w:id="436" w:name="_Toc24021"/>
      <w:bookmarkStart w:id="437" w:name="_Toc6040_WPSOffice_Level2"/>
      <w:bookmarkStart w:id="438" w:name="_Toc16850"/>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1"/>
        <w:rPr>
          <w:rFonts w:hint="eastAsia" w:ascii="宋体" w:hAnsi="宋体" w:eastAsia="方正黑体_GBK" w:cs="方正黑体_GBK"/>
          <w:b w:val="0"/>
          <w:bCs/>
          <w:color w:val="auto"/>
          <w:sz w:val="32"/>
          <w:szCs w:val="32"/>
          <w:highlight w:val="none"/>
          <w:lang w:val="en-US" w:eastAsia="zh-CN"/>
        </w:rPr>
      </w:pPr>
      <w:r>
        <w:rPr>
          <w:rFonts w:hint="eastAsia" w:ascii="宋体" w:hAnsi="宋体" w:eastAsia="方正黑体_GBK" w:cs="方正黑体_GBK"/>
          <w:b w:val="0"/>
          <w:bCs/>
          <w:color w:val="auto"/>
          <w:sz w:val="32"/>
          <w:szCs w:val="32"/>
          <w:highlight w:val="none"/>
          <w:lang w:val="en-US" w:eastAsia="zh-CN"/>
        </w:rPr>
        <w:t>第二章  全面增进民族团结进步示范成果</w:t>
      </w:r>
      <w:bookmarkEnd w:id="434"/>
      <w:bookmarkEnd w:id="435"/>
      <w:bookmarkEnd w:id="436"/>
      <w:bookmarkEnd w:id="437"/>
      <w:bookmarkEnd w:id="4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全面贯彻落实党和国家的民族政策，加大民族团结进步教育力度，促进全县各民族共同团结奋斗，共同繁荣发展，抓牢社会稳定和长治久安总目标，不断增强党在民族中的凝聚力，不断增添正能量。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439" w:name="_Toc24659_WPSOffice_Level3"/>
      <w:bookmarkStart w:id="440" w:name="_Toc11500_WPSOffice_Level3"/>
      <w:bookmarkStart w:id="441" w:name="_Toc15896"/>
      <w:bookmarkStart w:id="442" w:name="_Toc14299"/>
      <w:bookmarkStart w:id="443" w:name="_Toc5864_WPSOffice_Level3"/>
      <w:r>
        <w:rPr>
          <w:rFonts w:hint="eastAsia" w:ascii="宋体" w:hAnsi="宋体" w:eastAsia="方正楷体_GBK" w:cs="方正楷体_GBK"/>
          <w:b w:val="0"/>
          <w:bCs w:val="0"/>
          <w:color w:val="auto"/>
          <w:sz w:val="32"/>
          <w:szCs w:val="30"/>
          <w:highlight w:val="none"/>
          <w:lang w:val="en-US" w:eastAsia="zh-CN"/>
        </w:rPr>
        <w:t>第一节　全力共建精神家园</w:t>
      </w:r>
      <w:bookmarkEnd w:id="439"/>
      <w:bookmarkEnd w:id="440"/>
      <w:bookmarkEnd w:id="441"/>
      <w:bookmarkEnd w:id="442"/>
      <w:bookmarkEnd w:id="44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继续推进马克思主义中国化、实现传统文化现代化的重大任务，实现各地区民族区域文化的沟通，积极推进民族对话交流，在相互交流中融合发展，求同存异，吸收不同的思想文明智慧。坚持真善美，以人与自然、社会、自我和谐相处为使命，不断推动社会精神道德信仰建设，开展社会服务，维护社会公平，促进社会进步，推动和谐社会建设。切实巩固民族团结进步取得的示范成果，引导各民族干部群众充分认识民族的文化，激励各族人民建设团结友爱的大家庭。增进各民族交往交流交融，尊重差异、包容多样。做到在全面建设现代化国家进程中，确保不让一个兄弟民族掉队，共建共享精神家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2"/>
          <w:szCs w:val="30"/>
          <w:highlight w:val="none"/>
          <w:lang w:val="en-US" w:eastAsia="zh-CN"/>
        </w:rPr>
      </w:pPr>
      <w:bookmarkStart w:id="444" w:name="_Toc29556"/>
      <w:bookmarkStart w:id="445" w:name="_Toc30511_WPSOffice_Level3"/>
      <w:bookmarkStart w:id="446" w:name="_Toc32214_WPSOffice_Level3"/>
      <w:bookmarkStart w:id="447" w:name="_Toc31940"/>
      <w:bookmarkStart w:id="448" w:name="_Toc9008_WPSOffice_Level3"/>
      <w:r>
        <w:rPr>
          <w:rFonts w:hint="eastAsia" w:ascii="宋体" w:hAnsi="宋体" w:eastAsia="方正楷体_GBK" w:cs="方正楷体_GBK"/>
          <w:b w:val="0"/>
          <w:bCs w:val="0"/>
          <w:color w:val="auto"/>
          <w:sz w:val="32"/>
          <w:szCs w:val="30"/>
          <w:highlight w:val="none"/>
          <w:lang w:val="en-US" w:eastAsia="zh-CN"/>
        </w:rPr>
        <w:t>第二节　建立民族团结进步示范巩固长效机制</w:t>
      </w:r>
      <w:bookmarkEnd w:id="444"/>
      <w:bookmarkEnd w:id="445"/>
      <w:bookmarkEnd w:id="446"/>
      <w:bookmarkEnd w:id="447"/>
      <w:bookmarkEnd w:id="448"/>
    </w:p>
    <w:p>
      <w:pPr>
        <w:pStyle w:val="2"/>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健全巩固民族团结进步示范工作机制，扎实推进“互联网+民族团结进步”，完善促进各民族交往交流交融的体制机制，制定有利于构建互嵌式社会结构的政策举措，创造各族群众共居共学共事共乐的社会条件。全面巩固民族团结进步示范县创建成果，全力维护民族团结、宗教和顺局面，组织开展富有特色的群众性活动，着力营造“亲情化、人文化”的良好氛围。加大国家通用语言文字推广普及力度，科学保护各民族语言文字，促进各族群众语言互通、心灵相通。夯实民族团结进步教育工作的思想基础，夯实社会和谐稳定根基，加强服务，不断提升人民群众安全感、满意度。</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仿宋_GBK" w:cs="方正小标宋_GBK"/>
          <w:b w:val="0"/>
          <w:bCs/>
          <w:color w:val="auto"/>
          <w:kern w:val="2"/>
          <w:sz w:val="32"/>
          <w:szCs w:val="32"/>
          <w:highlight w:val="none"/>
          <w:lang w:val="en-US" w:eastAsia="zh-CN" w:bidi="ar-SA"/>
        </w:rPr>
      </w:pPr>
      <w:bookmarkStart w:id="449" w:name="_Toc220_WPSOffice_Level2"/>
      <w:bookmarkStart w:id="450" w:name="_Toc16892"/>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第三章　提升民族地区发展水平</w:t>
      </w:r>
      <w:bookmarkEnd w:id="449"/>
      <w:bookmarkEnd w:id="45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坚定不移走中国特色解决民族问题的正确道路和民族政策，坚持各民族一律平等，围绕促进民族团结、改善民生，把民族村寨的发展放到更加重要位置，在人居环境、社会民生等领域加大政策和项目支持，继续实施“十百千万”示范创建工程，推进民族村寨和谐稳定和高质量发展。大力巩固拓展脱贫攻坚成果，以提高基本公共服务水平、改善民生为首要任务，以教育、就业、产业结构调整、基础设施建设和生态环境保护为着力点，促进市场要素流动与加强各民族交往交流交融相贯通，切实提升民族村的生产生活条件，真正把发展落实到解决实际问题、增进群众福祉、促进民族团结上，努力推动各民族和睦相处、和衷共济、和谐发展，让各族群众共享改革发展成果，以民族团结进步服务经济发展，以经济发展促进民族团结进步。</w:t>
      </w:r>
    </w:p>
    <w:p>
      <w:pPr>
        <w:rPr>
          <w:rFonts w:hint="eastAsia" w:ascii="宋体" w:hAnsi="宋体" w:eastAsia="方正小标宋_GBK" w:cs="方正小标宋_GBK"/>
          <w:color w:val="auto"/>
          <w:sz w:val="36"/>
          <w:szCs w:val="36"/>
          <w:highlight w:val="none"/>
          <w:lang w:val="en-US" w:eastAsia="zh-CN"/>
        </w:rPr>
      </w:pPr>
      <w:r>
        <w:rPr>
          <w:rFonts w:hint="eastAsia" w:ascii="宋体" w:hAnsi="宋体" w:eastAsia="方正小标宋_GBK" w:cs="方正小标宋_GBK"/>
          <w:color w:val="auto"/>
          <w:sz w:val="36"/>
          <w:szCs w:val="36"/>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0"/>
        <w:rPr>
          <w:rFonts w:hint="eastAsia" w:ascii="宋体" w:hAnsi="宋体" w:eastAsia="方正小标宋_GBK" w:cs="方正小标宋_GBK"/>
          <w:b w:val="0"/>
          <w:bCs/>
          <w:color w:val="auto"/>
          <w:kern w:val="44"/>
          <w:sz w:val="44"/>
          <w:szCs w:val="44"/>
          <w:highlight w:val="none"/>
          <w:lang w:val="en-US" w:eastAsia="zh-CN" w:bidi="ar"/>
        </w:rPr>
      </w:pPr>
      <w:bookmarkStart w:id="451" w:name="_Toc792"/>
      <w:r>
        <w:rPr>
          <w:rFonts w:hint="eastAsia" w:ascii="宋体" w:hAnsi="宋体" w:eastAsia="方正小标宋_GBK" w:cs="方正小标宋_GBK"/>
          <w:b w:val="0"/>
          <w:bCs/>
          <w:color w:val="auto"/>
          <w:kern w:val="44"/>
          <w:sz w:val="44"/>
          <w:szCs w:val="44"/>
          <w:highlight w:val="none"/>
          <w:lang w:val="en-US" w:eastAsia="zh-CN" w:bidi="ar"/>
        </w:rPr>
        <w:t>第十四篇　加强和改善党的领导</w:t>
      </w:r>
      <w:bookmarkEnd w:id="423"/>
      <w:bookmarkEnd w:id="424"/>
      <w:bookmarkEnd w:id="425"/>
      <w:bookmarkEnd w:id="426"/>
      <w:bookmarkEnd w:id="427"/>
      <w:r>
        <w:rPr>
          <w:rFonts w:hint="eastAsia" w:ascii="宋体" w:hAnsi="宋体" w:eastAsia="方正小标宋_GBK" w:cs="方正小标宋_GBK"/>
          <w:b w:val="0"/>
          <w:bCs/>
          <w:color w:val="auto"/>
          <w:kern w:val="44"/>
          <w:sz w:val="44"/>
          <w:szCs w:val="44"/>
          <w:highlight w:val="none"/>
          <w:lang w:val="en-US" w:eastAsia="zh-CN" w:bidi="ar"/>
        </w:rPr>
        <w:t xml:space="preserve"> 为全面完成“十四五”规划目标任务提供坚强保证</w:t>
      </w:r>
      <w:bookmarkEnd w:id="428"/>
      <w:bookmarkEnd w:id="431"/>
      <w:bookmarkEnd w:id="45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强化党的领导地位，抓好要素和制度保障建设，强化规划管理，努力在打造全省石漠化地区高质量发展先行区、新时代民族精神高地、全国民族团结进步示范样板、全国绿水青山就是金山银山实践创新基地、通往越南连接粤港澳大湾区重要通道取得新成绩。</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仿宋_GBK" w:cs="方正小标宋_GBK"/>
          <w:b w:val="0"/>
          <w:bCs/>
          <w:color w:val="auto"/>
          <w:kern w:val="2"/>
          <w:sz w:val="32"/>
          <w:szCs w:val="32"/>
          <w:highlight w:val="none"/>
          <w:lang w:val="en-US" w:eastAsia="zh-CN" w:bidi="ar-SA"/>
        </w:rPr>
      </w:pPr>
      <w:bookmarkStart w:id="452" w:name="_Toc26525"/>
      <w:bookmarkStart w:id="453" w:name="_Toc11087_WPSOffice_Level2"/>
      <w:bookmarkStart w:id="454" w:name="_Toc22293"/>
      <w:bookmarkStart w:id="455" w:name="_Toc29419_WPSOffice_Level2"/>
      <w:bookmarkStart w:id="456" w:name="_Toc22927_WPSOffice_Level2"/>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第一章　全面加强党的领导</w:t>
      </w:r>
      <w:bookmarkEnd w:id="452"/>
      <w:bookmarkEnd w:id="45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强化党的领导地位。坚决维护党中央权威和集中统一领导，加强对党忠诚教育，推动全县各级党组织和广大党员干部增强“四个意识”、坚定“四个自信”、做到“两个维护”，确保党中央政令畅通、令行禁止。强化党的理论创新武装，深入学习习近平新时代中国特色社会主义思想，在学懂弄通做实上下功夫，提高各级领导班子和干部适应新时代新要求抓改革、促发展、保稳定的能力和水平。完善党领导经济社会发展的体制机制，贯彻党把方向、谋大局、定政策、促改革的要求把党的领导贯穿经济社会发展各方面、各领域、各环节、全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营造风清气正的政治生态。严格落实全面从严治党要求，坚决贯彻落实中央八项规定精神，持续纠治“四风”，切实为基层减负。强化对公权力运行的制约和监督，加强政治巡察，坚决整治群众身边的不正之风和腐败问题。落实新时代党的组织路线，树立正确用人导向，选优配强各级领导班子和领导干部。深化干部人事制度改革，完善干部考核评价体系，加强对敢担当善作为干部的激励保护。推进干部作风转变，牢固树立人民至上理念，激励干部敢于担当、勇于担责、务实求实、苦干实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推进社会主义政治建设。坚持党的领导、人民当家作主、依法治国有机统一，坚定不移走中国特色社会主义政治发展道路。加强人大对“一府一委两院”的监督，提高人大履职能力，增强人大整体功效。自觉接受人民代表大会及常务委员会的对《规划纲要》的监督检查，定期报告《规划纲要》落实情况。在《规划纲要》实施过程中，选择重点目标、重点任务、重点领域、重点行业、重点项目、重点工程开展监督检查和重点督查。坚持人民代表大会制度，健全基层群众自治制度，提高基层治理水平。坚持中国共产党领导的多党合作和政治协商制度，加强人民政协专门协商机构建设，提高政治协商、民主监督、参政议政水平，更好凝聚共识。主动接受政协对《规划纲要》落实过程的协商意见，建立健全重大事项报告制度，及时报告《规划纲要》落实进展。完善大统战工作格局，发挥统一战线凝心聚力的优势和作用。加强工会、共青团、妇联等群团组织建设，健全联系广泛、服务群众的群团工作体系，把全县上下的智慧和力量凝聚到经济社会发展上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打好舆论宣传主动仗。建立健全与新闻媒体合作沟通交流的常态化机制，推动各级党委政府与媒体之间良性互动、深度合作。支持各级新闻媒体深入西畴、了解西畴、宣传西畴，讲好新时代西畴故事，传播西畴声音。加强对社会热点舆论的引导，多做解疑释惑、凝聚合力的工作。</w:t>
      </w:r>
    </w:p>
    <w:bookmarkEnd w:id="454"/>
    <w:bookmarkEnd w:id="455"/>
    <w:bookmarkEnd w:id="456"/>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bookmarkStart w:id="457" w:name="_Toc11577_WPSOffice_Level2"/>
      <w:bookmarkStart w:id="458" w:name="_Toc15490_WPSOffice_Level2"/>
      <w:bookmarkStart w:id="459" w:name="_Toc13323_WPSOffice_Level2"/>
      <w:bookmarkStart w:id="460" w:name="_Toc24414"/>
      <w:bookmarkStart w:id="461" w:name="_Toc30902"/>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1"/>
        <w:rPr>
          <w:rFonts w:hint="eastAsia" w:ascii="宋体" w:hAnsi="宋体" w:eastAsia="方正黑体_GBK" w:cs="方正黑体_GBK"/>
          <w:b w:val="0"/>
          <w:bCs/>
          <w:color w:val="auto"/>
          <w:kern w:val="2"/>
          <w:sz w:val="32"/>
          <w:szCs w:val="32"/>
          <w:highlight w:val="none"/>
          <w:lang w:val="en-US" w:eastAsia="zh-CN" w:bidi="ar-SA"/>
        </w:rPr>
      </w:pPr>
      <w:r>
        <w:rPr>
          <w:rFonts w:hint="eastAsia" w:ascii="宋体" w:hAnsi="宋体" w:eastAsia="方正黑体_GBK" w:cs="方正黑体_GBK"/>
          <w:b w:val="0"/>
          <w:bCs/>
          <w:color w:val="auto"/>
          <w:kern w:val="2"/>
          <w:sz w:val="32"/>
          <w:szCs w:val="32"/>
          <w:highlight w:val="none"/>
          <w:lang w:val="en-US" w:eastAsia="zh-CN" w:bidi="ar-SA"/>
        </w:rPr>
        <w:t>第二章　健全规划落实制度保障</w:t>
      </w:r>
      <w:bookmarkEnd w:id="457"/>
      <w:bookmarkEnd w:id="458"/>
      <w:bookmarkEnd w:id="459"/>
      <w:bookmarkEnd w:id="460"/>
      <w:bookmarkEnd w:id="46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宋体" w:hAnsi="宋体" w:eastAsia="方正仿宋_GBK" w:cstheme="minorBidi"/>
          <w:b w:val="0"/>
          <w:color w:val="auto"/>
          <w:kern w:val="2"/>
          <w:sz w:val="32"/>
          <w:szCs w:val="32"/>
          <w:highlight w:val="none"/>
          <w:lang w:val="en-US" w:eastAsia="zh-CN" w:bidi="ar-SA"/>
        </w:rPr>
      </w:pPr>
      <w:bookmarkStart w:id="462" w:name="_Toc27278"/>
      <w:bookmarkStart w:id="463" w:name="_Toc5279_WPSOffice_Level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color w:val="auto"/>
          <w:kern w:val="2"/>
          <w:sz w:val="32"/>
          <w:szCs w:val="32"/>
          <w:highlight w:val="none"/>
          <w:lang w:val="en-US" w:eastAsia="zh-CN" w:bidi="ar-SA"/>
        </w:rPr>
        <w:t xml:space="preserve">    </w:t>
      </w:r>
      <w:r>
        <w:rPr>
          <w:rFonts w:hint="eastAsia" w:ascii="宋体" w:hAnsi="宋体" w:eastAsia="方正仿宋_GBK" w:cstheme="minorBidi"/>
          <w:b w:val="0"/>
          <w:bCs w:val="0"/>
          <w:color w:val="auto"/>
          <w:kern w:val="2"/>
          <w:sz w:val="32"/>
          <w:szCs w:val="32"/>
          <w:highlight w:val="none"/>
          <w:lang w:val="en-US" w:eastAsia="zh-CN" w:bidi="ar-SA"/>
        </w:rPr>
        <w:t>坚持《规划纲要》的统领地位，创新规划落地办法措施，全力解决规划执行困难问题，实现规划落实全民参与，规划成果全民共享。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0"/>
          <w:szCs w:val="30"/>
          <w:highlight w:val="none"/>
          <w:lang w:val="en-US" w:eastAsia="zh-CN"/>
        </w:rPr>
      </w:pPr>
      <w:bookmarkStart w:id="464" w:name="_Toc19142_WPSOffice_Level3"/>
      <w:bookmarkStart w:id="465" w:name="_Toc12892_WPSOffice_Level3"/>
      <w:bookmarkStart w:id="466" w:name="_Toc9951"/>
      <w:r>
        <w:rPr>
          <w:rFonts w:hint="eastAsia" w:ascii="宋体" w:hAnsi="宋体" w:eastAsia="方正楷体_GBK" w:cs="方正楷体_GBK"/>
          <w:b w:val="0"/>
          <w:bCs w:val="0"/>
          <w:color w:val="auto"/>
          <w:sz w:val="30"/>
          <w:szCs w:val="30"/>
          <w:highlight w:val="none"/>
          <w:lang w:val="en-US" w:eastAsia="zh-CN"/>
        </w:rPr>
        <w:t>第一节　健全规划落实机制</w:t>
      </w:r>
      <w:bookmarkEnd w:id="462"/>
      <w:bookmarkEnd w:id="463"/>
      <w:bookmarkEnd w:id="464"/>
      <w:bookmarkEnd w:id="465"/>
      <w:bookmarkEnd w:id="46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突出《规划纲要》在国民经济和社会发展中的核心地位和专项规划的统领作用，在《规划纲要》执行过程中，建立健全规划年度目标任务工作制度和各项工作考核考评制度。实行各项工作年度评价制度，各单位各部门严格依照规划要求开展各项工作，对于各项工作推进有力、成绩优越、贡献突出的单位或个人，将列入各级评优评先、干部职位升降、职称职务工资晋级等行列，对于工作推诿、效能低下的将作为惩戒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0"/>
          <w:szCs w:val="30"/>
          <w:highlight w:val="none"/>
          <w:lang w:val="en-US" w:eastAsia="zh-CN"/>
        </w:rPr>
      </w:pPr>
      <w:bookmarkStart w:id="467" w:name="_Toc24498"/>
      <w:bookmarkStart w:id="468" w:name="_Toc8324"/>
      <w:bookmarkStart w:id="469" w:name="_Toc10613_WPSOffice_Level3"/>
      <w:bookmarkStart w:id="470" w:name="_Toc11392_WPSOffice_Level3"/>
      <w:bookmarkStart w:id="471" w:name="_Toc21366_WPSOffice_Level3"/>
      <w:r>
        <w:rPr>
          <w:rFonts w:hint="eastAsia" w:ascii="宋体" w:hAnsi="宋体" w:eastAsia="方正楷体_GBK" w:cs="方正楷体_GBK"/>
          <w:b w:val="0"/>
          <w:bCs w:val="0"/>
          <w:color w:val="auto"/>
          <w:sz w:val="30"/>
          <w:szCs w:val="30"/>
          <w:highlight w:val="none"/>
          <w:lang w:val="en-US" w:eastAsia="zh-CN"/>
        </w:rPr>
        <w:t>第二节　责任落实</w:t>
      </w:r>
      <w:bookmarkEnd w:id="467"/>
      <w:bookmarkEnd w:id="468"/>
      <w:bookmarkEnd w:id="469"/>
      <w:bookmarkEnd w:id="470"/>
      <w:bookmarkEnd w:id="47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在编制年度国民经济和社会发展计划时，要将规划目标任务分解到相应的年度目标任务，建立年度工作方案，明确各项工作责任领导、责任部门、完成时限等相关工作要求。各级各部门在拟定年度目标任务时，要以规划要求为中心，围绕规划目标制定工作任务，完善相应计划配套工作措施，确保《规划纲要》要求落实到具体工作中。同时，要增强部门领导和职工机遇意识、危机意识和经济社会发展的应变能力，在把握好部门行业发展主动权中主动求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0"/>
          <w:szCs w:val="30"/>
          <w:highlight w:val="none"/>
          <w:lang w:val="en-US" w:eastAsia="zh-CN"/>
        </w:rPr>
      </w:pPr>
      <w:bookmarkStart w:id="472" w:name="_Toc25021_WPSOffice_Level3"/>
      <w:bookmarkStart w:id="473" w:name="_Toc19662"/>
      <w:bookmarkStart w:id="474" w:name="_Toc20791_WPSOffice_Level3"/>
      <w:bookmarkStart w:id="475" w:name="_Toc29763"/>
      <w:bookmarkStart w:id="476" w:name="_Toc12614_WPSOffice_Level3"/>
      <w:r>
        <w:rPr>
          <w:rFonts w:hint="eastAsia" w:ascii="宋体" w:hAnsi="宋体" w:eastAsia="方正楷体_GBK" w:cs="方正楷体_GBK"/>
          <w:b w:val="0"/>
          <w:bCs w:val="0"/>
          <w:color w:val="auto"/>
          <w:sz w:val="30"/>
          <w:szCs w:val="30"/>
          <w:highlight w:val="none"/>
          <w:lang w:val="en-US" w:eastAsia="zh-CN"/>
        </w:rPr>
        <w:t>第三节　</w:t>
      </w:r>
      <w:bookmarkEnd w:id="472"/>
      <w:bookmarkEnd w:id="473"/>
      <w:bookmarkEnd w:id="474"/>
      <w:r>
        <w:rPr>
          <w:rFonts w:hint="eastAsia" w:ascii="宋体" w:hAnsi="宋体" w:eastAsia="方正楷体_GBK" w:cs="方正楷体_GBK"/>
          <w:b w:val="0"/>
          <w:bCs w:val="0"/>
          <w:color w:val="auto"/>
          <w:sz w:val="30"/>
          <w:szCs w:val="30"/>
          <w:highlight w:val="none"/>
          <w:lang w:val="en-US" w:eastAsia="zh-CN"/>
        </w:rPr>
        <w:t>增强规划参与能力</w:t>
      </w:r>
      <w:bookmarkEnd w:id="475"/>
      <w:bookmarkEnd w:id="47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i w:val="0"/>
          <w:iCs w:val="0"/>
          <w:color w:val="auto"/>
          <w:sz w:val="32"/>
          <w:szCs w:val="32"/>
          <w:highlight w:val="none"/>
          <w:lang w:val="en-US" w:eastAsia="zh-CN"/>
        </w:rPr>
        <w:t xml:space="preserve">    </w:t>
      </w:r>
      <w:r>
        <w:rPr>
          <w:rFonts w:hint="eastAsia" w:ascii="宋体" w:hAnsi="宋体" w:eastAsia="方正仿宋_GBK" w:cstheme="minorBidi"/>
          <w:b w:val="0"/>
          <w:bCs w:val="0"/>
          <w:color w:val="auto"/>
          <w:kern w:val="2"/>
          <w:sz w:val="32"/>
          <w:szCs w:val="32"/>
          <w:highlight w:val="none"/>
          <w:lang w:val="en-US" w:eastAsia="zh-CN" w:bidi="ar-SA"/>
        </w:rPr>
        <w:t>多种形式、多渠道做好《规划纲要》宣传，提高公众规划意识，扩大规划落实公众参与，让更多的社会公众通过法定程序和渠道参与规划的实施和监督，激发广大干部群众的创业热情，使实施规划成为全社会的自觉行动，形成共同参与规划实施和依照规划办事的良好氛围。各乡（镇）、各部门要加强对《规划纲要》涉及事项的实施情况进行跟踪分析，特别要对重要发展目标进行监测，对战略重点任务实施情况进行分析，对重大项目进展情况进行跟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2"/>
        <w:rPr>
          <w:rFonts w:hint="eastAsia" w:ascii="宋体" w:hAnsi="宋体" w:eastAsia="方正楷体_GBK" w:cs="方正楷体_GBK"/>
          <w:b w:val="0"/>
          <w:bCs w:val="0"/>
          <w:color w:val="auto"/>
          <w:sz w:val="30"/>
          <w:szCs w:val="30"/>
          <w:highlight w:val="none"/>
          <w:lang w:val="en-US" w:eastAsia="zh-CN"/>
        </w:rPr>
      </w:pPr>
      <w:bookmarkStart w:id="477" w:name="_Toc18740_WPSOffice_Level3"/>
      <w:bookmarkStart w:id="478" w:name="_Toc3505_WPSOffice_Level3"/>
      <w:bookmarkStart w:id="479" w:name="_Toc2081"/>
      <w:bookmarkStart w:id="480" w:name="_Toc7849"/>
      <w:bookmarkStart w:id="481" w:name="_Toc22617_WPSOffice_Level3"/>
      <w:r>
        <w:rPr>
          <w:rFonts w:hint="eastAsia" w:ascii="宋体" w:hAnsi="宋体" w:eastAsia="方正楷体_GBK" w:cs="方正楷体_GBK"/>
          <w:b w:val="0"/>
          <w:bCs w:val="0"/>
          <w:color w:val="auto"/>
          <w:sz w:val="30"/>
          <w:szCs w:val="30"/>
          <w:highlight w:val="none"/>
          <w:lang w:val="en-US" w:eastAsia="zh-CN"/>
        </w:rPr>
        <w:t>第四节　定期评估</w:t>
      </w:r>
      <w:bookmarkEnd w:id="477"/>
      <w:bookmarkEnd w:id="478"/>
      <w:bookmarkEnd w:id="479"/>
      <w:bookmarkEnd w:id="480"/>
      <w:bookmarkEnd w:id="48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创新《规划纲要》战略、布局、目标、任务、措施的落地机制，健全规划目标任务年度分解机制，制定相适应的目标任务考核考评评价体系，要对实施责任主体部门进行考核考评，对重要政策的制定、规划任务落实、规划执行效果和年度重大工程、重大项目、重大改革事项推进情况进行跟踪、落实、监测与评价排名，实现规划执行一年一评价、工作情况一年一检查，实现经验总结、问题查找、措施建立、机制健全等问题得到解决，确保《规划纲要》顺利实施。对《规划纲要》进展效果实行年度、期中、期末评估，对需要修订的内容报县人大常委会批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1"/>
        <w:textAlignment w:val="auto"/>
        <w:rPr>
          <w:rFonts w:hint="eastAsia" w:ascii="宋体" w:hAnsi="宋体" w:eastAsia="方正仿宋_GBK" w:cstheme="minorBidi"/>
          <w:b w:val="0"/>
          <w:bCs w:val="0"/>
          <w:color w:val="auto"/>
          <w:kern w:val="2"/>
          <w:sz w:val="32"/>
          <w:szCs w:val="32"/>
          <w:highlight w:val="none"/>
          <w:lang w:val="en-US" w:eastAsia="zh-CN" w:bidi="ar-SA"/>
        </w:rPr>
      </w:pPr>
      <w:r>
        <w:rPr>
          <w:rFonts w:hint="eastAsia" w:ascii="宋体" w:hAnsi="宋体" w:eastAsia="方正仿宋_GBK" w:cstheme="minorBidi"/>
          <w:b w:val="0"/>
          <w:bCs w:val="0"/>
          <w:color w:val="auto"/>
          <w:kern w:val="2"/>
          <w:sz w:val="32"/>
          <w:szCs w:val="32"/>
          <w:highlight w:val="none"/>
          <w:lang w:val="en-US" w:eastAsia="zh-CN" w:bidi="ar-SA"/>
        </w:rPr>
        <w:t>实现西畴县“十四五”时期发展目标，前景光明，任务艰巨。全县上下要更加紧密地团结在以习近平同志为核心的党中央周围，高举中国特色社会主义伟大旗帜，在县委的坚强领导下，坚定不移走中国特色社会主义道路，解放思想、实事求是，与时俱进，改革创新，凝心聚力抓落实，同心同德推发展，为实现“十四五”宏伟蓝图和二О三五远景目标而不懈努力奋斗！</w:t>
      </w:r>
    </w:p>
    <w:p>
      <w:pPr>
        <w:rPr>
          <w:rFonts w:hint="eastAsia" w:ascii="宋体" w:hAnsi="宋体" w:eastAsia="方正小标宋_GBK" w:cs="方正小标宋_GBK"/>
          <w:b w:val="0"/>
          <w:bCs/>
          <w:color w:val="auto"/>
          <w:kern w:val="2"/>
          <w:sz w:val="32"/>
          <w:szCs w:val="32"/>
          <w:highlight w:val="none"/>
          <w:lang w:val="en-US" w:eastAsia="zh-CN" w:bidi="ar-SA"/>
        </w:rPr>
      </w:pPr>
    </w:p>
    <w:sectPr>
      <w:pgSz w:w="11906" w:h="16838"/>
      <w:pgMar w:top="2098" w:right="1474" w:bottom="1417" w:left="1587" w:header="851" w:footer="1304" w:gutter="0"/>
      <w:pgNumType w:fmt="decimal" w:start="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-88265</wp:posOffset>
              </wp:positionV>
              <wp:extent cx="1017270" cy="3067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17270" cy="306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lang w:eastAsia="zh-CN"/>
                            </w:rPr>
                            <w:fldChar w:fldCharType="begin"/>
                          </w:r>
                          <w:r>
                            <w:rPr>
                              <w:rFonts w:hint="eastAsia" w:ascii="宋体" w:hAnsi="宋体" w:eastAsia="宋体" w:cs="宋体"/>
                              <w:spacing w:val="-6"/>
                              <w:sz w:val="28"/>
                              <w:szCs w:val="28"/>
                              <w:lang w:eastAsia="zh-CN"/>
                            </w:rPr>
                            <w:instrText xml:space="preserve"> PAGE  \* MERGEFORMAT </w:instrText>
                          </w:r>
                          <w:r>
                            <w:rPr>
                              <w:rFonts w:hint="eastAsia" w:ascii="宋体" w:hAnsi="宋体" w:eastAsia="宋体" w:cs="宋体"/>
                              <w:spacing w:val="-6"/>
                              <w:sz w:val="28"/>
                              <w:szCs w:val="28"/>
                              <w:lang w:eastAsia="zh-CN"/>
                            </w:rPr>
                            <w:fldChar w:fldCharType="separate"/>
                          </w:r>
                          <w:r>
                            <w:rPr>
                              <w:rFonts w:hint="eastAsia" w:ascii="宋体" w:hAnsi="宋体" w:eastAsia="宋体" w:cs="宋体"/>
                              <w:spacing w:val="-6"/>
                              <w:sz w:val="28"/>
                              <w:szCs w:val="28"/>
                              <w:lang w:eastAsia="zh-CN"/>
                            </w:rPr>
                            <w:t>- 1 -</w:t>
                          </w:r>
                          <w:r>
                            <w:rPr>
                              <w:rFonts w:hint="eastAsia" w:ascii="宋体" w:hAnsi="宋体" w:eastAsia="宋体" w:cs="宋体"/>
                              <w:spacing w:val="-6"/>
                              <w:sz w:val="28"/>
                              <w:szCs w:val="28"/>
                              <w:lang w:eastAsia="zh-CN"/>
                            </w:rPr>
                            <w:fldChar w:fldCharType="end"/>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95pt;height:24.15pt;width:80.1pt;mso-position-horizontal:outside;mso-position-horizontal-relative:margin;z-index:251659264;mso-width-relative:page;mso-height-relative:page;" filled="f" stroked="f" coordsize="21600,21600" o:gfxdata="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4q151gAAAAcBAAAP&#10;AAAAAAAAAAEAIAAAACIAAABkcnMvZG93bnJldi54bWxQSwECFAAUAAAACACHTuJAO1BHTBoCAAAU&#10;BAAADgAAAAAAAAABACAAAAAlAQAAZHJzL2Uyb0RvYy54bWxQSwUGAAAAAAYABgBZAQAAsQUAAAAA&#10;">
              <v:fill on="f" focussize="0,0"/>
              <v:stroke on="f" weight="0.5pt"/>
              <v:imagedata o:title=""/>
              <o:lock v:ext="edit" aspectratio="f"/>
              <v:textbox inset="0mm,0mm,0mm,0mm">
                <w:txbxContent>
                  <w:p>
                    <w:pPr>
                      <w:pStyle w:val="11"/>
                      <w:jc w:val="center"/>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lang w:eastAsia="zh-CN"/>
                      </w:rPr>
                      <w:fldChar w:fldCharType="begin"/>
                    </w:r>
                    <w:r>
                      <w:rPr>
                        <w:rFonts w:hint="eastAsia" w:ascii="宋体" w:hAnsi="宋体" w:eastAsia="宋体" w:cs="宋体"/>
                        <w:spacing w:val="-6"/>
                        <w:sz w:val="28"/>
                        <w:szCs w:val="28"/>
                        <w:lang w:eastAsia="zh-CN"/>
                      </w:rPr>
                      <w:instrText xml:space="preserve"> PAGE  \* MERGEFORMAT </w:instrText>
                    </w:r>
                    <w:r>
                      <w:rPr>
                        <w:rFonts w:hint="eastAsia" w:ascii="宋体" w:hAnsi="宋体" w:eastAsia="宋体" w:cs="宋体"/>
                        <w:spacing w:val="-6"/>
                        <w:sz w:val="28"/>
                        <w:szCs w:val="28"/>
                        <w:lang w:eastAsia="zh-CN"/>
                      </w:rPr>
                      <w:fldChar w:fldCharType="separate"/>
                    </w:r>
                    <w:r>
                      <w:rPr>
                        <w:rFonts w:hint="eastAsia" w:ascii="宋体" w:hAnsi="宋体" w:eastAsia="宋体" w:cs="宋体"/>
                        <w:spacing w:val="-6"/>
                        <w:sz w:val="28"/>
                        <w:szCs w:val="28"/>
                        <w:lang w:eastAsia="zh-CN"/>
                      </w:rPr>
                      <w:t>- 1 -</w:t>
                    </w:r>
                    <w:r>
                      <w:rPr>
                        <w:rFonts w:hint="eastAsia" w:ascii="宋体" w:hAnsi="宋体" w:eastAsia="宋体" w:cs="宋体"/>
                        <w:spacing w:val="-6"/>
                        <w:sz w:val="28"/>
                        <w:szCs w:val="28"/>
                        <w:lang w:eastAsia="zh-CN"/>
                      </w:rPr>
                      <w:fldChar w:fldCharType="end"/>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8D975"/>
    <w:multiLevelType w:val="singleLevel"/>
    <w:tmpl w:val="6258D975"/>
    <w:lvl w:ilvl="0" w:tentative="0">
      <w:start w:val="4"/>
      <w:numFmt w:val="chineseCounting"/>
      <w:suff w:val="space"/>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8E8"/>
    <w:rsid w:val="002677E7"/>
    <w:rsid w:val="005D30EA"/>
    <w:rsid w:val="006448E1"/>
    <w:rsid w:val="0080017A"/>
    <w:rsid w:val="00B00606"/>
    <w:rsid w:val="00BF2DFC"/>
    <w:rsid w:val="00CD0D87"/>
    <w:rsid w:val="00D67AB1"/>
    <w:rsid w:val="00DA3E01"/>
    <w:rsid w:val="011E1FB8"/>
    <w:rsid w:val="015F013A"/>
    <w:rsid w:val="016854F4"/>
    <w:rsid w:val="016C6435"/>
    <w:rsid w:val="016E26CD"/>
    <w:rsid w:val="01F068FC"/>
    <w:rsid w:val="01F84406"/>
    <w:rsid w:val="02131C51"/>
    <w:rsid w:val="02135E33"/>
    <w:rsid w:val="023A7153"/>
    <w:rsid w:val="02514049"/>
    <w:rsid w:val="025B137B"/>
    <w:rsid w:val="026C547F"/>
    <w:rsid w:val="027B6016"/>
    <w:rsid w:val="029E133E"/>
    <w:rsid w:val="02A87C7A"/>
    <w:rsid w:val="02E206B5"/>
    <w:rsid w:val="02E5379A"/>
    <w:rsid w:val="02FC2837"/>
    <w:rsid w:val="031550E1"/>
    <w:rsid w:val="034F6089"/>
    <w:rsid w:val="03615295"/>
    <w:rsid w:val="038E30F4"/>
    <w:rsid w:val="03AC3036"/>
    <w:rsid w:val="03B95AB8"/>
    <w:rsid w:val="03C9661B"/>
    <w:rsid w:val="03C974CE"/>
    <w:rsid w:val="041A36DF"/>
    <w:rsid w:val="04494A61"/>
    <w:rsid w:val="04867F94"/>
    <w:rsid w:val="04FE41A8"/>
    <w:rsid w:val="05106CE7"/>
    <w:rsid w:val="051371AA"/>
    <w:rsid w:val="05346EA4"/>
    <w:rsid w:val="053C05F8"/>
    <w:rsid w:val="05633CB7"/>
    <w:rsid w:val="056A3C2F"/>
    <w:rsid w:val="059542F8"/>
    <w:rsid w:val="05DD6190"/>
    <w:rsid w:val="05E07F62"/>
    <w:rsid w:val="05E55819"/>
    <w:rsid w:val="06071F84"/>
    <w:rsid w:val="06351B10"/>
    <w:rsid w:val="06642DFC"/>
    <w:rsid w:val="066E7867"/>
    <w:rsid w:val="068A5912"/>
    <w:rsid w:val="06A55CAB"/>
    <w:rsid w:val="06A67A24"/>
    <w:rsid w:val="06AC3C73"/>
    <w:rsid w:val="06B2210E"/>
    <w:rsid w:val="06BB0323"/>
    <w:rsid w:val="06CC4607"/>
    <w:rsid w:val="06DC609E"/>
    <w:rsid w:val="06E0060C"/>
    <w:rsid w:val="06E5374B"/>
    <w:rsid w:val="06E77148"/>
    <w:rsid w:val="0707455B"/>
    <w:rsid w:val="07147DA4"/>
    <w:rsid w:val="073A1921"/>
    <w:rsid w:val="07566EEE"/>
    <w:rsid w:val="077A709B"/>
    <w:rsid w:val="07825E9E"/>
    <w:rsid w:val="07875B06"/>
    <w:rsid w:val="07904150"/>
    <w:rsid w:val="07AA4D07"/>
    <w:rsid w:val="07B76960"/>
    <w:rsid w:val="08420453"/>
    <w:rsid w:val="084D5F11"/>
    <w:rsid w:val="084F0D70"/>
    <w:rsid w:val="08634107"/>
    <w:rsid w:val="086A7451"/>
    <w:rsid w:val="086D4860"/>
    <w:rsid w:val="0873532A"/>
    <w:rsid w:val="08745DB2"/>
    <w:rsid w:val="087A4A78"/>
    <w:rsid w:val="08A86BA4"/>
    <w:rsid w:val="08DA67E9"/>
    <w:rsid w:val="08F13826"/>
    <w:rsid w:val="090E5398"/>
    <w:rsid w:val="091C27C8"/>
    <w:rsid w:val="096B4266"/>
    <w:rsid w:val="096D089B"/>
    <w:rsid w:val="09715075"/>
    <w:rsid w:val="09800FEC"/>
    <w:rsid w:val="099851ED"/>
    <w:rsid w:val="09A7347B"/>
    <w:rsid w:val="09EB2C25"/>
    <w:rsid w:val="09EF6A94"/>
    <w:rsid w:val="09F25AF6"/>
    <w:rsid w:val="0A2D6468"/>
    <w:rsid w:val="0A490DCB"/>
    <w:rsid w:val="0A585A12"/>
    <w:rsid w:val="0A6C7378"/>
    <w:rsid w:val="0A8E561C"/>
    <w:rsid w:val="0A943ACE"/>
    <w:rsid w:val="0AAB7BA3"/>
    <w:rsid w:val="0AD02685"/>
    <w:rsid w:val="0AFD101D"/>
    <w:rsid w:val="0B081D98"/>
    <w:rsid w:val="0B570146"/>
    <w:rsid w:val="0B786297"/>
    <w:rsid w:val="0BB50263"/>
    <w:rsid w:val="0C0F2052"/>
    <w:rsid w:val="0C1703D2"/>
    <w:rsid w:val="0C20185E"/>
    <w:rsid w:val="0C405514"/>
    <w:rsid w:val="0C5D3791"/>
    <w:rsid w:val="0C631EF3"/>
    <w:rsid w:val="0C93195A"/>
    <w:rsid w:val="0C9755BC"/>
    <w:rsid w:val="0CD44515"/>
    <w:rsid w:val="0CE276D1"/>
    <w:rsid w:val="0D5D1470"/>
    <w:rsid w:val="0D73460B"/>
    <w:rsid w:val="0D7E237A"/>
    <w:rsid w:val="0D874DD9"/>
    <w:rsid w:val="0D9350BF"/>
    <w:rsid w:val="0DC3231B"/>
    <w:rsid w:val="0DE5504B"/>
    <w:rsid w:val="0DF41897"/>
    <w:rsid w:val="0E087FCA"/>
    <w:rsid w:val="0E3325BF"/>
    <w:rsid w:val="0E333925"/>
    <w:rsid w:val="0E4101D6"/>
    <w:rsid w:val="0E474C82"/>
    <w:rsid w:val="0E481849"/>
    <w:rsid w:val="0E704468"/>
    <w:rsid w:val="0E7E4B45"/>
    <w:rsid w:val="0E816CA4"/>
    <w:rsid w:val="0E8D7BCF"/>
    <w:rsid w:val="0EB557CC"/>
    <w:rsid w:val="0EC373CA"/>
    <w:rsid w:val="0ECA1E7E"/>
    <w:rsid w:val="0ED51023"/>
    <w:rsid w:val="0EDF027C"/>
    <w:rsid w:val="0F097099"/>
    <w:rsid w:val="0F3B7DD7"/>
    <w:rsid w:val="0F4B7041"/>
    <w:rsid w:val="0F632636"/>
    <w:rsid w:val="0F8555A3"/>
    <w:rsid w:val="0FA419E7"/>
    <w:rsid w:val="0FE17E36"/>
    <w:rsid w:val="0FF86E10"/>
    <w:rsid w:val="0FF97F10"/>
    <w:rsid w:val="1010635C"/>
    <w:rsid w:val="10161935"/>
    <w:rsid w:val="104C13CF"/>
    <w:rsid w:val="108E63D1"/>
    <w:rsid w:val="10A325B2"/>
    <w:rsid w:val="10B27B50"/>
    <w:rsid w:val="10D6432C"/>
    <w:rsid w:val="11134784"/>
    <w:rsid w:val="112725A4"/>
    <w:rsid w:val="115804F8"/>
    <w:rsid w:val="11680FAC"/>
    <w:rsid w:val="11847671"/>
    <w:rsid w:val="11BD1127"/>
    <w:rsid w:val="11CF465B"/>
    <w:rsid w:val="12141D85"/>
    <w:rsid w:val="121C0FDC"/>
    <w:rsid w:val="122D4B6D"/>
    <w:rsid w:val="12664093"/>
    <w:rsid w:val="126E2F6A"/>
    <w:rsid w:val="129A2DD3"/>
    <w:rsid w:val="12B15D12"/>
    <w:rsid w:val="12D8290F"/>
    <w:rsid w:val="12DB6353"/>
    <w:rsid w:val="131348D8"/>
    <w:rsid w:val="131A04FC"/>
    <w:rsid w:val="135016CB"/>
    <w:rsid w:val="13694B56"/>
    <w:rsid w:val="138F6A1D"/>
    <w:rsid w:val="139C5BEE"/>
    <w:rsid w:val="13D5448F"/>
    <w:rsid w:val="14415A42"/>
    <w:rsid w:val="144D5357"/>
    <w:rsid w:val="146D6214"/>
    <w:rsid w:val="147215A2"/>
    <w:rsid w:val="147943B1"/>
    <w:rsid w:val="14C752EB"/>
    <w:rsid w:val="14D43602"/>
    <w:rsid w:val="15013175"/>
    <w:rsid w:val="15164F9A"/>
    <w:rsid w:val="15482A3E"/>
    <w:rsid w:val="1574197A"/>
    <w:rsid w:val="157E3FC5"/>
    <w:rsid w:val="15901B74"/>
    <w:rsid w:val="1598297C"/>
    <w:rsid w:val="15AB43C0"/>
    <w:rsid w:val="15BD36AA"/>
    <w:rsid w:val="15C06C8B"/>
    <w:rsid w:val="15C85F54"/>
    <w:rsid w:val="163664E2"/>
    <w:rsid w:val="166D5B71"/>
    <w:rsid w:val="16764E2F"/>
    <w:rsid w:val="16794C2F"/>
    <w:rsid w:val="16864BE9"/>
    <w:rsid w:val="16C863A5"/>
    <w:rsid w:val="16E86A3A"/>
    <w:rsid w:val="17017D2B"/>
    <w:rsid w:val="17165CF5"/>
    <w:rsid w:val="17175305"/>
    <w:rsid w:val="17392EC0"/>
    <w:rsid w:val="1758074C"/>
    <w:rsid w:val="17670C10"/>
    <w:rsid w:val="17A17996"/>
    <w:rsid w:val="17A20C84"/>
    <w:rsid w:val="17AF3A94"/>
    <w:rsid w:val="17BE6AD2"/>
    <w:rsid w:val="1813446C"/>
    <w:rsid w:val="181420DE"/>
    <w:rsid w:val="181F6ECD"/>
    <w:rsid w:val="182C5A77"/>
    <w:rsid w:val="1842512D"/>
    <w:rsid w:val="188C03D6"/>
    <w:rsid w:val="188E2324"/>
    <w:rsid w:val="18A01D14"/>
    <w:rsid w:val="18C62E14"/>
    <w:rsid w:val="18D22D56"/>
    <w:rsid w:val="190B7A7A"/>
    <w:rsid w:val="19237B46"/>
    <w:rsid w:val="193526C0"/>
    <w:rsid w:val="193722C1"/>
    <w:rsid w:val="195C7F08"/>
    <w:rsid w:val="1979035B"/>
    <w:rsid w:val="1991462D"/>
    <w:rsid w:val="19A96079"/>
    <w:rsid w:val="19B017A3"/>
    <w:rsid w:val="19BB2CFA"/>
    <w:rsid w:val="19BD4B24"/>
    <w:rsid w:val="19D56346"/>
    <w:rsid w:val="19EB2708"/>
    <w:rsid w:val="1A0C2D78"/>
    <w:rsid w:val="1A2648BF"/>
    <w:rsid w:val="1A332F29"/>
    <w:rsid w:val="1A3C6E47"/>
    <w:rsid w:val="1A687E3A"/>
    <w:rsid w:val="1A722021"/>
    <w:rsid w:val="1AB94B99"/>
    <w:rsid w:val="1AD966C4"/>
    <w:rsid w:val="1B0F20CB"/>
    <w:rsid w:val="1B117C1F"/>
    <w:rsid w:val="1B1B37CC"/>
    <w:rsid w:val="1B9576C8"/>
    <w:rsid w:val="1BA549C4"/>
    <w:rsid w:val="1BDE6D8E"/>
    <w:rsid w:val="1C053FAA"/>
    <w:rsid w:val="1C2431DC"/>
    <w:rsid w:val="1C332DD9"/>
    <w:rsid w:val="1C350F89"/>
    <w:rsid w:val="1C422AB4"/>
    <w:rsid w:val="1C657423"/>
    <w:rsid w:val="1C6869CE"/>
    <w:rsid w:val="1C6C2BF9"/>
    <w:rsid w:val="1C777DA9"/>
    <w:rsid w:val="1C955C0F"/>
    <w:rsid w:val="1D055C66"/>
    <w:rsid w:val="1D0F2D93"/>
    <w:rsid w:val="1D8436F2"/>
    <w:rsid w:val="1D894FD3"/>
    <w:rsid w:val="1D8F7FD4"/>
    <w:rsid w:val="1DC423E5"/>
    <w:rsid w:val="1DE206E1"/>
    <w:rsid w:val="1DEA34FA"/>
    <w:rsid w:val="1DEA3D3D"/>
    <w:rsid w:val="1E1057CA"/>
    <w:rsid w:val="1E175225"/>
    <w:rsid w:val="1E2639AC"/>
    <w:rsid w:val="1E624CBB"/>
    <w:rsid w:val="1E6F4899"/>
    <w:rsid w:val="1E9157D9"/>
    <w:rsid w:val="1E933615"/>
    <w:rsid w:val="1ED55F04"/>
    <w:rsid w:val="1ED86828"/>
    <w:rsid w:val="1F03133A"/>
    <w:rsid w:val="1F0942B7"/>
    <w:rsid w:val="1F1F4274"/>
    <w:rsid w:val="1F2A631D"/>
    <w:rsid w:val="1F2A671B"/>
    <w:rsid w:val="1F4C61ED"/>
    <w:rsid w:val="1FBC55BD"/>
    <w:rsid w:val="1FD12511"/>
    <w:rsid w:val="207724F7"/>
    <w:rsid w:val="207E5647"/>
    <w:rsid w:val="20874675"/>
    <w:rsid w:val="208F64B4"/>
    <w:rsid w:val="20951506"/>
    <w:rsid w:val="20A56FE1"/>
    <w:rsid w:val="20CC7229"/>
    <w:rsid w:val="210C11D8"/>
    <w:rsid w:val="211C4F3F"/>
    <w:rsid w:val="21235FAE"/>
    <w:rsid w:val="214F04CA"/>
    <w:rsid w:val="217C63F2"/>
    <w:rsid w:val="21A175CC"/>
    <w:rsid w:val="21DF08B7"/>
    <w:rsid w:val="21F449AA"/>
    <w:rsid w:val="21F95D66"/>
    <w:rsid w:val="21FB0801"/>
    <w:rsid w:val="22141983"/>
    <w:rsid w:val="22282412"/>
    <w:rsid w:val="222A4438"/>
    <w:rsid w:val="223C7D2D"/>
    <w:rsid w:val="227A4C01"/>
    <w:rsid w:val="22875DFD"/>
    <w:rsid w:val="228D31E8"/>
    <w:rsid w:val="22DA2660"/>
    <w:rsid w:val="232B1B5E"/>
    <w:rsid w:val="23493F17"/>
    <w:rsid w:val="235B35E9"/>
    <w:rsid w:val="237A5805"/>
    <w:rsid w:val="23F7213A"/>
    <w:rsid w:val="24040444"/>
    <w:rsid w:val="24213DBD"/>
    <w:rsid w:val="244F0522"/>
    <w:rsid w:val="245D37A4"/>
    <w:rsid w:val="248204B9"/>
    <w:rsid w:val="248801EB"/>
    <w:rsid w:val="248E202B"/>
    <w:rsid w:val="24D52E20"/>
    <w:rsid w:val="24DE500B"/>
    <w:rsid w:val="24F52CE0"/>
    <w:rsid w:val="25171B8A"/>
    <w:rsid w:val="252F36C2"/>
    <w:rsid w:val="25310C60"/>
    <w:rsid w:val="253775CF"/>
    <w:rsid w:val="253D21C7"/>
    <w:rsid w:val="25453B92"/>
    <w:rsid w:val="255C1347"/>
    <w:rsid w:val="258C6986"/>
    <w:rsid w:val="25AC6347"/>
    <w:rsid w:val="25AC6ECB"/>
    <w:rsid w:val="25C15E94"/>
    <w:rsid w:val="25D2320A"/>
    <w:rsid w:val="25D95A3D"/>
    <w:rsid w:val="25E2783C"/>
    <w:rsid w:val="25EB4131"/>
    <w:rsid w:val="25F73983"/>
    <w:rsid w:val="25FD69CC"/>
    <w:rsid w:val="25FE3F8C"/>
    <w:rsid w:val="2606569E"/>
    <w:rsid w:val="26094C3B"/>
    <w:rsid w:val="2614541D"/>
    <w:rsid w:val="266A092C"/>
    <w:rsid w:val="266F2575"/>
    <w:rsid w:val="26734AEB"/>
    <w:rsid w:val="268B629C"/>
    <w:rsid w:val="268D2E5D"/>
    <w:rsid w:val="26B06228"/>
    <w:rsid w:val="26C43CB9"/>
    <w:rsid w:val="26ED36C6"/>
    <w:rsid w:val="26F94ECF"/>
    <w:rsid w:val="26FF7203"/>
    <w:rsid w:val="27410617"/>
    <w:rsid w:val="274F352C"/>
    <w:rsid w:val="276576A9"/>
    <w:rsid w:val="27906AE8"/>
    <w:rsid w:val="27A26AAE"/>
    <w:rsid w:val="27AC4894"/>
    <w:rsid w:val="27B8132B"/>
    <w:rsid w:val="27C8704A"/>
    <w:rsid w:val="27D45AED"/>
    <w:rsid w:val="27DA1A52"/>
    <w:rsid w:val="27DA56C4"/>
    <w:rsid w:val="27EF7377"/>
    <w:rsid w:val="28094C8B"/>
    <w:rsid w:val="286164D9"/>
    <w:rsid w:val="286D23D5"/>
    <w:rsid w:val="28725241"/>
    <w:rsid w:val="289C7EA1"/>
    <w:rsid w:val="28AD49E2"/>
    <w:rsid w:val="28C00181"/>
    <w:rsid w:val="28F2213B"/>
    <w:rsid w:val="28F5574D"/>
    <w:rsid w:val="2908339E"/>
    <w:rsid w:val="2919C746"/>
    <w:rsid w:val="293372A8"/>
    <w:rsid w:val="295A628D"/>
    <w:rsid w:val="29604677"/>
    <w:rsid w:val="29646BDA"/>
    <w:rsid w:val="29652FEF"/>
    <w:rsid w:val="299160CC"/>
    <w:rsid w:val="29965A71"/>
    <w:rsid w:val="29B50307"/>
    <w:rsid w:val="29BC1989"/>
    <w:rsid w:val="29C6541B"/>
    <w:rsid w:val="2A247051"/>
    <w:rsid w:val="2A2E3C0A"/>
    <w:rsid w:val="2A752CD1"/>
    <w:rsid w:val="2AA16F4C"/>
    <w:rsid w:val="2ACA6FDC"/>
    <w:rsid w:val="2ACB05FC"/>
    <w:rsid w:val="2ACE4DFB"/>
    <w:rsid w:val="2AD010F6"/>
    <w:rsid w:val="2AD21A31"/>
    <w:rsid w:val="2ADD2D86"/>
    <w:rsid w:val="2ADF4043"/>
    <w:rsid w:val="2B867BAE"/>
    <w:rsid w:val="2B8D5E6F"/>
    <w:rsid w:val="2B9A40EA"/>
    <w:rsid w:val="2B9C5522"/>
    <w:rsid w:val="2BE76C10"/>
    <w:rsid w:val="2BED5DC3"/>
    <w:rsid w:val="2C163860"/>
    <w:rsid w:val="2C1901C5"/>
    <w:rsid w:val="2C472117"/>
    <w:rsid w:val="2C4F728F"/>
    <w:rsid w:val="2C677266"/>
    <w:rsid w:val="2C700478"/>
    <w:rsid w:val="2C942B37"/>
    <w:rsid w:val="2CAC6518"/>
    <w:rsid w:val="2CC025D2"/>
    <w:rsid w:val="2CCC2E51"/>
    <w:rsid w:val="2CDC17AD"/>
    <w:rsid w:val="2CE36907"/>
    <w:rsid w:val="2D026D39"/>
    <w:rsid w:val="2D533041"/>
    <w:rsid w:val="2D580687"/>
    <w:rsid w:val="2DBB0959"/>
    <w:rsid w:val="2DD75230"/>
    <w:rsid w:val="2E01386E"/>
    <w:rsid w:val="2E094E47"/>
    <w:rsid w:val="2E852710"/>
    <w:rsid w:val="2ED72710"/>
    <w:rsid w:val="2EF57611"/>
    <w:rsid w:val="2EFD611F"/>
    <w:rsid w:val="2EFD6134"/>
    <w:rsid w:val="2F174DD4"/>
    <w:rsid w:val="2F19705D"/>
    <w:rsid w:val="2F46439B"/>
    <w:rsid w:val="2F771734"/>
    <w:rsid w:val="2F777211"/>
    <w:rsid w:val="2F863B1A"/>
    <w:rsid w:val="2FA56B29"/>
    <w:rsid w:val="2FBFBB07"/>
    <w:rsid w:val="2FC0121F"/>
    <w:rsid w:val="2FD3031E"/>
    <w:rsid w:val="2FD309F2"/>
    <w:rsid w:val="2FE55390"/>
    <w:rsid w:val="302A021D"/>
    <w:rsid w:val="3034363C"/>
    <w:rsid w:val="304D4B61"/>
    <w:rsid w:val="305204D5"/>
    <w:rsid w:val="307C2789"/>
    <w:rsid w:val="30EF0731"/>
    <w:rsid w:val="310060DC"/>
    <w:rsid w:val="31290895"/>
    <w:rsid w:val="31797F8F"/>
    <w:rsid w:val="318B2070"/>
    <w:rsid w:val="31982818"/>
    <w:rsid w:val="31D507BE"/>
    <w:rsid w:val="31D93E16"/>
    <w:rsid w:val="31E64F37"/>
    <w:rsid w:val="31F46AF9"/>
    <w:rsid w:val="323D742B"/>
    <w:rsid w:val="324A76C3"/>
    <w:rsid w:val="327C26E9"/>
    <w:rsid w:val="3286618E"/>
    <w:rsid w:val="32A1262A"/>
    <w:rsid w:val="32AA4D3E"/>
    <w:rsid w:val="32B90308"/>
    <w:rsid w:val="32F600E2"/>
    <w:rsid w:val="33010A97"/>
    <w:rsid w:val="33126EBD"/>
    <w:rsid w:val="331317CF"/>
    <w:rsid w:val="332D1FD9"/>
    <w:rsid w:val="3340746D"/>
    <w:rsid w:val="33523BB0"/>
    <w:rsid w:val="335935F0"/>
    <w:rsid w:val="337052F8"/>
    <w:rsid w:val="33D6685C"/>
    <w:rsid w:val="34111D6A"/>
    <w:rsid w:val="341B3F7D"/>
    <w:rsid w:val="341E7F6C"/>
    <w:rsid w:val="34226B0E"/>
    <w:rsid w:val="343F44BD"/>
    <w:rsid w:val="344101BA"/>
    <w:rsid w:val="346841E1"/>
    <w:rsid w:val="346D1884"/>
    <w:rsid w:val="347D3E51"/>
    <w:rsid w:val="34836BE9"/>
    <w:rsid w:val="3497787C"/>
    <w:rsid w:val="34DC3CB8"/>
    <w:rsid w:val="34DD2DD6"/>
    <w:rsid w:val="34FA4E1A"/>
    <w:rsid w:val="34FA540E"/>
    <w:rsid w:val="351436D3"/>
    <w:rsid w:val="35276599"/>
    <w:rsid w:val="35342B91"/>
    <w:rsid w:val="356D32B6"/>
    <w:rsid w:val="357615E1"/>
    <w:rsid w:val="35E971E0"/>
    <w:rsid w:val="36250713"/>
    <w:rsid w:val="362B51F3"/>
    <w:rsid w:val="36417A81"/>
    <w:rsid w:val="364468AE"/>
    <w:rsid w:val="36964673"/>
    <w:rsid w:val="36D423BD"/>
    <w:rsid w:val="37043603"/>
    <w:rsid w:val="37414894"/>
    <w:rsid w:val="374B7601"/>
    <w:rsid w:val="375E04E8"/>
    <w:rsid w:val="37695AB2"/>
    <w:rsid w:val="377343ED"/>
    <w:rsid w:val="377C1C4D"/>
    <w:rsid w:val="37B00C38"/>
    <w:rsid w:val="37DC5D9F"/>
    <w:rsid w:val="381F177B"/>
    <w:rsid w:val="38366A00"/>
    <w:rsid w:val="384716D6"/>
    <w:rsid w:val="384C7F48"/>
    <w:rsid w:val="385505F1"/>
    <w:rsid w:val="38635682"/>
    <w:rsid w:val="388554A9"/>
    <w:rsid w:val="388D1417"/>
    <w:rsid w:val="38947773"/>
    <w:rsid w:val="38B01321"/>
    <w:rsid w:val="38B4627A"/>
    <w:rsid w:val="38C948E0"/>
    <w:rsid w:val="38EB20AE"/>
    <w:rsid w:val="38FC6906"/>
    <w:rsid w:val="39235461"/>
    <w:rsid w:val="39276000"/>
    <w:rsid w:val="39301B26"/>
    <w:rsid w:val="393F0FE8"/>
    <w:rsid w:val="39477BB6"/>
    <w:rsid w:val="39520127"/>
    <w:rsid w:val="39612CC0"/>
    <w:rsid w:val="39676146"/>
    <w:rsid w:val="398E7E69"/>
    <w:rsid w:val="39C34692"/>
    <w:rsid w:val="39DF25F0"/>
    <w:rsid w:val="39E13D60"/>
    <w:rsid w:val="39EA7711"/>
    <w:rsid w:val="39F0511E"/>
    <w:rsid w:val="3A0A1886"/>
    <w:rsid w:val="3A190394"/>
    <w:rsid w:val="3A247C1E"/>
    <w:rsid w:val="3A566A36"/>
    <w:rsid w:val="3A8E29B0"/>
    <w:rsid w:val="3ACF2300"/>
    <w:rsid w:val="3AD17785"/>
    <w:rsid w:val="3AEB1999"/>
    <w:rsid w:val="3AEC0C11"/>
    <w:rsid w:val="3AF27AFF"/>
    <w:rsid w:val="3B0646FE"/>
    <w:rsid w:val="3B08479D"/>
    <w:rsid w:val="3B1B7432"/>
    <w:rsid w:val="3B2452CD"/>
    <w:rsid w:val="3B3A24C4"/>
    <w:rsid w:val="3B7E40B6"/>
    <w:rsid w:val="3B8B6857"/>
    <w:rsid w:val="3BA711C1"/>
    <w:rsid w:val="3BD2197B"/>
    <w:rsid w:val="3BD74282"/>
    <w:rsid w:val="3BF7138E"/>
    <w:rsid w:val="3C2D2259"/>
    <w:rsid w:val="3C390588"/>
    <w:rsid w:val="3C436E8D"/>
    <w:rsid w:val="3C4443E8"/>
    <w:rsid w:val="3C487F59"/>
    <w:rsid w:val="3C627682"/>
    <w:rsid w:val="3C844407"/>
    <w:rsid w:val="3C9D65EB"/>
    <w:rsid w:val="3CA27403"/>
    <w:rsid w:val="3CAC2239"/>
    <w:rsid w:val="3CB10AA7"/>
    <w:rsid w:val="3CB56AB0"/>
    <w:rsid w:val="3CB75B33"/>
    <w:rsid w:val="3CC74289"/>
    <w:rsid w:val="3CF1047D"/>
    <w:rsid w:val="3D041E57"/>
    <w:rsid w:val="3D0E3B8A"/>
    <w:rsid w:val="3D2649E0"/>
    <w:rsid w:val="3D342C97"/>
    <w:rsid w:val="3D3B0014"/>
    <w:rsid w:val="3D46557E"/>
    <w:rsid w:val="3D514B27"/>
    <w:rsid w:val="3D55027F"/>
    <w:rsid w:val="3D5D429A"/>
    <w:rsid w:val="3D6243EF"/>
    <w:rsid w:val="3D6E517C"/>
    <w:rsid w:val="3DD24600"/>
    <w:rsid w:val="3DF30933"/>
    <w:rsid w:val="3DFD7938"/>
    <w:rsid w:val="3E4832F1"/>
    <w:rsid w:val="3E631DB8"/>
    <w:rsid w:val="3E817CE1"/>
    <w:rsid w:val="3E9104D8"/>
    <w:rsid w:val="3EA979BA"/>
    <w:rsid w:val="3EB6243C"/>
    <w:rsid w:val="3ED47ADD"/>
    <w:rsid w:val="3EDA5F3D"/>
    <w:rsid w:val="3EF06503"/>
    <w:rsid w:val="3EFB7046"/>
    <w:rsid w:val="3F446C87"/>
    <w:rsid w:val="3F7209FD"/>
    <w:rsid w:val="3F73647F"/>
    <w:rsid w:val="3F9F51EC"/>
    <w:rsid w:val="3FAE612B"/>
    <w:rsid w:val="3FBD25B6"/>
    <w:rsid w:val="3FC93FC7"/>
    <w:rsid w:val="3FD155FE"/>
    <w:rsid w:val="3FE7FA5F"/>
    <w:rsid w:val="3FEC5FD0"/>
    <w:rsid w:val="40125993"/>
    <w:rsid w:val="40202290"/>
    <w:rsid w:val="40323C94"/>
    <w:rsid w:val="40A6093C"/>
    <w:rsid w:val="40F03FDA"/>
    <w:rsid w:val="41430FDC"/>
    <w:rsid w:val="41483845"/>
    <w:rsid w:val="41717C81"/>
    <w:rsid w:val="41867448"/>
    <w:rsid w:val="41B457B8"/>
    <w:rsid w:val="41BE1B82"/>
    <w:rsid w:val="422804FB"/>
    <w:rsid w:val="42472E1F"/>
    <w:rsid w:val="42476D96"/>
    <w:rsid w:val="424D461B"/>
    <w:rsid w:val="42574BB5"/>
    <w:rsid w:val="426A2510"/>
    <w:rsid w:val="426D4C83"/>
    <w:rsid w:val="42800E94"/>
    <w:rsid w:val="42D00691"/>
    <w:rsid w:val="42F957B2"/>
    <w:rsid w:val="43051A9A"/>
    <w:rsid w:val="430818E0"/>
    <w:rsid w:val="43083C12"/>
    <w:rsid w:val="43205F76"/>
    <w:rsid w:val="433743EF"/>
    <w:rsid w:val="434E67C2"/>
    <w:rsid w:val="435A1A36"/>
    <w:rsid w:val="437F0C98"/>
    <w:rsid w:val="43877B6D"/>
    <w:rsid w:val="4396680B"/>
    <w:rsid w:val="43A33441"/>
    <w:rsid w:val="43AC6069"/>
    <w:rsid w:val="43B54F3A"/>
    <w:rsid w:val="43D56066"/>
    <w:rsid w:val="43DA062E"/>
    <w:rsid w:val="43F556EC"/>
    <w:rsid w:val="441A3F4C"/>
    <w:rsid w:val="44362690"/>
    <w:rsid w:val="444953E4"/>
    <w:rsid w:val="444C0AE7"/>
    <w:rsid w:val="44827593"/>
    <w:rsid w:val="44852D9E"/>
    <w:rsid w:val="448933D3"/>
    <w:rsid w:val="44A61888"/>
    <w:rsid w:val="44AD08D5"/>
    <w:rsid w:val="44B76305"/>
    <w:rsid w:val="44B85872"/>
    <w:rsid w:val="44BC4D28"/>
    <w:rsid w:val="44D638CA"/>
    <w:rsid w:val="44DF2722"/>
    <w:rsid w:val="44F831E0"/>
    <w:rsid w:val="450A3D8D"/>
    <w:rsid w:val="451C6D20"/>
    <w:rsid w:val="45206B81"/>
    <w:rsid w:val="454D3CB7"/>
    <w:rsid w:val="45622F31"/>
    <w:rsid w:val="4574736C"/>
    <w:rsid w:val="45863A1D"/>
    <w:rsid w:val="459E47D2"/>
    <w:rsid w:val="45A80E53"/>
    <w:rsid w:val="45F5762E"/>
    <w:rsid w:val="45FB60A1"/>
    <w:rsid w:val="46075A3F"/>
    <w:rsid w:val="46103F8D"/>
    <w:rsid w:val="46434320"/>
    <w:rsid w:val="464C7453"/>
    <w:rsid w:val="465011E9"/>
    <w:rsid w:val="46DA5B1D"/>
    <w:rsid w:val="46E84999"/>
    <w:rsid w:val="46FB0483"/>
    <w:rsid w:val="47013614"/>
    <w:rsid w:val="471C2947"/>
    <w:rsid w:val="47265D6F"/>
    <w:rsid w:val="479D0F55"/>
    <w:rsid w:val="479E31E4"/>
    <w:rsid w:val="47B42837"/>
    <w:rsid w:val="47BC26E8"/>
    <w:rsid w:val="47FD08A2"/>
    <w:rsid w:val="481E52C2"/>
    <w:rsid w:val="48207061"/>
    <w:rsid w:val="4837636E"/>
    <w:rsid w:val="485646AA"/>
    <w:rsid w:val="48620D5B"/>
    <w:rsid w:val="487105AA"/>
    <w:rsid w:val="48735E11"/>
    <w:rsid w:val="48775056"/>
    <w:rsid w:val="48857870"/>
    <w:rsid w:val="4886092B"/>
    <w:rsid w:val="4891478E"/>
    <w:rsid w:val="489E11EC"/>
    <w:rsid w:val="48B068AA"/>
    <w:rsid w:val="48C852DB"/>
    <w:rsid w:val="48E1444B"/>
    <w:rsid w:val="48E9703D"/>
    <w:rsid w:val="4903725D"/>
    <w:rsid w:val="490D6658"/>
    <w:rsid w:val="494B3EE2"/>
    <w:rsid w:val="494D5F0D"/>
    <w:rsid w:val="4950733E"/>
    <w:rsid w:val="495839D2"/>
    <w:rsid w:val="497E55FB"/>
    <w:rsid w:val="49805A4B"/>
    <w:rsid w:val="498123ED"/>
    <w:rsid w:val="4989763F"/>
    <w:rsid w:val="49B21074"/>
    <w:rsid w:val="4A004267"/>
    <w:rsid w:val="4A042201"/>
    <w:rsid w:val="4A0D3F4E"/>
    <w:rsid w:val="4A3323C5"/>
    <w:rsid w:val="4A8206AE"/>
    <w:rsid w:val="4A8D7A96"/>
    <w:rsid w:val="4AB60D7B"/>
    <w:rsid w:val="4ABA1F14"/>
    <w:rsid w:val="4AD469F3"/>
    <w:rsid w:val="4AD950FB"/>
    <w:rsid w:val="4B167942"/>
    <w:rsid w:val="4B34409D"/>
    <w:rsid w:val="4B645876"/>
    <w:rsid w:val="4B650AB1"/>
    <w:rsid w:val="4B731862"/>
    <w:rsid w:val="4BBC43AB"/>
    <w:rsid w:val="4BCE4C66"/>
    <w:rsid w:val="4BF05806"/>
    <w:rsid w:val="4BF52059"/>
    <w:rsid w:val="4C004C15"/>
    <w:rsid w:val="4C401091"/>
    <w:rsid w:val="4C4B6843"/>
    <w:rsid w:val="4C670CA8"/>
    <w:rsid w:val="4C732995"/>
    <w:rsid w:val="4C7A1134"/>
    <w:rsid w:val="4C7C7C86"/>
    <w:rsid w:val="4C9E7829"/>
    <w:rsid w:val="4CB74D26"/>
    <w:rsid w:val="4CB7697B"/>
    <w:rsid w:val="4CCF0E73"/>
    <w:rsid w:val="4CD50CA2"/>
    <w:rsid w:val="4CEE26E1"/>
    <w:rsid w:val="4CFE45E6"/>
    <w:rsid w:val="4D034AE2"/>
    <w:rsid w:val="4D045EED"/>
    <w:rsid w:val="4D1B70FC"/>
    <w:rsid w:val="4D3017F9"/>
    <w:rsid w:val="4D3C442D"/>
    <w:rsid w:val="4D533CEB"/>
    <w:rsid w:val="4D5B7C6F"/>
    <w:rsid w:val="4D787DED"/>
    <w:rsid w:val="4D8542BE"/>
    <w:rsid w:val="4DC1240A"/>
    <w:rsid w:val="4DEE44D3"/>
    <w:rsid w:val="4E383229"/>
    <w:rsid w:val="4E40090A"/>
    <w:rsid w:val="4E457055"/>
    <w:rsid w:val="4E965F6A"/>
    <w:rsid w:val="4E981992"/>
    <w:rsid w:val="4EA0674D"/>
    <w:rsid w:val="4EB73167"/>
    <w:rsid w:val="4ED94EE9"/>
    <w:rsid w:val="4EFC679F"/>
    <w:rsid w:val="4F0C4D62"/>
    <w:rsid w:val="4F2517AC"/>
    <w:rsid w:val="4F762D4E"/>
    <w:rsid w:val="4F9879F5"/>
    <w:rsid w:val="4FA76F72"/>
    <w:rsid w:val="4FAF6892"/>
    <w:rsid w:val="4FC66B1A"/>
    <w:rsid w:val="4FD8235F"/>
    <w:rsid w:val="4FDD24FD"/>
    <w:rsid w:val="4FE77436"/>
    <w:rsid w:val="4FEB6681"/>
    <w:rsid w:val="4FF8491C"/>
    <w:rsid w:val="4FFB41DC"/>
    <w:rsid w:val="500A3C74"/>
    <w:rsid w:val="502912C1"/>
    <w:rsid w:val="50400682"/>
    <w:rsid w:val="5055245F"/>
    <w:rsid w:val="50697477"/>
    <w:rsid w:val="50711CD5"/>
    <w:rsid w:val="50742787"/>
    <w:rsid w:val="507829C2"/>
    <w:rsid w:val="50986AE6"/>
    <w:rsid w:val="50A73FA8"/>
    <w:rsid w:val="50B336C4"/>
    <w:rsid w:val="511F6107"/>
    <w:rsid w:val="512E0BE1"/>
    <w:rsid w:val="51461212"/>
    <w:rsid w:val="515C3D92"/>
    <w:rsid w:val="517470F9"/>
    <w:rsid w:val="51B51A60"/>
    <w:rsid w:val="51D16F0B"/>
    <w:rsid w:val="51DE3E77"/>
    <w:rsid w:val="51EF1E5E"/>
    <w:rsid w:val="51F9593B"/>
    <w:rsid w:val="51FA7C76"/>
    <w:rsid w:val="52145C26"/>
    <w:rsid w:val="52405E8E"/>
    <w:rsid w:val="524551E8"/>
    <w:rsid w:val="527038EA"/>
    <w:rsid w:val="52A17BA5"/>
    <w:rsid w:val="52D71AC1"/>
    <w:rsid w:val="533660AB"/>
    <w:rsid w:val="537F4926"/>
    <w:rsid w:val="538C2579"/>
    <w:rsid w:val="53A07411"/>
    <w:rsid w:val="53C05FD8"/>
    <w:rsid w:val="53D157A3"/>
    <w:rsid w:val="5407094E"/>
    <w:rsid w:val="54205336"/>
    <w:rsid w:val="544738A2"/>
    <w:rsid w:val="549629EA"/>
    <w:rsid w:val="54C535B8"/>
    <w:rsid w:val="54CE1A6D"/>
    <w:rsid w:val="54F12726"/>
    <w:rsid w:val="54FA1084"/>
    <w:rsid w:val="55024A68"/>
    <w:rsid w:val="553F77CC"/>
    <w:rsid w:val="554B172B"/>
    <w:rsid w:val="55782278"/>
    <w:rsid w:val="557B6D38"/>
    <w:rsid w:val="558D1B56"/>
    <w:rsid w:val="559D5768"/>
    <w:rsid w:val="55DC7F04"/>
    <w:rsid w:val="56066410"/>
    <w:rsid w:val="561B4AF0"/>
    <w:rsid w:val="56436F58"/>
    <w:rsid w:val="564E43A7"/>
    <w:rsid w:val="56617395"/>
    <w:rsid w:val="568C1895"/>
    <w:rsid w:val="56A14282"/>
    <w:rsid w:val="56AA3A0D"/>
    <w:rsid w:val="56FE1762"/>
    <w:rsid w:val="57072E24"/>
    <w:rsid w:val="57267229"/>
    <w:rsid w:val="57352D4E"/>
    <w:rsid w:val="576F16C0"/>
    <w:rsid w:val="57AB5F9F"/>
    <w:rsid w:val="57BE64A3"/>
    <w:rsid w:val="57C00742"/>
    <w:rsid w:val="58197FC3"/>
    <w:rsid w:val="5821520E"/>
    <w:rsid w:val="587D3BBB"/>
    <w:rsid w:val="5891490F"/>
    <w:rsid w:val="5899412B"/>
    <w:rsid w:val="58A81367"/>
    <w:rsid w:val="58AC7E62"/>
    <w:rsid w:val="58C305BB"/>
    <w:rsid w:val="58C64502"/>
    <w:rsid w:val="591D0CE0"/>
    <w:rsid w:val="592F22F9"/>
    <w:rsid w:val="596C1DF6"/>
    <w:rsid w:val="59855BE5"/>
    <w:rsid w:val="59B723B3"/>
    <w:rsid w:val="59B91542"/>
    <w:rsid w:val="59D121D4"/>
    <w:rsid w:val="59D67D72"/>
    <w:rsid w:val="59E8078B"/>
    <w:rsid w:val="59F466B2"/>
    <w:rsid w:val="5A234647"/>
    <w:rsid w:val="5A316B41"/>
    <w:rsid w:val="5A716C3C"/>
    <w:rsid w:val="5A775262"/>
    <w:rsid w:val="5A830CC7"/>
    <w:rsid w:val="5A903428"/>
    <w:rsid w:val="5AAB6B09"/>
    <w:rsid w:val="5AB0269B"/>
    <w:rsid w:val="5ABB410C"/>
    <w:rsid w:val="5AEB75B9"/>
    <w:rsid w:val="5B085F28"/>
    <w:rsid w:val="5B0C342F"/>
    <w:rsid w:val="5B270790"/>
    <w:rsid w:val="5B6832FD"/>
    <w:rsid w:val="5B785C17"/>
    <w:rsid w:val="5BA43067"/>
    <w:rsid w:val="5BAD1EF1"/>
    <w:rsid w:val="5BB659C4"/>
    <w:rsid w:val="5BD761A6"/>
    <w:rsid w:val="5BDE408B"/>
    <w:rsid w:val="5C07297D"/>
    <w:rsid w:val="5C117709"/>
    <w:rsid w:val="5C2E5095"/>
    <w:rsid w:val="5C314562"/>
    <w:rsid w:val="5C4B27AE"/>
    <w:rsid w:val="5C6945A4"/>
    <w:rsid w:val="5C6D65CB"/>
    <w:rsid w:val="5C7E2942"/>
    <w:rsid w:val="5C88261A"/>
    <w:rsid w:val="5C8C64F3"/>
    <w:rsid w:val="5C9A7205"/>
    <w:rsid w:val="5CC2146B"/>
    <w:rsid w:val="5CE32916"/>
    <w:rsid w:val="5CF51141"/>
    <w:rsid w:val="5D177F06"/>
    <w:rsid w:val="5D1B0F0C"/>
    <w:rsid w:val="5D2B571B"/>
    <w:rsid w:val="5D530E19"/>
    <w:rsid w:val="5D6B3CAC"/>
    <w:rsid w:val="5D6F234F"/>
    <w:rsid w:val="5D6F4942"/>
    <w:rsid w:val="5DC31694"/>
    <w:rsid w:val="5DD56349"/>
    <w:rsid w:val="5DD94846"/>
    <w:rsid w:val="5DE74162"/>
    <w:rsid w:val="5DF27A38"/>
    <w:rsid w:val="5DF57243"/>
    <w:rsid w:val="5E011283"/>
    <w:rsid w:val="5E077268"/>
    <w:rsid w:val="5E1310E0"/>
    <w:rsid w:val="5E153299"/>
    <w:rsid w:val="5E272529"/>
    <w:rsid w:val="5E4E4214"/>
    <w:rsid w:val="5E625EDA"/>
    <w:rsid w:val="5E6A1D59"/>
    <w:rsid w:val="5E793863"/>
    <w:rsid w:val="5E84617D"/>
    <w:rsid w:val="5E891ECE"/>
    <w:rsid w:val="5EA57100"/>
    <w:rsid w:val="5EAF2CDA"/>
    <w:rsid w:val="5EBE6C69"/>
    <w:rsid w:val="5F21380D"/>
    <w:rsid w:val="5F467CDB"/>
    <w:rsid w:val="5F663A74"/>
    <w:rsid w:val="5F8375C3"/>
    <w:rsid w:val="5F8E3EB7"/>
    <w:rsid w:val="5F950E10"/>
    <w:rsid w:val="5FA679D2"/>
    <w:rsid w:val="5FAA3B5C"/>
    <w:rsid w:val="5FAC1689"/>
    <w:rsid w:val="5FB22A98"/>
    <w:rsid w:val="5FD93BE5"/>
    <w:rsid w:val="5FDE69AF"/>
    <w:rsid w:val="60103D8D"/>
    <w:rsid w:val="60180C53"/>
    <w:rsid w:val="602F7B8D"/>
    <w:rsid w:val="60464828"/>
    <w:rsid w:val="60660C35"/>
    <w:rsid w:val="608F2DA5"/>
    <w:rsid w:val="60D759C0"/>
    <w:rsid w:val="60F8595A"/>
    <w:rsid w:val="610D0445"/>
    <w:rsid w:val="6126224B"/>
    <w:rsid w:val="613C706F"/>
    <w:rsid w:val="6196787E"/>
    <w:rsid w:val="619F020D"/>
    <w:rsid w:val="61E97DF7"/>
    <w:rsid w:val="622A7B3F"/>
    <w:rsid w:val="623357BB"/>
    <w:rsid w:val="623864E6"/>
    <w:rsid w:val="624F24AA"/>
    <w:rsid w:val="62964153"/>
    <w:rsid w:val="62A82A5E"/>
    <w:rsid w:val="62B714BB"/>
    <w:rsid w:val="62CB7B7D"/>
    <w:rsid w:val="62DF2D86"/>
    <w:rsid w:val="62ED2BD5"/>
    <w:rsid w:val="630F1A60"/>
    <w:rsid w:val="630F32DD"/>
    <w:rsid w:val="634427CB"/>
    <w:rsid w:val="63554766"/>
    <w:rsid w:val="638A5495"/>
    <w:rsid w:val="64070CA9"/>
    <w:rsid w:val="641711FD"/>
    <w:rsid w:val="64362ACB"/>
    <w:rsid w:val="64380ADD"/>
    <w:rsid w:val="64653CBF"/>
    <w:rsid w:val="64AE333A"/>
    <w:rsid w:val="64EA1DC4"/>
    <w:rsid w:val="64FBB073"/>
    <w:rsid w:val="651E3C12"/>
    <w:rsid w:val="652E50EC"/>
    <w:rsid w:val="65306CC1"/>
    <w:rsid w:val="656054D5"/>
    <w:rsid w:val="65B220DE"/>
    <w:rsid w:val="65D3757C"/>
    <w:rsid w:val="65DA6012"/>
    <w:rsid w:val="664C2CE1"/>
    <w:rsid w:val="664C6B16"/>
    <w:rsid w:val="669001B6"/>
    <w:rsid w:val="6691034C"/>
    <w:rsid w:val="66946635"/>
    <w:rsid w:val="66A10FD7"/>
    <w:rsid w:val="66EA0B0A"/>
    <w:rsid w:val="67350370"/>
    <w:rsid w:val="677C5DA0"/>
    <w:rsid w:val="67806328"/>
    <w:rsid w:val="6787568A"/>
    <w:rsid w:val="678B3F48"/>
    <w:rsid w:val="679171B7"/>
    <w:rsid w:val="67A02E04"/>
    <w:rsid w:val="67F118EA"/>
    <w:rsid w:val="681C76CE"/>
    <w:rsid w:val="6849492A"/>
    <w:rsid w:val="687F0941"/>
    <w:rsid w:val="68D84550"/>
    <w:rsid w:val="68EF64E7"/>
    <w:rsid w:val="6903588E"/>
    <w:rsid w:val="690D040F"/>
    <w:rsid w:val="690D6AC2"/>
    <w:rsid w:val="690E50E9"/>
    <w:rsid w:val="69155C16"/>
    <w:rsid w:val="691B5B67"/>
    <w:rsid w:val="693C4C9F"/>
    <w:rsid w:val="694435B0"/>
    <w:rsid w:val="69512D38"/>
    <w:rsid w:val="69F322EA"/>
    <w:rsid w:val="69FC7A71"/>
    <w:rsid w:val="6A2C4FB8"/>
    <w:rsid w:val="6A3E07FD"/>
    <w:rsid w:val="6A75236C"/>
    <w:rsid w:val="6A850DDA"/>
    <w:rsid w:val="6A887949"/>
    <w:rsid w:val="6A91240C"/>
    <w:rsid w:val="6A9F256B"/>
    <w:rsid w:val="6AAD067A"/>
    <w:rsid w:val="6ADE1CBB"/>
    <w:rsid w:val="6ADF736C"/>
    <w:rsid w:val="6AE45045"/>
    <w:rsid w:val="6B1D7DB3"/>
    <w:rsid w:val="6B594A0F"/>
    <w:rsid w:val="6B74748C"/>
    <w:rsid w:val="6B810202"/>
    <w:rsid w:val="6BB85C61"/>
    <w:rsid w:val="6BE174A9"/>
    <w:rsid w:val="6BF278E3"/>
    <w:rsid w:val="6BFF7C3D"/>
    <w:rsid w:val="6C0B0F82"/>
    <w:rsid w:val="6C0D6D72"/>
    <w:rsid w:val="6C157153"/>
    <w:rsid w:val="6C23708A"/>
    <w:rsid w:val="6C464807"/>
    <w:rsid w:val="6C692B28"/>
    <w:rsid w:val="6C7E63E0"/>
    <w:rsid w:val="6C95620D"/>
    <w:rsid w:val="6CA52076"/>
    <w:rsid w:val="6CDF6D6F"/>
    <w:rsid w:val="6D05100C"/>
    <w:rsid w:val="6D4F6E2A"/>
    <w:rsid w:val="6D5B5771"/>
    <w:rsid w:val="6D60174D"/>
    <w:rsid w:val="6D697741"/>
    <w:rsid w:val="6D8672F8"/>
    <w:rsid w:val="6DA44278"/>
    <w:rsid w:val="6DAE4560"/>
    <w:rsid w:val="6DB0516C"/>
    <w:rsid w:val="6DB466C6"/>
    <w:rsid w:val="6DD7485C"/>
    <w:rsid w:val="6DDC3C05"/>
    <w:rsid w:val="6DE26D6D"/>
    <w:rsid w:val="6DE539C5"/>
    <w:rsid w:val="6DEE203A"/>
    <w:rsid w:val="6DF36AB0"/>
    <w:rsid w:val="6E0B40F5"/>
    <w:rsid w:val="6E1674B8"/>
    <w:rsid w:val="6E2D5BC0"/>
    <w:rsid w:val="6E356057"/>
    <w:rsid w:val="6E44456B"/>
    <w:rsid w:val="6E581EFF"/>
    <w:rsid w:val="6E6067C9"/>
    <w:rsid w:val="6E611C14"/>
    <w:rsid w:val="6E850AD4"/>
    <w:rsid w:val="6E956E82"/>
    <w:rsid w:val="6EAC2682"/>
    <w:rsid w:val="6EB03A0C"/>
    <w:rsid w:val="6ED42ADA"/>
    <w:rsid w:val="6ED72E93"/>
    <w:rsid w:val="6ED87B97"/>
    <w:rsid w:val="6F067BCE"/>
    <w:rsid w:val="6F300F19"/>
    <w:rsid w:val="6F6C6A83"/>
    <w:rsid w:val="6F94661E"/>
    <w:rsid w:val="6FAB3A6A"/>
    <w:rsid w:val="6FAC66E8"/>
    <w:rsid w:val="6FB90596"/>
    <w:rsid w:val="6FC15EEC"/>
    <w:rsid w:val="6FD358C1"/>
    <w:rsid w:val="6FD60C88"/>
    <w:rsid w:val="6FF17314"/>
    <w:rsid w:val="70143002"/>
    <w:rsid w:val="7031366F"/>
    <w:rsid w:val="705F7B8E"/>
    <w:rsid w:val="70A83D30"/>
    <w:rsid w:val="70B25FBC"/>
    <w:rsid w:val="70C35F11"/>
    <w:rsid w:val="71403788"/>
    <w:rsid w:val="7144656B"/>
    <w:rsid w:val="718A62A1"/>
    <w:rsid w:val="71D57C9D"/>
    <w:rsid w:val="71E8057E"/>
    <w:rsid w:val="71F212CA"/>
    <w:rsid w:val="7216224A"/>
    <w:rsid w:val="728B5AEE"/>
    <w:rsid w:val="72973A44"/>
    <w:rsid w:val="72A82D18"/>
    <w:rsid w:val="72BD1896"/>
    <w:rsid w:val="72FB7389"/>
    <w:rsid w:val="73171E42"/>
    <w:rsid w:val="734064E2"/>
    <w:rsid w:val="735A04E9"/>
    <w:rsid w:val="73A44CC4"/>
    <w:rsid w:val="73A616FE"/>
    <w:rsid w:val="73AD62F3"/>
    <w:rsid w:val="73E57C7E"/>
    <w:rsid w:val="73F76E76"/>
    <w:rsid w:val="73FA38EC"/>
    <w:rsid w:val="741204CF"/>
    <w:rsid w:val="7447421D"/>
    <w:rsid w:val="74576CD4"/>
    <w:rsid w:val="746D4048"/>
    <w:rsid w:val="74766FA9"/>
    <w:rsid w:val="747A7F8A"/>
    <w:rsid w:val="74B45FDF"/>
    <w:rsid w:val="74D51CEF"/>
    <w:rsid w:val="751C8258"/>
    <w:rsid w:val="754F2C09"/>
    <w:rsid w:val="756A44E8"/>
    <w:rsid w:val="75714695"/>
    <w:rsid w:val="758B047A"/>
    <w:rsid w:val="75B46173"/>
    <w:rsid w:val="75B8246B"/>
    <w:rsid w:val="75CB6368"/>
    <w:rsid w:val="75E517E6"/>
    <w:rsid w:val="75E709DA"/>
    <w:rsid w:val="75F160C1"/>
    <w:rsid w:val="760A03BE"/>
    <w:rsid w:val="760F36CE"/>
    <w:rsid w:val="76226CC9"/>
    <w:rsid w:val="7625157B"/>
    <w:rsid w:val="76307CBF"/>
    <w:rsid w:val="7655790A"/>
    <w:rsid w:val="76972002"/>
    <w:rsid w:val="76C37D94"/>
    <w:rsid w:val="76E20DA9"/>
    <w:rsid w:val="770337F0"/>
    <w:rsid w:val="775006A8"/>
    <w:rsid w:val="77617E12"/>
    <w:rsid w:val="777B17F3"/>
    <w:rsid w:val="77937701"/>
    <w:rsid w:val="779420F2"/>
    <w:rsid w:val="779B1B36"/>
    <w:rsid w:val="779D4C4C"/>
    <w:rsid w:val="77B96D0A"/>
    <w:rsid w:val="77BBD36E"/>
    <w:rsid w:val="77BC379D"/>
    <w:rsid w:val="77CC7C37"/>
    <w:rsid w:val="77D678AE"/>
    <w:rsid w:val="77EF47ED"/>
    <w:rsid w:val="77FF4A1E"/>
    <w:rsid w:val="780327BC"/>
    <w:rsid w:val="780574E3"/>
    <w:rsid w:val="781141B4"/>
    <w:rsid w:val="784210F7"/>
    <w:rsid w:val="78540734"/>
    <w:rsid w:val="78693DDA"/>
    <w:rsid w:val="7875146A"/>
    <w:rsid w:val="7889160C"/>
    <w:rsid w:val="78B84F9D"/>
    <w:rsid w:val="78CA6939"/>
    <w:rsid w:val="78D4618D"/>
    <w:rsid w:val="78EE2483"/>
    <w:rsid w:val="78FA9FBD"/>
    <w:rsid w:val="79110366"/>
    <w:rsid w:val="79800B0F"/>
    <w:rsid w:val="79D902A8"/>
    <w:rsid w:val="79D93AFB"/>
    <w:rsid w:val="7A30621D"/>
    <w:rsid w:val="7A313F57"/>
    <w:rsid w:val="7A5D2AE4"/>
    <w:rsid w:val="7A5F06A4"/>
    <w:rsid w:val="7A630879"/>
    <w:rsid w:val="7A68194A"/>
    <w:rsid w:val="7A7624C6"/>
    <w:rsid w:val="7A8135AC"/>
    <w:rsid w:val="7AA62BC7"/>
    <w:rsid w:val="7AAE79B4"/>
    <w:rsid w:val="7AB44246"/>
    <w:rsid w:val="7AD03159"/>
    <w:rsid w:val="7AEA2696"/>
    <w:rsid w:val="7AEE4096"/>
    <w:rsid w:val="7AF06603"/>
    <w:rsid w:val="7AFD4506"/>
    <w:rsid w:val="7AFF2FC7"/>
    <w:rsid w:val="7B020570"/>
    <w:rsid w:val="7B0303FA"/>
    <w:rsid w:val="7B137995"/>
    <w:rsid w:val="7B2F2509"/>
    <w:rsid w:val="7B555EFE"/>
    <w:rsid w:val="7B7D63A6"/>
    <w:rsid w:val="7B87311A"/>
    <w:rsid w:val="7B886AD3"/>
    <w:rsid w:val="7B8C08C4"/>
    <w:rsid w:val="7B9AA6E3"/>
    <w:rsid w:val="7BA11E8E"/>
    <w:rsid w:val="7BAB417D"/>
    <w:rsid w:val="7BBF7718"/>
    <w:rsid w:val="7BC05A3B"/>
    <w:rsid w:val="7BD26391"/>
    <w:rsid w:val="7BF2064D"/>
    <w:rsid w:val="7BFC4E18"/>
    <w:rsid w:val="7C074FA9"/>
    <w:rsid w:val="7C6B5FF0"/>
    <w:rsid w:val="7C812AE5"/>
    <w:rsid w:val="7C9261D7"/>
    <w:rsid w:val="7C9A7B8E"/>
    <w:rsid w:val="7CAC1614"/>
    <w:rsid w:val="7CAF055E"/>
    <w:rsid w:val="7CB47501"/>
    <w:rsid w:val="7CCA78BF"/>
    <w:rsid w:val="7CDF0237"/>
    <w:rsid w:val="7CEBAE2B"/>
    <w:rsid w:val="7D1D7C4A"/>
    <w:rsid w:val="7D273013"/>
    <w:rsid w:val="7D2B0B5C"/>
    <w:rsid w:val="7D2B2AC8"/>
    <w:rsid w:val="7D2F49B2"/>
    <w:rsid w:val="7D5543A1"/>
    <w:rsid w:val="7D5E6DF2"/>
    <w:rsid w:val="7D6B3B17"/>
    <w:rsid w:val="7D9343AF"/>
    <w:rsid w:val="7DD06BB7"/>
    <w:rsid w:val="7DDE0E9B"/>
    <w:rsid w:val="7DF65F62"/>
    <w:rsid w:val="7E1E19BC"/>
    <w:rsid w:val="7E557E07"/>
    <w:rsid w:val="7E5813B9"/>
    <w:rsid w:val="7E5D2D9F"/>
    <w:rsid w:val="7E992319"/>
    <w:rsid w:val="7EBC2950"/>
    <w:rsid w:val="7F08168A"/>
    <w:rsid w:val="7F0D6BFD"/>
    <w:rsid w:val="7F1DC433"/>
    <w:rsid w:val="7F2A1368"/>
    <w:rsid w:val="7F3F8E26"/>
    <w:rsid w:val="7F5701CA"/>
    <w:rsid w:val="7F7F2407"/>
    <w:rsid w:val="7F9167D8"/>
    <w:rsid w:val="7FAC5324"/>
    <w:rsid w:val="7FEF94B0"/>
    <w:rsid w:val="7FFCDEF1"/>
    <w:rsid w:val="8A7F3037"/>
    <w:rsid w:val="9F739FF2"/>
    <w:rsid w:val="9FC6C3AB"/>
    <w:rsid w:val="9FDFEB2C"/>
    <w:rsid w:val="B6FDEF5C"/>
    <w:rsid w:val="BAFF29DE"/>
    <w:rsid w:val="BBF5E5F5"/>
    <w:rsid w:val="BDAF9E46"/>
    <w:rsid w:val="BEE5D7C1"/>
    <w:rsid w:val="C72F4E71"/>
    <w:rsid w:val="CAAF2DB0"/>
    <w:rsid w:val="DABBEDEF"/>
    <w:rsid w:val="DF9F4658"/>
    <w:rsid w:val="DFEDC453"/>
    <w:rsid w:val="E7EE2BC4"/>
    <w:rsid w:val="EC77F3FF"/>
    <w:rsid w:val="EEFBBE11"/>
    <w:rsid w:val="F5EF8B1E"/>
    <w:rsid w:val="F6FD9D3B"/>
    <w:rsid w:val="F7F54AEA"/>
    <w:rsid w:val="F9F7975D"/>
    <w:rsid w:val="FBF380A0"/>
    <w:rsid w:val="FCF7DBF9"/>
    <w:rsid w:val="FDFFBA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26"/>
    <w:unhideWhenUsed/>
    <w:qFormat/>
    <w:uiPriority w:val="0"/>
    <w:pPr>
      <w:keepNext/>
      <w:keepLines/>
      <w:spacing w:before="260" w:beforeLines="0" w:beforeAutospacing="0" w:after="260" w:afterLines="0" w:afterAutospacing="0" w:line="413" w:lineRule="auto"/>
      <w:jc w:val="center"/>
      <w:outlineLvl w:val="1"/>
    </w:pPr>
    <w:rPr>
      <w:rFonts w:ascii="Arial" w:hAnsi="Arial" w:eastAsia="楷体"/>
      <w:b/>
      <w:sz w:val="32"/>
    </w:rPr>
  </w:style>
  <w:style w:type="paragraph" w:styleId="5">
    <w:name w:val="heading 3"/>
    <w:basedOn w:val="1"/>
    <w:next w:val="1"/>
    <w:link w:val="27"/>
    <w:unhideWhenUsed/>
    <w:qFormat/>
    <w:uiPriority w:val="0"/>
    <w:pPr>
      <w:spacing w:before="0" w:beforeAutospacing="1" w:after="0" w:afterAutospacing="1"/>
      <w:jc w:val="center"/>
      <w:outlineLvl w:val="2"/>
    </w:pPr>
    <w:rPr>
      <w:rFonts w:hint="eastAsia" w:ascii="宋体" w:hAnsi="宋体" w:eastAsia="宋体" w:cs="宋体"/>
      <w:b/>
      <w:kern w:val="0"/>
      <w:sz w:val="32"/>
      <w:szCs w:val="27"/>
      <w:lang w:bidi="ar"/>
    </w:rPr>
  </w:style>
  <w:style w:type="character" w:default="1" w:styleId="21">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link w:val="37"/>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Normal Indent"/>
    <w:basedOn w:val="1"/>
    <w:qFormat/>
    <w:uiPriority w:val="0"/>
    <w:pPr>
      <w:ind w:firstLine="420" w:firstLineChars="200"/>
    </w:p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rPr>
      <w:rFonts w:eastAsia="方正仿宋简体" w:asciiTheme="minorAscii" w:hAnsiTheme="minorAscii"/>
      <w:sz w:val="24"/>
    </w:rPr>
  </w:style>
  <w:style w:type="paragraph" w:styleId="10">
    <w:name w:val="toc 8"/>
    <w:basedOn w:val="1"/>
    <w:next w:val="1"/>
    <w:qFormat/>
    <w:uiPriority w:val="0"/>
    <w:pPr>
      <w:ind w:left="2940" w:leftChars="1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link w:val="39"/>
    <w:qFormat/>
    <w:uiPriority w:val="0"/>
    <w:rPr>
      <w:rFonts w:eastAsia="方正小标宋_GBK" w:asciiTheme="minorAscii" w:hAnsiTheme="minorAscii"/>
      <w:sz w:val="24"/>
    </w:rPr>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0"/>
    <w:pPr>
      <w:ind w:left="420" w:leftChars="200"/>
    </w:pPr>
    <w:rPr>
      <w:rFonts w:eastAsia="方正楷体简体" w:asciiTheme="minorAscii" w:hAnsiTheme="minorAscii"/>
      <w:sz w:val="24"/>
    </w:rPr>
  </w:style>
  <w:style w:type="paragraph" w:styleId="17">
    <w:name w:val="toc 9"/>
    <w:basedOn w:val="1"/>
    <w:next w:val="1"/>
    <w:qFormat/>
    <w:uiPriority w:val="0"/>
    <w:pPr>
      <w:ind w:left="3360" w:leftChars="1600"/>
    </w:p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22">
    <w:name w:val="Strong"/>
    <w:basedOn w:val="21"/>
    <w:qFormat/>
    <w:uiPriority w:val="0"/>
    <w:rPr>
      <w:b/>
    </w:rPr>
  </w:style>
  <w:style w:type="character" w:styleId="23">
    <w:name w:val="FollowedHyperlink"/>
    <w:basedOn w:val="21"/>
    <w:qFormat/>
    <w:uiPriority w:val="0"/>
    <w:rPr>
      <w:color w:val="000000"/>
      <w:u w:val="none"/>
    </w:rPr>
  </w:style>
  <w:style w:type="character" w:styleId="24">
    <w:name w:val="Emphasis"/>
    <w:basedOn w:val="21"/>
    <w:qFormat/>
    <w:uiPriority w:val="0"/>
    <w:rPr>
      <w:i/>
    </w:rPr>
  </w:style>
  <w:style w:type="character" w:styleId="25">
    <w:name w:val="Hyperlink"/>
    <w:basedOn w:val="21"/>
    <w:qFormat/>
    <w:uiPriority w:val="0"/>
    <w:rPr>
      <w:color w:val="000000"/>
      <w:u w:val="none"/>
    </w:rPr>
  </w:style>
  <w:style w:type="character" w:customStyle="1" w:styleId="26">
    <w:name w:val="标题 2 Char"/>
    <w:link w:val="4"/>
    <w:qFormat/>
    <w:uiPriority w:val="0"/>
    <w:rPr>
      <w:rFonts w:ascii="Arial" w:hAnsi="Arial" w:eastAsia="楷体"/>
      <w:b/>
      <w:sz w:val="32"/>
    </w:rPr>
  </w:style>
  <w:style w:type="character" w:customStyle="1" w:styleId="27">
    <w:name w:val="标题 3 Char"/>
    <w:link w:val="5"/>
    <w:qFormat/>
    <w:uiPriority w:val="0"/>
    <w:rPr>
      <w:rFonts w:hint="eastAsia" w:ascii="宋体" w:hAnsi="宋体" w:eastAsia="宋体" w:cs="宋体"/>
      <w:b/>
      <w:kern w:val="0"/>
      <w:sz w:val="32"/>
      <w:szCs w:val="27"/>
      <w:lang w:bidi="ar"/>
    </w:rPr>
  </w:style>
  <w:style w:type="paragraph" w:customStyle="1" w:styleId="28">
    <w:name w:val="样式2"/>
    <w:basedOn w:val="16"/>
    <w:qFormat/>
    <w:uiPriority w:val="0"/>
    <w:rPr>
      <w:rFonts w:asciiTheme="minorAscii" w:hAnsiTheme="minorAscii"/>
      <w:sz w:val="24"/>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paragraph" w:customStyle="1" w:styleId="31">
    <w:name w:val="WPSOffice手动目录 3"/>
    <w:qFormat/>
    <w:uiPriority w:val="0"/>
    <w:pPr>
      <w:ind w:leftChars="400"/>
    </w:pPr>
    <w:rPr>
      <w:rFonts w:ascii="Times New Roman" w:hAnsi="Times New Roman" w:eastAsia="宋体" w:cs="Times New Roman"/>
      <w:sz w:val="20"/>
      <w:szCs w:val="20"/>
    </w:rPr>
  </w:style>
  <w:style w:type="character" w:customStyle="1" w:styleId="32">
    <w:name w:val="font31"/>
    <w:basedOn w:val="21"/>
    <w:qFormat/>
    <w:uiPriority w:val="0"/>
    <w:rPr>
      <w:rFonts w:ascii="方正仿宋_GBK" w:hAnsi="方正仿宋_GBK" w:eastAsia="方正仿宋_GBK" w:cs="方正仿宋_GBK"/>
      <w:color w:val="000000"/>
      <w:sz w:val="20"/>
      <w:szCs w:val="20"/>
      <w:u w:val="none"/>
    </w:rPr>
  </w:style>
  <w:style w:type="character" w:customStyle="1" w:styleId="33">
    <w:name w:val="font41"/>
    <w:basedOn w:val="21"/>
    <w:qFormat/>
    <w:uiPriority w:val="0"/>
    <w:rPr>
      <w:rFonts w:hint="eastAsia" w:ascii="宋体" w:hAnsi="宋体" w:eastAsia="宋体" w:cs="宋体"/>
      <w:color w:val="000000"/>
      <w:sz w:val="20"/>
      <w:szCs w:val="20"/>
      <w:u w:val="none"/>
    </w:rPr>
  </w:style>
  <w:style w:type="character" w:customStyle="1" w:styleId="34">
    <w:name w:val="font21"/>
    <w:basedOn w:val="21"/>
    <w:qFormat/>
    <w:uiPriority w:val="0"/>
    <w:rPr>
      <w:rFonts w:ascii="仿宋_GB2312" w:eastAsia="仿宋_GB2312" w:cs="仿宋_GB2312"/>
      <w:color w:val="000000"/>
      <w:sz w:val="20"/>
      <w:szCs w:val="20"/>
      <w:u w:val="none"/>
    </w:rPr>
  </w:style>
  <w:style w:type="character" w:customStyle="1" w:styleId="35">
    <w:name w:val="font01"/>
    <w:basedOn w:val="21"/>
    <w:qFormat/>
    <w:uiPriority w:val="0"/>
    <w:rPr>
      <w:rFonts w:hint="eastAsia" w:ascii="宋体" w:hAnsi="宋体" w:eastAsia="宋体" w:cs="宋体"/>
      <w:b/>
      <w:color w:val="000000"/>
      <w:sz w:val="22"/>
      <w:szCs w:val="22"/>
      <w:u w:val="none"/>
    </w:rPr>
  </w:style>
  <w:style w:type="character" w:customStyle="1" w:styleId="36">
    <w:name w:val="font11"/>
    <w:basedOn w:val="21"/>
    <w:qFormat/>
    <w:uiPriority w:val="0"/>
    <w:rPr>
      <w:rFonts w:hint="eastAsia" w:ascii="宋体" w:hAnsi="宋体" w:eastAsia="宋体" w:cs="宋体"/>
      <w:color w:val="000000"/>
      <w:sz w:val="22"/>
      <w:szCs w:val="22"/>
      <w:u w:val="none"/>
    </w:rPr>
  </w:style>
  <w:style w:type="character" w:customStyle="1" w:styleId="37">
    <w:name w:val="引文目录标题 Char"/>
    <w:link w:val="2"/>
    <w:qFormat/>
    <w:uiPriority w:val="0"/>
    <w:rPr>
      <w:rFonts w:ascii="Arial" w:hAnsi="Arial"/>
      <w:sz w:val="24"/>
    </w:rPr>
  </w:style>
  <w:style w:type="paragraph" w:customStyle="1" w:styleId="38">
    <w:name w:val="样式1"/>
    <w:basedOn w:val="13"/>
    <w:qFormat/>
    <w:uiPriority w:val="0"/>
    <w:rPr>
      <w:rFonts w:asciiTheme="minorAscii" w:hAnsiTheme="minorAscii"/>
      <w:sz w:val="24"/>
    </w:rPr>
  </w:style>
  <w:style w:type="character" w:customStyle="1" w:styleId="39">
    <w:name w:val="目录 1 Char"/>
    <w:link w:val="13"/>
    <w:qFormat/>
    <w:uiPriority w:val="0"/>
    <w:rPr>
      <w:rFonts w:eastAsia="方正小标宋_GBK" w:asciiTheme="minorAscii" w:hAnsiTheme="minorAscii"/>
      <w:sz w:val="24"/>
    </w:rPr>
  </w:style>
  <w:style w:type="paragraph" w:customStyle="1" w:styleId="40">
    <w:name w:val="样式3"/>
    <w:basedOn w:val="9"/>
    <w:qFormat/>
    <w:uiPriority w:val="0"/>
  </w:style>
  <w:style w:type="paragraph" w:customStyle="1" w:styleId="41">
    <w:name w:val="拦不住"/>
    <w:basedOn w:val="42"/>
    <w:qFormat/>
    <w:uiPriority w:val="0"/>
    <w:pPr>
      <w:ind w:firstLine="434"/>
    </w:pPr>
    <w:rPr>
      <w:rFonts w:ascii="方正楷体_GBK" w:eastAsia="方正楷体_GBK"/>
    </w:rPr>
  </w:style>
  <w:style w:type="paragraph" w:customStyle="1" w:styleId="42">
    <w:name w:val="栏目组"/>
    <w:basedOn w:val="43"/>
    <w:qFormat/>
    <w:uiPriority w:val="0"/>
    <w:pPr>
      <w:pBdr>
        <w:top w:val="single" w:color="auto" w:sz="4" w:space="1"/>
        <w:left w:val="single" w:color="auto" w:sz="4" w:space="4"/>
        <w:bottom w:val="single" w:color="auto" w:sz="4" w:space="1"/>
        <w:right w:val="single" w:color="auto" w:sz="4" w:space="4"/>
      </w:pBdr>
      <w:spacing w:line="400" w:lineRule="exact"/>
      <w:ind w:firstLine="552"/>
    </w:pPr>
    <w:rPr>
      <w:rFonts w:eastAsia="楷体"/>
      <w:sz w:val="28"/>
      <w:szCs w:val="28"/>
    </w:rPr>
  </w:style>
  <w:style w:type="paragraph" w:customStyle="1" w:styleId="43">
    <w:name w:val="文"/>
    <w:basedOn w:val="1"/>
    <w:qFormat/>
    <w:uiPriority w:val="0"/>
    <w:pPr>
      <w:ind w:firstLine="632"/>
    </w:pPr>
  </w:style>
  <w:style w:type="paragraph" w:customStyle="1" w:styleId="44">
    <w:name w:val="无间隔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12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2020-02-19T01:10:00Z</dcterms:created>
  <dc:creator>Administrator</dc:creator>
  <cp:lastModifiedBy>Administrator</cp:lastModifiedBy>
  <cp:lastPrinted>2022-04-23T01:40:00Z</cp:lastPrinted>
  <dcterms:modified xsi:type="dcterms:W3CDTF">2024-04-12T02:30:58Z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25923F0B7B5C4085A6E7457EAC567B09</vt:lpwstr>
  </property>
</Properties>
</file>