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eastAsia="黑体"/>
          <w:color w:val="000000"/>
          <w:sz w:val="52"/>
          <w:szCs w:val="52"/>
        </w:rPr>
      </w:pPr>
      <w:bookmarkStart w:id="0" w:name="_Toc232219806"/>
      <w:bookmarkStart w:id="1" w:name="_Toc259295681"/>
      <w:r>
        <w:rPr>
          <w:rFonts w:hint="eastAsia" w:eastAsia="黑体"/>
          <w:color w:val="000000"/>
          <w:sz w:val="52"/>
          <w:szCs w:val="52"/>
        </w:rPr>
        <w:t>西畴至富宁高速公路建设项目</w:t>
      </w:r>
    </w:p>
    <w:p>
      <w:pPr>
        <w:ind w:firstLine="0" w:firstLineChars="0"/>
        <w:jc w:val="center"/>
        <w:rPr>
          <w:rFonts w:hint="eastAsia" w:eastAsia="黑体"/>
          <w:color w:val="000000"/>
          <w:sz w:val="52"/>
          <w:szCs w:val="52"/>
        </w:rPr>
      </w:pPr>
      <w:r>
        <w:rPr>
          <w:rFonts w:hint="eastAsia" w:eastAsia="黑体"/>
          <w:color w:val="000000"/>
          <w:sz w:val="52"/>
          <w:szCs w:val="52"/>
        </w:rPr>
        <w:t>（西畴段）第一期临时用地</w:t>
      </w:r>
    </w:p>
    <w:p>
      <w:pPr>
        <w:ind w:firstLine="0" w:firstLineChars="0"/>
        <w:jc w:val="center"/>
        <w:rPr>
          <w:rFonts w:hint="eastAsia" w:eastAsia="黑体"/>
          <w:color w:val="000000"/>
          <w:sz w:val="52"/>
          <w:szCs w:val="52"/>
        </w:rPr>
      </w:pPr>
      <w:r>
        <w:rPr>
          <w:rFonts w:hint="eastAsia" w:eastAsia="黑体"/>
          <w:color w:val="000000"/>
          <w:sz w:val="52"/>
          <w:szCs w:val="52"/>
        </w:rPr>
        <w:t>土地复垦方案</w:t>
      </w:r>
    </w:p>
    <w:p>
      <w:pPr>
        <w:ind w:firstLine="480"/>
        <w:jc w:val="center"/>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199" w:firstLineChars="83"/>
        <w:rPr>
          <w:color w:val="000000"/>
        </w:rPr>
      </w:pPr>
    </w:p>
    <w:p>
      <w:pPr>
        <w:ind w:firstLine="199" w:firstLineChars="83"/>
        <w:rPr>
          <w:color w:val="000000"/>
        </w:rPr>
      </w:pPr>
    </w:p>
    <w:p>
      <w:pPr>
        <w:ind w:firstLine="480"/>
        <w:rPr>
          <w:color w:val="000000"/>
        </w:rPr>
      </w:pPr>
    </w:p>
    <w:p>
      <w:pPr>
        <w:ind w:firstLine="0" w:firstLineChars="0"/>
        <w:rPr>
          <w:rFonts w:hint="eastAsia"/>
          <w:color w:val="000000"/>
        </w:rPr>
      </w:pPr>
    </w:p>
    <w:p>
      <w:pPr>
        <w:ind w:left="1982" w:leftChars="201" w:hanging="1500" w:hangingChars="500"/>
        <w:rPr>
          <w:rFonts w:hint="eastAsia" w:eastAsia="黑体"/>
          <w:color w:val="000000"/>
          <w:sz w:val="30"/>
          <w:szCs w:val="30"/>
          <w:lang w:eastAsia="zh-CN"/>
        </w:rPr>
      </w:pPr>
      <w:r>
        <w:rPr>
          <w:rFonts w:eastAsia="黑体"/>
          <w:color w:val="000000"/>
          <w:sz w:val="30"/>
          <w:szCs w:val="30"/>
        </w:rPr>
        <w:t>项目单位：</w:t>
      </w:r>
      <w:r>
        <w:rPr>
          <w:rFonts w:hint="eastAsia" w:eastAsia="黑体"/>
          <w:color w:val="000000"/>
          <w:sz w:val="30"/>
          <w:szCs w:val="30"/>
          <w:lang w:eastAsia="zh-CN"/>
        </w:rPr>
        <w:t>云南云岭路面工程有限公司</w:t>
      </w:r>
    </w:p>
    <w:p>
      <w:pPr>
        <w:ind w:firstLine="498" w:firstLineChars="166"/>
        <w:rPr>
          <w:rFonts w:eastAsia="黑体"/>
          <w:color w:val="000000"/>
          <w:sz w:val="30"/>
          <w:szCs w:val="30"/>
        </w:rPr>
      </w:pPr>
      <w:r>
        <w:rPr>
          <w:rFonts w:eastAsia="黑体"/>
          <w:color w:val="000000"/>
          <w:sz w:val="30"/>
          <w:szCs w:val="30"/>
        </w:rPr>
        <w:t>编制单位：昆明麦普空间科技有限公司</w:t>
      </w:r>
    </w:p>
    <w:p>
      <w:pPr>
        <w:ind w:firstLine="498" w:firstLineChars="166"/>
        <w:rPr>
          <w:rFonts w:eastAsia="黑体"/>
          <w:color w:val="000000"/>
          <w:sz w:val="30"/>
          <w:szCs w:val="30"/>
        </w:rPr>
      </w:pPr>
      <w:r>
        <w:rPr>
          <w:rFonts w:hint="eastAsia" w:eastAsia="黑体"/>
          <w:color w:val="000000"/>
          <w:sz w:val="30"/>
          <w:szCs w:val="30"/>
        </w:rPr>
        <w:t>编制时间：</w:t>
      </w:r>
      <w:r>
        <w:rPr>
          <w:rFonts w:eastAsia="黑体"/>
          <w:color w:val="000000"/>
          <w:sz w:val="30"/>
          <w:szCs w:val="30"/>
        </w:rPr>
        <w:t>二〇</w:t>
      </w:r>
      <w:r>
        <w:rPr>
          <w:rFonts w:hint="eastAsia" w:eastAsia="黑体"/>
          <w:color w:val="000000"/>
          <w:sz w:val="30"/>
          <w:szCs w:val="30"/>
        </w:rPr>
        <w:t>二二</w:t>
      </w:r>
      <w:r>
        <w:rPr>
          <w:rFonts w:eastAsia="黑体"/>
          <w:color w:val="000000"/>
          <w:sz w:val="30"/>
          <w:szCs w:val="30"/>
        </w:rPr>
        <w:t>年</w:t>
      </w:r>
      <w:bookmarkStart w:id="2" w:name="_Toc329187899"/>
      <w:r>
        <w:rPr>
          <w:rFonts w:hint="eastAsia" w:eastAsia="黑体"/>
          <w:color w:val="000000"/>
          <w:sz w:val="30"/>
          <w:szCs w:val="30"/>
        </w:rPr>
        <w:t>十二月</w:t>
      </w:r>
    </w:p>
    <w:p>
      <w:pPr>
        <w:ind w:firstLine="2850" w:firstLineChars="950"/>
        <w:rPr>
          <w:rFonts w:eastAsia="黑体"/>
          <w:color w:val="000000"/>
          <w:sz w:val="30"/>
          <w:szCs w:val="30"/>
        </w:rPr>
      </w:pPr>
    </w:p>
    <w:bookmarkEnd w:id="2"/>
    <w:p>
      <w:pPr>
        <w:ind w:firstLine="0" w:firstLineChars="0"/>
        <w:jc w:val="center"/>
        <w:rPr>
          <w:rFonts w:hint="eastAsia" w:eastAsia="黑体"/>
          <w:color w:val="000000"/>
          <w:sz w:val="44"/>
          <w:szCs w:val="44"/>
        </w:rPr>
      </w:pPr>
      <w:r>
        <w:rPr>
          <w:rFonts w:hint="eastAsia" w:eastAsia="黑体"/>
          <w:color w:val="000000"/>
          <w:sz w:val="44"/>
          <w:szCs w:val="44"/>
        </w:rPr>
        <w:br w:type="page"/>
      </w:r>
    </w:p>
    <w:p>
      <w:pPr>
        <w:ind w:firstLine="0" w:firstLineChars="0"/>
        <w:jc w:val="center"/>
        <w:rPr>
          <w:rFonts w:hint="eastAsia" w:eastAsia="黑体"/>
          <w:color w:val="000000"/>
          <w:sz w:val="44"/>
          <w:szCs w:val="44"/>
        </w:rPr>
      </w:pPr>
      <w:r>
        <w:rPr>
          <w:rFonts w:hint="eastAsia" w:eastAsia="黑体"/>
          <w:color w:val="000000"/>
          <w:sz w:val="44"/>
          <w:szCs w:val="44"/>
        </w:rPr>
        <w:t>西畴至富宁高速公路建设项目（西畴段）</w:t>
      </w:r>
    </w:p>
    <w:p>
      <w:pPr>
        <w:ind w:firstLine="0" w:firstLineChars="0"/>
        <w:jc w:val="center"/>
        <w:rPr>
          <w:rFonts w:eastAsia="黑体"/>
          <w:color w:val="000000"/>
          <w:sz w:val="44"/>
          <w:szCs w:val="44"/>
        </w:rPr>
      </w:pPr>
      <w:r>
        <w:rPr>
          <w:rFonts w:hint="eastAsia" w:eastAsia="黑体"/>
          <w:color w:val="000000"/>
          <w:sz w:val="44"/>
          <w:szCs w:val="44"/>
        </w:rPr>
        <w:t>第一期临时用地土地复垦方案</w:t>
      </w:r>
    </w:p>
    <w:p>
      <w:pPr>
        <w:ind w:firstLine="2100" w:firstLineChars="700"/>
        <w:rPr>
          <w:rFonts w:eastAsia="黑体"/>
          <w:color w:val="000000"/>
          <w:sz w:val="30"/>
          <w:szCs w:val="30"/>
        </w:rPr>
      </w:pPr>
    </w:p>
    <w:p>
      <w:pPr>
        <w:ind w:firstLine="2100" w:firstLineChars="700"/>
        <w:rPr>
          <w:rFonts w:eastAsia="黑体"/>
          <w:color w:val="000000"/>
          <w:sz w:val="30"/>
          <w:szCs w:val="30"/>
        </w:rPr>
      </w:pPr>
    </w:p>
    <w:p>
      <w:pPr>
        <w:ind w:firstLine="0" w:firstLineChars="0"/>
        <w:rPr>
          <w:rFonts w:eastAsia="黑体"/>
          <w:color w:val="000000"/>
          <w:sz w:val="28"/>
          <w:szCs w:val="28"/>
        </w:rPr>
      </w:pPr>
    </w:p>
    <w:p>
      <w:pPr>
        <w:ind w:left="1880" w:leftChars="200" w:hanging="1400" w:hangingChars="500"/>
        <w:rPr>
          <w:rFonts w:hint="eastAsia"/>
          <w:color w:val="000000"/>
          <w:sz w:val="28"/>
          <w:szCs w:val="28"/>
        </w:rPr>
      </w:pPr>
      <w:r>
        <w:rPr>
          <w:color w:val="000000"/>
          <w:sz w:val="28"/>
          <w:szCs w:val="28"/>
        </w:rPr>
        <w:t>项目名称：</w:t>
      </w:r>
      <w:r>
        <w:rPr>
          <w:rFonts w:hint="eastAsia"/>
          <w:color w:val="000000"/>
          <w:sz w:val="28"/>
          <w:szCs w:val="28"/>
        </w:rPr>
        <w:t>西畴至富宁高速公路建设项目（西畴段）第一期临时用地土地复垦方案</w:t>
      </w:r>
    </w:p>
    <w:p>
      <w:pPr>
        <w:ind w:left="1880" w:leftChars="200" w:hanging="1400" w:hangingChars="500"/>
        <w:rPr>
          <w:rFonts w:hint="eastAsia"/>
          <w:color w:val="000000"/>
          <w:sz w:val="28"/>
          <w:szCs w:val="28"/>
        </w:rPr>
      </w:pPr>
    </w:p>
    <w:p>
      <w:pPr>
        <w:ind w:firstLine="560"/>
        <w:rPr>
          <w:rFonts w:hint="eastAsia" w:eastAsia="仿宋_GB2312"/>
          <w:color w:val="000000"/>
          <w:sz w:val="28"/>
          <w:szCs w:val="28"/>
          <w:lang w:eastAsia="zh-CN"/>
        </w:rPr>
      </w:pPr>
      <w:r>
        <w:rPr>
          <w:color w:val="000000"/>
          <w:sz w:val="28"/>
          <w:szCs w:val="28"/>
        </w:rPr>
        <w:t>项目单位：</w:t>
      </w:r>
      <w:r>
        <w:rPr>
          <w:rFonts w:hint="eastAsia"/>
          <w:color w:val="000000"/>
          <w:sz w:val="28"/>
          <w:szCs w:val="28"/>
          <w:lang w:eastAsia="zh-CN"/>
        </w:rPr>
        <w:t>云南云岭路面工程有限公司</w:t>
      </w:r>
    </w:p>
    <w:p>
      <w:pPr>
        <w:ind w:firstLine="560"/>
        <w:rPr>
          <w:color w:val="000000"/>
          <w:sz w:val="28"/>
          <w:szCs w:val="28"/>
        </w:rPr>
      </w:pPr>
    </w:p>
    <w:p>
      <w:pPr>
        <w:ind w:left="1740" w:leftChars="200" w:hanging="1260" w:hangingChars="450"/>
        <w:rPr>
          <w:rFonts w:hint="default" w:eastAsia="仿宋_GB2312"/>
          <w:b/>
          <w:color w:val="000000"/>
          <w:sz w:val="28"/>
          <w:szCs w:val="28"/>
          <w:lang w:val="en-US" w:eastAsia="zh-CN"/>
        </w:rPr>
      </w:pPr>
      <w:r>
        <w:rPr>
          <w:color w:val="000000"/>
          <w:sz w:val="28"/>
          <w:szCs w:val="28"/>
        </w:rPr>
        <w:t>单位地址：</w:t>
      </w:r>
      <w:r>
        <w:rPr>
          <w:rFonts w:hint="eastAsia"/>
          <w:color w:val="000000"/>
          <w:sz w:val="28"/>
          <w:szCs w:val="28"/>
        </w:rPr>
        <w:t>云南省</w:t>
      </w:r>
      <w:r>
        <w:rPr>
          <w:rFonts w:hint="eastAsia"/>
          <w:color w:val="000000"/>
          <w:sz w:val="28"/>
          <w:szCs w:val="28"/>
          <w:lang w:val="en-US" w:eastAsia="zh-CN"/>
        </w:rPr>
        <w:t>昆明市盘龙区</w:t>
      </w:r>
    </w:p>
    <w:p>
      <w:pPr>
        <w:ind w:firstLine="562"/>
        <w:rPr>
          <w:b/>
          <w:color w:val="000000"/>
          <w:sz w:val="28"/>
          <w:szCs w:val="28"/>
        </w:rPr>
      </w:pPr>
    </w:p>
    <w:p>
      <w:pPr>
        <w:ind w:firstLine="560"/>
        <w:rPr>
          <w:sz w:val="28"/>
          <w:szCs w:val="28"/>
        </w:rPr>
      </w:pPr>
      <w:r>
        <w:rPr>
          <w:rFonts w:hint="eastAsia"/>
          <w:sz w:val="28"/>
          <w:szCs w:val="28"/>
        </w:rPr>
        <w:t>编制单位：昆明麦普空间科技有限公司</w:t>
      </w:r>
    </w:p>
    <w:p>
      <w:pPr>
        <w:ind w:firstLine="562"/>
        <w:rPr>
          <w:b/>
          <w:color w:val="000000"/>
          <w:sz w:val="28"/>
          <w:szCs w:val="28"/>
        </w:rPr>
      </w:pPr>
    </w:p>
    <w:p>
      <w:pPr>
        <w:ind w:firstLine="560"/>
        <w:rPr>
          <w:color w:val="000000"/>
          <w:sz w:val="28"/>
          <w:szCs w:val="28"/>
        </w:rPr>
      </w:pPr>
      <w:r>
        <w:rPr>
          <w:color w:val="000000"/>
          <w:sz w:val="28"/>
          <w:szCs w:val="28"/>
        </w:rPr>
        <w:t>联系人：</w:t>
      </w:r>
      <w:r>
        <w:rPr>
          <w:rFonts w:hint="eastAsia"/>
          <w:color w:val="000000"/>
          <w:sz w:val="28"/>
          <w:szCs w:val="28"/>
        </w:rPr>
        <w:t>孙跃</w:t>
      </w:r>
    </w:p>
    <w:p>
      <w:pPr>
        <w:ind w:firstLine="560"/>
        <w:rPr>
          <w:color w:val="000000"/>
          <w:sz w:val="28"/>
          <w:szCs w:val="28"/>
        </w:rPr>
      </w:pPr>
    </w:p>
    <w:p>
      <w:pPr>
        <w:ind w:firstLine="560"/>
        <w:rPr>
          <w:color w:val="000000"/>
          <w:sz w:val="28"/>
          <w:szCs w:val="28"/>
        </w:rPr>
      </w:pPr>
      <w:r>
        <w:rPr>
          <w:color w:val="000000"/>
          <w:sz w:val="28"/>
          <w:szCs w:val="28"/>
        </w:rPr>
        <w:t>联系电话：</w:t>
      </w:r>
    </w:p>
    <w:p>
      <w:pPr>
        <w:ind w:firstLine="560"/>
        <w:rPr>
          <w:color w:val="000000"/>
          <w:sz w:val="28"/>
          <w:szCs w:val="28"/>
        </w:rPr>
      </w:pPr>
    </w:p>
    <w:p>
      <w:pPr>
        <w:ind w:firstLine="560"/>
        <w:rPr>
          <w:rFonts w:hint="eastAsia"/>
          <w:color w:val="000000"/>
          <w:sz w:val="28"/>
          <w:szCs w:val="28"/>
          <w:highlight w:val="yellow"/>
        </w:rPr>
      </w:pPr>
      <w:r>
        <w:rPr>
          <w:color w:val="000000"/>
          <w:sz w:val="28"/>
          <w:szCs w:val="28"/>
        </w:rPr>
        <w:t>送审时间：20</w:t>
      </w:r>
      <w:r>
        <w:rPr>
          <w:rFonts w:hint="eastAsia"/>
          <w:color w:val="000000"/>
          <w:sz w:val="28"/>
          <w:szCs w:val="28"/>
        </w:rPr>
        <w:t>22</w:t>
      </w:r>
      <w:r>
        <w:rPr>
          <w:color w:val="000000"/>
          <w:sz w:val="28"/>
          <w:szCs w:val="28"/>
        </w:rPr>
        <w:t>年</w:t>
      </w:r>
      <w:r>
        <w:rPr>
          <w:rFonts w:hint="eastAsia"/>
          <w:color w:val="000000"/>
          <w:sz w:val="28"/>
          <w:szCs w:val="28"/>
        </w:rPr>
        <w:t>12</w:t>
      </w:r>
      <w:r>
        <w:rPr>
          <w:color w:val="000000"/>
          <w:sz w:val="28"/>
          <w:szCs w:val="28"/>
        </w:rPr>
        <w:t>月</w:t>
      </w:r>
    </w:p>
    <w:p>
      <w:pPr>
        <w:ind w:firstLine="0" w:firstLineChars="0"/>
        <w:rPr>
          <w:b/>
          <w:color w:val="000000"/>
          <w:highlight w:val="yellow"/>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p>
    <w:p>
      <w:pPr>
        <w:ind w:firstLine="0" w:firstLineChars="0"/>
        <w:rPr>
          <w:rFonts w:eastAsia="黑体"/>
          <w:color w:val="000000"/>
          <w:sz w:val="30"/>
          <w:szCs w:val="30"/>
        </w:rPr>
      </w:pPr>
      <w:r>
        <w:rPr>
          <w:rFonts w:hint="eastAsia"/>
          <w:b/>
        </w:rPr>
        <w:drawing>
          <wp:inline distT="0" distB="0" distL="114300" distR="114300">
            <wp:extent cx="8232140" cy="6032500"/>
            <wp:effectExtent l="0" t="0" r="16510" b="6350"/>
            <wp:docPr id="4" name="图片 27" descr="D:\工作数据\公司资质+水印\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D:\工作数据\公司资质+水印\1.png1"/>
                    <pic:cNvPicPr>
                      <a:picLocks noChangeAspect="1"/>
                    </pic:cNvPicPr>
                  </pic:nvPicPr>
                  <pic:blipFill>
                    <a:blip r:embed="rId23"/>
                    <a:stretch>
                      <a:fillRect/>
                    </a:stretch>
                  </pic:blipFill>
                  <pic:spPr>
                    <a:xfrm>
                      <a:off x="0" y="0"/>
                      <a:ext cx="8232140" cy="6032500"/>
                    </a:xfrm>
                    <a:prstGeom prst="rect">
                      <a:avLst/>
                    </a:prstGeom>
                    <a:noFill/>
                    <a:ln>
                      <a:noFill/>
                    </a:ln>
                  </pic:spPr>
                </pic:pic>
              </a:graphicData>
            </a:graphic>
          </wp:inline>
        </w:drawing>
      </w:r>
    </w:p>
    <w:p>
      <w:pPr>
        <w:ind w:firstLine="0" w:firstLineChars="0"/>
        <w:rPr>
          <w:rFonts w:hint="eastAsia" w:eastAsia="黑体"/>
          <w:color w:val="000000"/>
          <w:sz w:val="30"/>
          <w:szCs w:val="30"/>
        </w:rPr>
      </w:pPr>
      <w:r>
        <w:rPr>
          <w:rFonts w:eastAsia="黑体"/>
          <w:sz w:val="30"/>
          <w:szCs w:val="30"/>
        </w:rPr>
        <w:drawing>
          <wp:anchor distT="0" distB="0" distL="114300" distR="114300" simplePos="0" relativeHeight="251660288" behindDoc="0" locked="0" layoutInCell="1" allowOverlap="1">
            <wp:simplePos x="0" y="0"/>
            <wp:positionH relativeFrom="column">
              <wp:posOffset>293370</wp:posOffset>
            </wp:positionH>
            <wp:positionV relativeFrom="paragraph">
              <wp:posOffset>-57785</wp:posOffset>
            </wp:positionV>
            <wp:extent cx="7661275" cy="5455920"/>
            <wp:effectExtent l="0" t="0" r="15875" b="11430"/>
            <wp:wrapSquare wrapText="bothSides"/>
            <wp:docPr id="3" name="图片 238" descr="C:\Users\dell\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8" descr="C:\Users\dell\Desktop\2.png2"/>
                    <pic:cNvPicPr>
                      <a:picLocks noChangeAspect="1"/>
                    </pic:cNvPicPr>
                  </pic:nvPicPr>
                  <pic:blipFill>
                    <a:blip r:embed="rId24"/>
                    <a:stretch>
                      <a:fillRect/>
                    </a:stretch>
                  </pic:blipFill>
                  <pic:spPr>
                    <a:xfrm>
                      <a:off x="0" y="0"/>
                      <a:ext cx="7661275" cy="5455920"/>
                    </a:xfrm>
                    <a:prstGeom prst="rect">
                      <a:avLst/>
                    </a:prstGeom>
                    <a:noFill/>
                    <a:ln>
                      <a:noFill/>
                    </a:ln>
                  </pic:spPr>
                </pic:pic>
              </a:graphicData>
            </a:graphic>
          </wp:anchor>
        </w:drawing>
      </w:r>
    </w:p>
    <w:p>
      <w:pPr>
        <w:ind w:firstLine="0" w:firstLineChars="0"/>
        <w:rPr>
          <w:rFonts w:hint="eastAsia" w:eastAsia="黑体"/>
          <w:color w:val="000000"/>
          <w:sz w:val="30"/>
          <w:szCs w:val="30"/>
          <w:highlight w:val="yellow"/>
        </w:rPr>
        <w:sectPr>
          <w:headerReference r:id="rId11" w:type="first"/>
          <w:footerReference r:id="rId14" w:type="first"/>
          <w:headerReference r:id="rId9" w:type="default"/>
          <w:footerReference r:id="rId12" w:type="default"/>
          <w:headerReference r:id="rId10" w:type="even"/>
          <w:footerReference r:id="rId13" w:type="even"/>
          <w:pgSz w:w="16838" w:h="11906" w:orient="landscape"/>
          <w:pgMar w:top="1440" w:right="1803" w:bottom="1440" w:left="1803" w:header="851" w:footer="992" w:gutter="0"/>
          <w:pgNumType w:start="1"/>
          <w:cols w:space="720" w:num="1"/>
          <w:docGrid w:type="lines" w:linePitch="326" w:charSpace="0"/>
        </w:sectPr>
      </w:pPr>
    </w:p>
    <w:p>
      <w:pPr>
        <w:ind w:firstLine="600"/>
        <w:rPr>
          <w:rFonts w:eastAsia="黑体"/>
          <w:color w:val="000000"/>
          <w:sz w:val="30"/>
          <w:szCs w:val="30"/>
          <w:highlight w:val="yellow"/>
        </w:rPr>
      </w:pPr>
    </w:p>
    <w:p>
      <w:pPr>
        <w:ind w:firstLine="2850" w:firstLineChars="950"/>
        <w:rPr>
          <w:rFonts w:eastAsia="黑体"/>
          <w:color w:val="000000"/>
          <w:sz w:val="30"/>
          <w:szCs w:val="30"/>
          <w:highlight w:val="yellow"/>
        </w:rPr>
      </w:pPr>
      <w:r>
        <w:rPr>
          <w:rFonts w:eastAsia="黑体"/>
          <w:color w:val="000000"/>
          <w:sz w:val="30"/>
          <w:szCs w:val="30"/>
          <w:highlight w:val="yellow"/>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5265420" cy="3947160"/>
            <wp:effectExtent l="0" t="0" r="11430" b="15240"/>
            <wp:wrapSquare wrapText="bothSides"/>
            <wp:docPr id="2" name="图片 233" descr="0487李文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3" descr="0487李文生"/>
                    <pic:cNvPicPr>
                      <a:picLocks noChangeAspect="1"/>
                    </pic:cNvPicPr>
                  </pic:nvPicPr>
                  <pic:blipFill>
                    <a:blip r:embed="rId25"/>
                    <a:stretch>
                      <a:fillRect/>
                    </a:stretch>
                  </pic:blipFill>
                  <pic:spPr>
                    <a:xfrm>
                      <a:off x="0" y="0"/>
                      <a:ext cx="5265420" cy="3947160"/>
                    </a:xfrm>
                    <a:prstGeom prst="rect">
                      <a:avLst/>
                    </a:prstGeom>
                    <a:noFill/>
                    <a:ln>
                      <a:noFill/>
                    </a:ln>
                  </pic:spPr>
                </pic:pic>
              </a:graphicData>
            </a:graphic>
          </wp:anchor>
        </w:drawing>
      </w:r>
      <w:r>
        <w:rPr>
          <w:rFonts w:eastAsia="黑体"/>
          <w:color w:val="000000"/>
          <w:sz w:val="30"/>
          <w:szCs w:val="30"/>
          <w:highlight w:val="yellow"/>
        </w:rPr>
        <w:drawing>
          <wp:anchor distT="0" distB="0" distL="114300" distR="114300" simplePos="0" relativeHeight="251658240" behindDoc="0" locked="0" layoutInCell="1" allowOverlap="1">
            <wp:simplePos x="0" y="0"/>
            <wp:positionH relativeFrom="column">
              <wp:posOffset>3175</wp:posOffset>
            </wp:positionH>
            <wp:positionV relativeFrom="paragraph">
              <wp:posOffset>4351655</wp:posOffset>
            </wp:positionV>
            <wp:extent cx="5265420" cy="3947160"/>
            <wp:effectExtent l="0" t="0" r="11430" b="15240"/>
            <wp:wrapSquare wrapText="bothSides"/>
            <wp:docPr id="1" name="图片 232" descr="0488李径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2" descr="0488李径钟"/>
                    <pic:cNvPicPr>
                      <a:picLocks noChangeAspect="1"/>
                    </pic:cNvPicPr>
                  </pic:nvPicPr>
                  <pic:blipFill>
                    <a:blip r:embed="rId26"/>
                    <a:stretch>
                      <a:fillRect/>
                    </a:stretch>
                  </pic:blipFill>
                  <pic:spPr>
                    <a:xfrm>
                      <a:off x="0" y="0"/>
                      <a:ext cx="5265420" cy="3947160"/>
                    </a:xfrm>
                    <a:prstGeom prst="rect">
                      <a:avLst/>
                    </a:prstGeom>
                    <a:noFill/>
                    <a:ln>
                      <a:noFill/>
                    </a:ln>
                  </pic:spPr>
                </pic:pic>
              </a:graphicData>
            </a:graphic>
          </wp:anchor>
        </w:drawing>
      </w:r>
    </w:p>
    <w:p>
      <w:pPr>
        <w:ind w:firstLine="0" w:firstLineChars="0"/>
        <w:rPr>
          <w:rFonts w:hint="eastAsia" w:eastAsia="黑体"/>
          <w:color w:val="000000"/>
          <w:sz w:val="44"/>
          <w:szCs w:val="44"/>
          <w:highlight w:val="yellow"/>
        </w:rPr>
      </w:pPr>
      <w:r>
        <w:rPr>
          <w:rFonts w:hint="eastAsia" w:eastAsia="黑体"/>
          <w:color w:val="000000"/>
          <w:sz w:val="44"/>
          <w:szCs w:val="44"/>
        </w:rPr>
        <w:drawing>
          <wp:inline distT="0" distB="0" distL="114300" distR="114300">
            <wp:extent cx="5264785" cy="3948430"/>
            <wp:effectExtent l="0" t="0" r="12065" b="13970"/>
            <wp:docPr id="5"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图片1"/>
                    <pic:cNvPicPr>
                      <a:picLocks noChangeAspect="1"/>
                    </pic:cNvPicPr>
                  </pic:nvPicPr>
                  <pic:blipFill>
                    <a:blip r:embed="rId27"/>
                    <a:stretch>
                      <a:fillRect/>
                    </a:stretch>
                  </pic:blipFill>
                  <pic:spPr>
                    <a:xfrm>
                      <a:off x="0" y="0"/>
                      <a:ext cx="5264785" cy="3948430"/>
                    </a:xfrm>
                    <a:prstGeom prst="rect">
                      <a:avLst/>
                    </a:prstGeom>
                    <a:noFill/>
                    <a:ln>
                      <a:noFill/>
                    </a:ln>
                  </pic:spPr>
                </pic:pic>
              </a:graphicData>
            </a:graphic>
          </wp:inline>
        </w:drawing>
      </w:r>
    </w:p>
    <w:p>
      <w:pPr>
        <w:ind w:firstLine="0" w:firstLineChars="0"/>
        <w:rPr>
          <w:b/>
          <w:color w:val="000000"/>
          <w:highlight w:val="yellow"/>
        </w:rPr>
        <w:sectPr>
          <w:footerReference r:id="rId15" w:type="default"/>
          <w:pgSz w:w="11906" w:h="16838"/>
          <w:pgMar w:top="1440" w:right="1800" w:bottom="1440" w:left="1800" w:header="851" w:footer="992" w:gutter="0"/>
          <w:pgNumType w:fmt="upperRoman" w:start="1"/>
          <w:cols w:space="720" w:num="1"/>
          <w:docGrid w:type="lines" w:linePitch="312" w:charSpace="0"/>
        </w:sectPr>
      </w:pPr>
    </w:p>
    <w:p>
      <w:pPr>
        <w:ind w:firstLine="482"/>
        <w:jc w:val="center"/>
        <w:rPr>
          <w:b/>
          <w:color w:val="000000"/>
        </w:rPr>
      </w:pPr>
      <w:r>
        <w:rPr>
          <w:b/>
          <w:color w:val="000000"/>
        </w:rPr>
        <w:t>土地复垦方案报告表</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4"/>
        <w:gridCol w:w="914"/>
        <w:gridCol w:w="849"/>
        <w:gridCol w:w="443"/>
        <w:gridCol w:w="1865"/>
        <w:gridCol w:w="1434"/>
        <w:gridCol w:w="1348"/>
        <w:gridCol w:w="9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restart"/>
            <w:noWrap w:val="0"/>
            <w:textDirection w:val="tbRlV"/>
            <w:vAlign w:val="center"/>
          </w:tcPr>
          <w:p>
            <w:pPr>
              <w:ind w:firstLine="420"/>
              <w:jc w:val="center"/>
              <w:rPr>
                <w:color w:val="000000"/>
                <w:sz w:val="21"/>
                <w:szCs w:val="21"/>
              </w:rPr>
            </w:pPr>
            <w:r>
              <w:rPr>
                <w:color w:val="000000"/>
                <w:sz w:val="21"/>
                <w:szCs w:val="21"/>
              </w:rPr>
              <w:t>项目概况</w:t>
            </w:r>
          </w:p>
        </w:tc>
        <w:tc>
          <w:tcPr>
            <w:tcW w:w="1763" w:type="dxa"/>
            <w:gridSpan w:val="2"/>
            <w:noWrap w:val="0"/>
            <w:vAlign w:val="center"/>
          </w:tcPr>
          <w:p>
            <w:pPr>
              <w:ind w:firstLine="0" w:firstLineChars="0"/>
              <w:jc w:val="center"/>
              <w:rPr>
                <w:color w:val="000000"/>
                <w:sz w:val="21"/>
                <w:szCs w:val="21"/>
              </w:rPr>
            </w:pPr>
            <w:r>
              <w:rPr>
                <w:color w:val="000000"/>
                <w:sz w:val="21"/>
                <w:szCs w:val="21"/>
              </w:rPr>
              <w:t>项目名称</w:t>
            </w:r>
          </w:p>
        </w:tc>
        <w:tc>
          <w:tcPr>
            <w:tcW w:w="6075" w:type="dxa"/>
            <w:gridSpan w:val="5"/>
            <w:noWrap w:val="0"/>
            <w:vAlign w:val="center"/>
          </w:tcPr>
          <w:p>
            <w:pPr>
              <w:ind w:firstLine="0" w:firstLineChars="0"/>
              <w:jc w:val="center"/>
              <w:rPr>
                <w:color w:val="000000"/>
                <w:sz w:val="21"/>
                <w:szCs w:val="21"/>
              </w:rPr>
            </w:pPr>
            <w:r>
              <w:rPr>
                <w:rFonts w:hint="eastAsia"/>
                <w:color w:val="000000"/>
                <w:sz w:val="21"/>
                <w:szCs w:val="21"/>
              </w:rPr>
              <w:t>西畴至富宁高速公路建设项目（西畴段）第一期临时用地土地复垦方案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rPr>
            </w:pPr>
          </w:p>
        </w:tc>
        <w:tc>
          <w:tcPr>
            <w:tcW w:w="1763" w:type="dxa"/>
            <w:gridSpan w:val="2"/>
            <w:noWrap w:val="0"/>
            <w:vAlign w:val="center"/>
          </w:tcPr>
          <w:p>
            <w:pPr>
              <w:ind w:firstLine="0" w:firstLineChars="0"/>
              <w:jc w:val="center"/>
              <w:rPr>
                <w:color w:val="000000"/>
                <w:sz w:val="21"/>
                <w:szCs w:val="21"/>
              </w:rPr>
            </w:pPr>
            <w:r>
              <w:rPr>
                <w:color w:val="000000"/>
                <w:sz w:val="21"/>
                <w:szCs w:val="21"/>
              </w:rPr>
              <w:t>单位名称</w:t>
            </w:r>
          </w:p>
        </w:tc>
        <w:tc>
          <w:tcPr>
            <w:tcW w:w="6075" w:type="dxa"/>
            <w:gridSpan w:val="5"/>
            <w:noWrap w:val="0"/>
            <w:vAlign w:val="center"/>
          </w:tcPr>
          <w:p>
            <w:pPr>
              <w:ind w:firstLine="0" w:firstLineChars="0"/>
              <w:jc w:val="center"/>
              <w:rPr>
                <w:rFonts w:hint="eastAsia" w:eastAsia="仿宋_GB2312"/>
                <w:color w:val="000000"/>
                <w:sz w:val="21"/>
                <w:szCs w:val="21"/>
                <w:lang w:eastAsia="zh-CN"/>
              </w:rPr>
            </w:pPr>
            <w:r>
              <w:rPr>
                <w:rFonts w:hint="eastAsia"/>
                <w:color w:val="000000"/>
                <w:sz w:val="21"/>
                <w:szCs w:val="21"/>
                <w:lang w:eastAsia="zh-CN"/>
              </w:rPr>
              <w:t>云南云岭路面工程有限公司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rPr>
            </w:pPr>
          </w:p>
        </w:tc>
        <w:tc>
          <w:tcPr>
            <w:tcW w:w="1763" w:type="dxa"/>
            <w:gridSpan w:val="2"/>
            <w:noWrap w:val="0"/>
            <w:vAlign w:val="center"/>
          </w:tcPr>
          <w:p>
            <w:pPr>
              <w:ind w:firstLine="0" w:firstLineChars="0"/>
              <w:jc w:val="center"/>
              <w:rPr>
                <w:color w:val="000000"/>
                <w:sz w:val="21"/>
                <w:szCs w:val="21"/>
              </w:rPr>
            </w:pPr>
            <w:r>
              <w:rPr>
                <w:color w:val="000000"/>
                <w:sz w:val="21"/>
                <w:szCs w:val="21"/>
              </w:rPr>
              <w:t>单位地址</w:t>
            </w:r>
          </w:p>
        </w:tc>
        <w:tc>
          <w:tcPr>
            <w:tcW w:w="6075" w:type="dxa"/>
            <w:gridSpan w:val="5"/>
            <w:noWrap w:val="0"/>
            <w:vAlign w:val="center"/>
          </w:tcPr>
          <w:p>
            <w:pPr>
              <w:ind w:firstLine="0" w:firstLineChars="0"/>
              <w:jc w:val="center"/>
              <w:rPr>
                <w:rFonts w:hint="default" w:eastAsia="仿宋_GB2312"/>
                <w:color w:val="000000"/>
                <w:sz w:val="21"/>
                <w:szCs w:val="21"/>
                <w:lang w:val="en-US" w:eastAsia="zh-CN"/>
              </w:rPr>
            </w:pPr>
            <w:r>
              <w:rPr>
                <w:rFonts w:hint="eastAsia"/>
                <w:color w:val="000000"/>
                <w:sz w:val="21"/>
                <w:szCs w:val="21"/>
              </w:rPr>
              <w:t>云南省</w:t>
            </w:r>
            <w:r>
              <w:rPr>
                <w:rFonts w:hint="eastAsia"/>
                <w:color w:val="000000"/>
                <w:sz w:val="21"/>
                <w:szCs w:val="21"/>
                <w:lang w:val="en-US" w:eastAsia="zh-CN"/>
              </w:rPr>
              <w:t>昆明市盘龙区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rPr>
            </w:pPr>
          </w:p>
        </w:tc>
        <w:tc>
          <w:tcPr>
            <w:tcW w:w="1763" w:type="dxa"/>
            <w:gridSpan w:val="2"/>
            <w:noWrap w:val="0"/>
            <w:vAlign w:val="center"/>
          </w:tcPr>
          <w:p>
            <w:pPr>
              <w:ind w:firstLine="0" w:firstLineChars="0"/>
              <w:jc w:val="center"/>
              <w:rPr>
                <w:color w:val="000000"/>
                <w:sz w:val="21"/>
                <w:szCs w:val="21"/>
              </w:rPr>
            </w:pPr>
            <w:r>
              <w:rPr>
                <w:color w:val="000000"/>
                <w:sz w:val="21"/>
                <w:szCs w:val="21"/>
              </w:rPr>
              <w:t>法人代表</w:t>
            </w:r>
          </w:p>
        </w:tc>
        <w:tc>
          <w:tcPr>
            <w:tcW w:w="2308" w:type="dxa"/>
            <w:gridSpan w:val="2"/>
            <w:noWrap w:val="0"/>
            <w:vAlign w:val="center"/>
          </w:tcPr>
          <w:p>
            <w:pPr>
              <w:ind w:firstLine="0" w:firstLineChars="0"/>
              <w:jc w:val="center"/>
              <w:rPr>
                <w:rFonts w:hint="eastAsia" w:eastAsia="仿宋_GB2312"/>
                <w:color w:val="000000"/>
                <w:sz w:val="21"/>
                <w:szCs w:val="21"/>
                <w:highlight w:val="yellow"/>
                <w:lang w:eastAsia="zh-CN"/>
              </w:rPr>
            </w:pPr>
            <w:r>
              <w:rPr>
                <w:rFonts w:hint="eastAsia"/>
                <w:color w:val="000000"/>
                <w:sz w:val="21"/>
                <w:szCs w:val="21"/>
                <w:lang w:val="en-US" w:eastAsia="zh-CN"/>
              </w:rPr>
              <w:t>张金安</w:t>
            </w:r>
          </w:p>
        </w:tc>
        <w:tc>
          <w:tcPr>
            <w:tcW w:w="1434" w:type="dxa"/>
            <w:noWrap w:val="0"/>
            <w:vAlign w:val="center"/>
          </w:tcPr>
          <w:p>
            <w:pPr>
              <w:ind w:firstLine="0" w:firstLineChars="0"/>
              <w:jc w:val="center"/>
              <w:rPr>
                <w:color w:val="000000"/>
                <w:sz w:val="21"/>
                <w:szCs w:val="21"/>
                <w:highlight w:val="yellow"/>
              </w:rPr>
            </w:pPr>
            <w:r>
              <w:rPr>
                <w:color w:val="000000"/>
                <w:sz w:val="21"/>
                <w:szCs w:val="21"/>
              </w:rPr>
              <w:t>联系电话</w:t>
            </w:r>
          </w:p>
        </w:tc>
        <w:tc>
          <w:tcPr>
            <w:tcW w:w="2333" w:type="dxa"/>
            <w:gridSpan w:val="2"/>
            <w:noWrap w:val="0"/>
            <w:vAlign w:val="center"/>
          </w:tcPr>
          <w:p>
            <w:pPr>
              <w:ind w:firstLine="0" w:firstLineChars="0"/>
              <w:jc w:val="center"/>
              <w:rPr>
                <w:rFonts w:hint="default" w:eastAsia="仿宋_GB2312"/>
                <w:color w:val="000000"/>
                <w:sz w:val="21"/>
                <w:szCs w:val="21"/>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rPr>
            </w:pPr>
          </w:p>
        </w:tc>
        <w:tc>
          <w:tcPr>
            <w:tcW w:w="1763" w:type="dxa"/>
            <w:gridSpan w:val="2"/>
            <w:noWrap w:val="0"/>
            <w:vAlign w:val="center"/>
          </w:tcPr>
          <w:p>
            <w:pPr>
              <w:ind w:firstLine="0" w:firstLineChars="0"/>
              <w:jc w:val="center"/>
              <w:rPr>
                <w:color w:val="000000"/>
                <w:sz w:val="21"/>
                <w:szCs w:val="21"/>
              </w:rPr>
            </w:pPr>
            <w:r>
              <w:rPr>
                <w:color w:val="000000"/>
                <w:sz w:val="21"/>
                <w:szCs w:val="21"/>
              </w:rPr>
              <w:t>企业性质</w:t>
            </w:r>
          </w:p>
        </w:tc>
        <w:tc>
          <w:tcPr>
            <w:tcW w:w="2308" w:type="dxa"/>
            <w:gridSpan w:val="2"/>
            <w:noWrap w:val="0"/>
            <w:vAlign w:val="center"/>
          </w:tcPr>
          <w:p>
            <w:pPr>
              <w:ind w:firstLine="0" w:firstLineChars="0"/>
              <w:jc w:val="center"/>
              <w:rPr>
                <w:rFonts w:hint="default" w:eastAsia="仿宋_GB2312"/>
                <w:color w:val="000000"/>
                <w:sz w:val="21"/>
                <w:szCs w:val="21"/>
                <w:lang w:val="en-US" w:eastAsia="zh-CN"/>
              </w:rPr>
            </w:pPr>
            <w:r>
              <w:rPr>
                <w:rFonts w:hint="eastAsia"/>
                <w:color w:val="000000"/>
                <w:sz w:val="21"/>
                <w:szCs w:val="21"/>
                <w:lang w:val="en-US" w:eastAsia="zh-CN"/>
              </w:rPr>
              <w:t>独资企业</w:t>
            </w:r>
          </w:p>
        </w:tc>
        <w:tc>
          <w:tcPr>
            <w:tcW w:w="1434" w:type="dxa"/>
            <w:noWrap w:val="0"/>
            <w:vAlign w:val="center"/>
          </w:tcPr>
          <w:p>
            <w:pPr>
              <w:ind w:firstLine="0" w:firstLineChars="0"/>
              <w:jc w:val="center"/>
              <w:rPr>
                <w:color w:val="000000"/>
                <w:sz w:val="21"/>
                <w:szCs w:val="21"/>
              </w:rPr>
            </w:pPr>
            <w:r>
              <w:rPr>
                <w:color w:val="000000"/>
                <w:sz w:val="21"/>
                <w:szCs w:val="21"/>
              </w:rPr>
              <w:t>项目性质</w:t>
            </w:r>
          </w:p>
        </w:tc>
        <w:tc>
          <w:tcPr>
            <w:tcW w:w="2333" w:type="dxa"/>
            <w:gridSpan w:val="2"/>
            <w:noWrap w:val="0"/>
            <w:vAlign w:val="center"/>
          </w:tcPr>
          <w:p>
            <w:pPr>
              <w:ind w:firstLine="0" w:firstLineChars="0"/>
              <w:jc w:val="center"/>
              <w:rPr>
                <w:rFonts w:hint="default"/>
                <w:color w:val="000000"/>
                <w:sz w:val="21"/>
                <w:szCs w:val="21"/>
                <w:lang w:val="en-US"/>
              </w:rPr>
            </w:pPr>
            <w:r>
              <w:rPr>
                <w:rFonts w:hint="eastAsia"/>
                <w:color w:val="000000"/>
                <w:sz w:val="21"/>
                <w:szCs w:val="21"/>
                <w:lang w:val="en-US" w:eastAsia="zh-CN"/>
              </w:rPr>
              <w:t>新建建设项目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rPr>
            </w:pPr>
          </w:p>
        </w:tc>
        <w:tc>
          <w:tcPr>
            <w:tcW w:w="1763" w:type="dxa"/>
            <w:gridSpan w:val="2"/>
            <w:noWrap w:val="0"/>
            <w:vAlign w:val="center"/>
          </w:tcPr>
          <w:p>
            <w:pPr>
              <w:ind w:firstLine="0" w:firstLineChars="0"/>
              <w:jc w:val="center"/>
              <w:rPr>
                <w:color w:val="000000"/>
                <w:sz w:val="21"/>
                <w:szCs w:val="21"/>
              </w:rPr>
            </w:pPr>
            <w:r>
              <w:rPr>
                <w:color w:val="000000"/>
                <w:sz w:val="21"/>
                <w:szCs w:val="21"/>
              </w:rPr>
              <w:t>项目位置</w:t>
            </w:r>
          </w:p>
        </w:tc>
        <w:tc>
          <w:tcPr>
            <w:tcW w:w="6075" w:type="dxa"/>
            <w:gridSpan w:val="5"/>
            <w:noWrap w:val="0"/>
            <w:vAlign w:val="center"/>
          </w:tcPr>
          <w:p>
            <w:pPr>
              <w:ind w:firstLine="0" w:firstLineChars="0"/>
              <w:jc w:val="center"/>
              <w:rPr>
                <w:color w:val="000000"/>
                <w:sz w:val="21"/>
                <w:szCs w:val="21"/>
              </w:rPr>
            </w:pPr>
            <w:r>
              <w:rPr>
                <w:color w:val="000000"/>
                <w:sz w:val="21"/>
                <w:szCs w:val="21"/>
              </w:rPr>
              <w:t>云南省文山壮族苗族自治州</w:t>
            </w:r>
            <w:r>
              <w:rPr>
                <w:rFonts w:hint="eastAsia"/>
                <w:color w:val="000000"/>
                <w:sz w:val="21"/>
                <w:szCs w:val="21"/>
              </w:rPr>
              <w:t>西畴</w:t>
            </w:r>
            <w:r>
              <w:rPr>
                <w:color w:val="000000"/>
                <w:sz w:val="21"/>
                <w:szCs w:val="21"/>
              </w:rPr>
              <w:t>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rPr>
            </w:pPr>
          </w:p>
        </w:tc>
        <w:tc>
          <w:tcPr>
            <w:tcW w:w="1763" w:type="dxa"/>
            <w:gridSpan w:val="2"/>
            <w:noWrap w:val="0"/>
            <w:vAlign w:val="center"/>
          </w:tcPr>
          <w:p>
            <w:pPr>
              <w:ind w:firstLine="0" w:firstLineChars="0"/>
              <w:jc w:val="center"/>
              <w:rPr>
                <w:color w:val="000000"/>
                <w:sz w:val="21"/>
                <w:szCs w:val="21"/>
              </w:rPr>
            </w:pPr>
            <w:r>
              <w:rPr>
                <w:color w:val="000000"/>
                <w:sz w:val="21"/>
                <w:szCs w:val="21"/>
              </w:rPr>
              <w:t>资源储量</w:t>
            </w:r>
          </w:p>
        </w:tc>
        <w:tc>
          <w:tcPr>
            <w:tcW w:w="2308" w:type="dxa"/>
            <w:gridSpan w:val="2"/>
            <w:noWrap w:val="0"/>
            <w:vAlign w:val="center"/>
          </w:tcPr>
          <w:p>
            <w:pPr>
              <w:ind w:firstLine="0" w:firstLineChars="0"/>
              <w:jc w:val="center"/>
              <w:rPr>
                <w:color w:val="000000"/>
                <w:sz w:val="21"/>
                <w:szCs w:val="21"/>
              </w:rPr>
            </w:pPr>
            <w:r>
              <w:rPr>
                <w:color w:val="000000"/>
                <w:sz w:val="21"/>
                <w:szCs w:val="21"/>
              </w:rPr>
              <w:t>—</w:t>
            </w:r>
          </w:p>
        </w:tc>
        <w:tc>
          <w:tcPr>
            <w:tcW w:w="1434" w:type="dxa"/>
            <w:noWrap w:val="0"/>
            <w:vAlign w:val="center"/>
          </w:tcPr>
          <w:p>
            <w:pPr>
              <w:pStyle w:val="46"/>
              <w:jc w:val="center"/>
              <w:rPr>
                <w:rFonts w:eastAsia="仿宋_GB2312"/>
                <w:color w:val="000000"/>
                <w:szCs w:val="21"/>
              </w:rPr>
            </w:pPr>
            <w:r>
              <w:rPr>
                <w:rFonts w:eastAsia="仿宋_GB2312"/>
                <w:color w:val="000000"/>
                <w:szCs w:val="21"/>
              </w:rPr>
              <w:t>生产能力(或投资规模)</w:t>
            </w:r>
          </w:p>
        </w:tc>
        <w:tc>
          <w:tcPr>
            <w:tcW w:w="2333" w:type="dxa"/>
            <w:gridSpan w:val="2"/>
            <w:noWrap w:val="0"/>
            <w:vAlign w:val="center"/>
          </w:tcPr>
          <w:p>
            <w:pPr>
              <w:ind w:firstLine="0" w:firstLineChars="0"/>
              <w:jc w:val="center"/>
              <w:rPr>
                <w:color w:val="000000"/>
                <w:sz w:val="21"/>
                <w:szCs w:val="21"/>
                <w:highlight w:val="yellow"/>
              </w:rPr>
            </w:pPr>
            <w:r>
              <w:rPr>
                <w:rFonts w:hint="eastAsia"/>
                <w:color w:val="000000"/>
                <w:sz w:val="21"/>
                <w:szCs w:val="21"/>
              </w:rPr>
              <w:t>284.45</w:t>
            </w:r>
            <w:r>
              <w:rPr>
                <w:color w:val="000000"/>
                <w:sz w:val="21"/>
                <w:szCs w:val="21"/>
              </w:rPr>
              <w:t>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pStyle w:val="46"/>
              <w:jc w:val="center"/>
              <w:rPr>
                <w:rFonts w:eastAsia="仿宋_GB2312"/>
                <w:color w:val="000000"/>
                <w:szCs w:val="21"/>
              </w:rPr>
            </w:pPr>
            <w:r>
              <w:rPr>
                <w:rFonts w:eastAsia="仿宋_GB2312"/>
                <w:color w:val="000000"/>
                <w:szCs w:val="21"/>
              </w:rPr>
              <w:t>划定矿区范围批复文号</w:t>
            </w:r>
          </w:p>
        </w:tc>
        <w:tc>
          <w:tcPr>
            <w:tcW w:w="2308" w:type="dxa"/>
            <w:gridSpan w:val="2"/>
            <w:noWrap w:val="0"/>
            <w:vAlign w:val="center"/>
          </w:tcPr>
          <w:p>
            <w:pPr>
              <w:pStyle w:val="46"/>
              <w:jc w:val="center"/>
              <w:rPr>
                <w:rFonts w:eastAsia="仿宋_GB2312"/>
                <w:color w:val="000000"/>
                <w:szCs w:val="21"/>
              </w:rPr>
            </w:pPr>
            <w:r>
              <w:rPr>
                <w:rFonts w:eastAsia="仿宋_GB2312"/>
                <w:color w:val="000000"/>
                <w:szCs w:val="21"/>
              </w:rPr>
              <w:t>—</w:t>
            </w:r>
          </w:p>
        </w:tc>
        <w:tc>
          <w:tcPr>
            <w:tcW w:w="1434" w:type="dxa"/>
            <w:noWrap w:val="0"/>
            <w:vAlign w:val="center"/>
          </w:tcPr>
          <w:p>
            <w:pPr>
              <w:pStyle w:val="46"/>
              <w:jc w:val="center"/>
              <w:rPr>
                <w:rFonts w:eastAsia="仿宋_GB2312"/>
                <w:color w:val="000000"/>
                <w:szCs w:val="21"/>
              </w:rPr>
            </w:pPr>
            <w:r>
              <w:rPr>
                <w:rFonts w:eastAsia="仿宋_GB2312"/>
                <w:color w:val="000000"/>
                <w:szCs w:val="21"/>
              </w:rPr>
              <w:t>项目区面积</w:t>
            </w:r>
          </w:p>
        </w:tc>
        <w:tc>
          <w:tcPr>
            <w:tcW w:w="2333" w:type="dxa"/>
            <w:gridSpan w:val="2"/>
            <w:noWrap w:val="0"/>
            <w:vAlign w:val="center"/>
          </w:tcPr>
          <w:p>
            <w:pPr>
              <w:pStyle w:val="46"/>
              <w:jc w:val="center"/>
              <w:rPr>
                <w:rFonts w:hint="eastAsia" w:eastAsia="仿宋_GB2312"/>
                <w:color w:val="000000"/>
                <w:szCs w:val="21"/>
                <w:highlight w:val="yellow"/>
              </w:rPr>
            </w:pPr>
            <w:r>
              <w:rPr>
                <w:rFonts w:hint="eastAsia" w:eastAsia="仿宋_GB2312"/>
                <w:color w:val="000000"/>
                <w:szCs w:val="21"/>
              </w:rPr>
              <w:t>186.3006hm</w:t>
            </w:r>
            <w:r>
              <w:rPr>
                <w:rFonts w:eastAsia="仿宋_GB2312"/>
                <w:color w:val="000000"/>
                <w:szCs w:val="21"/>
              </w:rPr>
              <w:t>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pStyle w:val="46"/>
              <w:jc w:val="center"/>
              <w:rPr>
                <w:rFonts w:eastAsia="仿宋_GB2312"/>
                <w:color w:val="000000"/>
                <w:szCs w:val="21"/>
                <w:highlight w:val="yellow"/>
              </w:rPr>
            </w:pPr>
            <w:r>
              <w:rPr>
                <w:rFonts w:eastAsia="仿宋_GB2312"/>
                <w:color w:val="000000"/>
                <w:szCs w:val="21"/>
              </w:rPr>
              <w:t>项目位置土地利用现状图幅号</w:t>
            </w:r>
          </w:p>
        </w:tc>
        <w:tc>
          <w:tcPr>
            <w:tcW w:w="6075" w:type="dxa"/>
            <w:gridSpan w:val="5"/>
            <w:noWrap w:val="0"/>
            <w:vAlign w:val="center"/>
          </w:tcPr>
          <w:p>
            <w:pPr>
              <w:ind w:firstLine="0" w:firstLineChars="0"/>
              <w:jc w:val="center"/>
              <w:rPr>
                <w:rFonts w:hint="eastAsia"/>
                <w:color w:val="000000"/>
                <w:sz w:val="21"/>
                <w:szCs w:val="21"/>
                <w:highlight w:val="yellow"/>
              </w:rPr>
            </w:pPr>
            <w:r>
              <w:rPr>
                <w:rFonts w:hint="eastAsia"/>
                <w:color w:val="000000"/>
                <w:sz w:val="21"/>
                <w:szCs w:val="21"/>
              </w:rPr>
              <w:t>F48H026094、F48H027094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pStyle w:val="46"/>
              <w:jc w:val="center"/>
              <w:rPr>
                <w:rFonts w:eastAsia="仿宋_GB2312"/>
                <w:color w:val="000000"/>
                <w:szCs w:val="21"/>
              </w:rPr>
            </w:pPr>
            <w:r>
              <w:rPr>
                <w:rFonts w:eastAsia="仿宋_GB2312"/>
                <w:color w:val="000000"/>
                <w:szCs w:val="21"/>
              </w:rPr>
              <w:t>生产年限（或建设期限）</w:t>
            </w:r>
          </w:p>
        </w:tc>
        <w:tc>
          <w:tcPr>
            <w:tcW w:w="2308" w:type="dxa"/>
            <w:gridSpan w:val="2"/>
            <w:noWrap w:val="0"/>
            <w:vAlign w:val="center"/>
          </w:tcPr>
          <w:p>
            <w:pPr>
              <w:pStyle w:val="46"/>
              <w:jc w:val="center"/>
              <w:rPr>
                <w:rFonts w:eastAsia="仿宋_GB2312"/>
                <w:color w:val="000000"/>
                <w:szCs w:val="21"/>
              </w:rPr>
            </w:pPr>
            <w:r>
              <w:rPr>
                <w:rFonts w:hint="eastAsia" w:eastAsia="仿宋_GB2312"/>
                <w:color w:val="000000"/>
                <w:szCs w:val="21"/>
              </w:rPr>
              <w:t>4年</w:t>
            </w:r>
          </w:p>
          <w:p>
            <w:pPr>
              <w:pStyle w:val="46"/>
              <w:jc w:val="center"/>
              <w:rPr>
                <w:rFonts w:hint="eastAsia" w:eastAsia="仿宋_GB2312"/>
                <w:color w:val="000000"/>
                <w:szCs w:val="21"/>
              </w:rPr>
            </w:pPr>
            <w:r>
              <w:rPr>
                <w:rFonts w:hint="eastAsia" w:eastAsia="仿宋_GB2312"/>
                <w:color w:val="000000"/>
                <w:szCs w:val="21"/>
              </w:rPr>
              <w:t>（</w:t>
            </w:r>
            <w:r>
              <w:rPr>
                <w:rFonts w:eastAsia="仿宋_GB2312"/>
                <w:color w:val="000000"/>
                <w:szCs w:val="21"/>
              </w:rPr>
              <w:t>202</w:t>
            </w:r>
            <w:r>
              <w:rPr>
                <w:rFonts w:hint="eastAsia" w:eastAsia="仿宋_GB2312"/>
                <w:color w:val="000000"/>
                <w:szCs w:val="21"/>
              </w:rPr>
              <w:t>3.1</w:t>
            </w:r>
            <w:r>
              <w:rPr>
                <w:rFonts w:eastAsia="仿宋_GB2312"/>
                <w:color w:val="000000"/>
                <w:szCs w:val="21"/>
              </w:rPr>
              <w:t>—202</w:t>
            </w:r>
            <w:r>
              <w:rPr>
                <w:rFonts w:hint="eastAsia" w:eastAsia="仿宋_GB2312"/>
                <w:color w:val="000000"/>
                <w:szCs w:val="21"/>
              </w:rPr>
              <w:t>6.12）</w:t>
            </w:r>
          </w:p>
        </w:tc>
        <w:tc>
          <w:tcPr>
            <w:tcW w:w="1434" w:type="dxa"/>
            <w:noWrap w:val="0"/>
            <w:vAlign w:val="center"/>
          </w:tcPr>
          <w:p>
            <w:pPr>
              <w:pStyle w:val="46"/>
              <w:jc w:val="center"/>
              <w:rPr>
                <w:rFonts w:eastAsia="仿宋_GB2312"/>
                <w:color w:val="000000"/>
                <w:szCs w:val="21"/>
              </w:rPr>
            </w:pPr>
            <w:r>
              <w:rPr>
                <w:rFonts w:eastAsia="仿宋_GB2312"/>
                <w:color w:val="000000"/>
                <w:szCs w:val="21"/>
              </w:rPr>
              <w:t>土地复垦方案服务年限</w:t>
            </w:r>
          </w:p>
        </w:tc>
        <w:tc>
          <w:tcPr>
            <w:tcW w:w="2333" w:type="dxa"/>
            <w:gridSpan w:val="2"/>
            <w:noWrap w:val="0"/>
            <w:vAlign w:val="center"/>
          </w:tcPr>
          <w:p>
            <w:pPr>
              <w:pStyle w:val="46"/>
              <w:jc w:val="center"/>
              <w:rPr>
                <w:rFonts w:eastAsia="仿宋_GB2312"/>
                <w:color w:val="000000"/>
                <w:szCs w:val="21"/>
              </w:rPr>
            </w:pPr>
            <w:r>
              <w:rPr>
                <w:rFonts w:hint="eastAsia" w:eastAsia="仿宋_GB2312"/>
                <w:color w:val="000000"/>
                <w:szCs w:val="21"/>
              </w:rPr>
              <w:t>4年</w:t>
            </w:r>
          </w:p>
          <w:p>
            <w:pPr>
              <w:pStyle w:val="46"/>
              <w:jc w:val="center"/>
              <w:rPr>
                <w:rFonts w:hint="eastAsia" w:eastAsia="仿宋_GB2312"/>
                <w:color w:val="000000"/>
                <w:szCs w:val="21"/>
              </w:rPr>
            </w:pPr>
            <w:r>
              <w:rPr>
                <w:rFonts w:hint="eastAsia" w:eastAsia="仿宋_GB2312"/>
                <w:color w:val="000000"/>
                <w:szCs w:val="21"/>
              </w:rPr>
              <w:t>（</w:t>
            </w:r>
            <w:r>
              <w:rPr>
                <w:rFonts w:eastAsia="仿宋_GB2312"/>
                <w:color w:val="000000"/>
                <w:szCs w:val="21"/>
              </w:rPr>
              <w:t>202</w:t>
            </w:r>
            <w:r>
              <w:rPr>
                <w:rFonts w:hint="eastAsia" w:eastAsia="仿宋_GB2312"/>
                <w:color w:val="000000"/>
                <w:szCs w:val="21"/>
              </w:rPr>
              <w:t>2.12</w:t>
            </w:r>
            <w:r>
              <w:rPr>
                <w:rFonts w:eastAsia="仿宋_GB2312"/>
                <w:color w:val="000000"/>
                <w:szCs w:val="21"/>
              </w:rPr>
              <w:t>—202</w:t>
            </w:r>
            <w:r>
              <w:rPr>
                <w:rFonts w:hint="eastAsia" w:eastAsia="仿宋_GB2312"/>
                <w:color w:val="000000"/>
                <w:szCs w:val="21"/>
              </w:rPr>
              <w:t>6.11）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restart"/>
            <w:noWrap w:val="0"/>
            <w:textDirection w:val="tbRlV"/>
            <w:vAlign w:val="center"/>
          </w:tcPr>
          <w:p>
            <w:pPr>
              <w:ind w:firstLine="420"/>
              <w:jc w:val="center"/>
              <w:rPr>
                <w:color w:val="000000"/>
                <w:sz w:val="21"/>
                <w:szCs w:val="21"/>
                <w:highlight w:val="yellow"/>
              </w:rPr>
            </w:pPr>
            <w:r>
              <w:rPr>
                <w:color w:val="000000"/>
                <w:sz w:val="21"/>
                <w:szCs w:val="21"/>
              </w:rPr>
              <w:t>方案编制单位</w:t>
            </w:r>
          </w:p>
        </w:tc>
        <w:tc>
          <w:tcPr>
            <w:tcW w:w="1763" w:type="dxa"/>
            <w:gridSpan w:val="2"/>
            <w:noWrap w:val="0"/>
            <w:vAlign w:val="center"/>
          </w:tcPr>
          <w:p>
            <w:pPr>
              <w:ind w:firstLine="0" w:firstLineChars="0"/>
              <w:jc w:val="center"/>
              <w:rPr>
                <w:color w:val="000000"/>
                <w:sz w:val="21"/>
                <w:szCs w:val="21"/>
              </w:rPr>
            </w:pPr>
            <w:r>
              <w:rPr>
                <w:color w:val="000000"/>
                <w:sz w:val="21"/>
                <w:szCs w:val="21"/>
              </w:rPr>
              <w:t>编制单位名称</w:t>
            </w:r>
          </w:p>
        </w:tc>
        <w:tc>
          <w:tcPr>
            <w:tcW w:w="6075" w:type="dxa"/>
            <w:gridSpan w:val="5"/>
            <w:noWrap w:val="0"/>
            <w:vAlign w:val="center"/>
          </w:tcPr>
          <w:p>
            <w:pPr>
              <w:ind w:firstLine="174" w:firstLineChars="83"/>
              <w:jc w:val="center"/>
              <w:rPr>
                <w:color w:val="000000"/>
                <w:sz w:val="21"/>
                <w:szCs w:val="21"/>
              </w:rPr>
            </w:pPr>
            <w:r>
              <w:rPr>
                <w:color w:val="000000"/>
                <w:sz w:val="21"/>
                <w:szCs w:val="21"/>
              </w:rPr>
              <w:t>昆明麦普空间科技有限公司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ind w:firstLine="0" w:firstLineChars="0"/>
              <w:jc w:val="center"/>
              <w:rPr>
                <w:color w:val="000000"/>
                <w:sz w:val="21"/>
                <w:szCs w:val="21"/>
              </w:rPr>
            </w:pPr>
            <w:r>
              <w:rPr>
                <w:color w:val="000000"/>
                <w:sz w:val="21"/>
                <w:szCs w:val="21"/>
              </w:rPr>
              <w:t>法人代表</w:t>
            </w:r>
          </w:p>
        </w:tc>
        <w:tc>
          <w:tcPr>
            <w:tcW w:w="6075" w:type="dxa"/>
            <w:gridSpan w:val="5"/>
            <w:noWrap w:val="0"/>
            <w:vAlign w:val="center"/>
          </w:tcPr>
          <w:p>
            <w:pPr>
              <w:ind w:firstLine="174" w:firstLineChars="83"/>
              <w:jc w:val="center"/>
              <w:rPr>
                <w:color w:val="000000"/>
                <w:sz w:val="21"/>
                <w:szCs w:val="21"/>
              </w:rPr>
            </w:pPr>
            <w:r>
              <w:rPr>
                <w:color w:val="000000"/>
                <w:sz w:val="21"/>
                <w:szCs w:val="21"/>
              </w:rPr>
              <w:t>冯瑶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ind w:firstLine="0" w:firstLineChars="0"/>
              <w:jc w:val="center"/>
              <w:rPr>
                <w:color w:val="000000"/>
                <w:sz w:val="21"/>
                <w:szCs w:val="21"/>
              </w:rPr>
            </w:pPr>
            <w:r>
              <w:rPr>
                <w:color w:val="000000"/>
                <w:sz w:val="21"/>
                <w:szCs w:val="21"/>
              </w:rPr>
              <w:t>资质证书名称</w:t>
            </w:r>
          </w:p>
        </w:tc>
        <w:tc>
          <w:tcPr>
            <w:tcW w:w="2308" w:type="dxa"/>
            <w:gridSpan w:val="2"/>
            <w:noWrap w:val="0"/>
            <w:vAlign w:val="center"/>
          </w:tcPr>
          <w:p>
            <w:pPr>
              <w:pStyle w:val="46"/>
              <w:jc w:val="center"/>
              <w:rPr>
                <w:rFonts w:eastAsia="仿宋_GB2312"/>
                <w:color w:val="000000"/>
                <w:szCs w:val="21"/>
              </w:rPr>
            </w:pPr>
            <w:r>
              <w:rPr>
                <w:rFonts w:eastAsia="仿宋_GB2312"/>
                <w:color w:val="000000"/>
                <w:szCs w:val="21"/>
              </w:rPr>
              <w:t>土地规划机构等级证书</w:t>
            </w:r>
          </w:p>
        </w:tc>
        <w:tc>
          <w:tcPr>
            <w:tcW w:w="1434" w:type="dxa"/>
            <w:noWrap w:val="0"/>
            <w:vAlign w:val="center"/>
          </w:tcPr>
          <w:p>
            <w:pPr>
              <w:ind w:firstLine="0" w:firstLineChars="0"/>
              <w:jc w:val="center"/>
              <w:rPr>
                <w:color w:val="000000"/>
                <w:sz w:val="21"/>
                <w:szCs w:val="21"/>
              </w:rPr>
            </w:pPr>
            <w:r>
              <w:rPr>
                <w:color w:val="000000"/>
                <w:sz w:val="21"/>
                <w:szCs w:val="21"/>
              </w:rPr>
              <w:t>资质等级</w:t>
            </w:r>
          </w:p>
        </w:tc>
        <w:tc>
          <w:tcPr>
            <w:tcW w:w="2333" w:type="dxa"/>
            <w:gridSpan w:val="2"/>
            <w:noWrap w:val="0"/>
            <w:vAlign w:val="center"/>
          </w:tcPr>
          <w:p>
            <w:pPr>
              <w:ind w:firstLine="0" w:firstLineChars="0"/>
              <w:jc w:val="center"/>
              <w:rPr>
                <w:color w:val="000000"/>
                <w:sz w:val="21"/>
                <w:szCs w:val="21"/>
              </w:rPr>
            </w:pPr>
            <w:r>
              <w:rPr>
                <w:color w:val="000000"/>
                <w:sz w:val="21"/>
                <w:szCs w:val="21"/>
              </w:rPr>
              <w:t>乙级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ind w:firstLine="0" w:firstLineChars="0"/>
              <w:jc w:val="center"/>
              <w:rPr>
                <w:color w:val="000000"/>
                <w:sz w:val="21"/>
                <w:szCs w:val="21"/>
              </w:rPr>
            </w:pPr>
            <w:r>
              <w:rPr>
                <w:color w:val="000000"/>
                <w:sz w:val="21"/>
                <w:szCs w:val="21"/>
              </w:rPr>
              <w:t>发证机关</w:t>
            </w:r>
          </w:p>
        </w:tc>
        <w:tc>
          <w:tcPr>
            <w:tcW w:w="2308" w:type="dxa"/>
            <w:gridSpan w:val="2"/>
            <w:noWrap w:val="0"/>
            <w:vAlign w:val="center"/>
          </w:tcPr>
          <w:p>
            <w:pPr>
              <w:ind w:firstLine="0" w:firstLineChars="0"/>
              <w:jc w:val="center"/>
              <w:rPr>
                <w:color w:val="000000"/>
                <w:sz w:val="21"/>
                <w:szCs w:val="21"/>
              </w:rPr>
            </w:pPr>
            <w:r>
              <w:rPr>
                <w:color w:val="000000"/>
                <w:sz w:val="21"/>
                <w:szCs w:val="21"/>
              </w:rPr>
              <w:t>云南省土地学会</w:t>
            </w:r>
          </w:p>
        </w:tc>
        <w:tc>
          <w:tcPr>
            <w:tcW w:w="1434" w:type="dxa"/>
            <w:noWrap w:val="0"/>
            <w:vAlign w:val="center"/>
          </w:tcPr>
          <w:p>
            <w:pPr>
              <w:ind w:firstLine="0" w:firstLineChars="0"/>
              <w:jc w:val="center"/>
              <w:rPr>
                <w:color w:val="000000"/>
                <w:sz w:val="21"/>
                <w:szCs w:val="21"/>
              </w:rPr>
            </w:pPr>
            <w:r>
              <w:rPr>
                <w:color w:val="000000"/>
                <w:sz w:val="21"/>
                <w:szCs w:val="21"/>
              </w:rPr>
              <w:t>编号</w:t>
            </w:r>
          </w:p>
        </w:tc>
        <w:tc>
          <w:tcPr>
            <w:tcW w:w="2333" w:type="dxa"/>
            <w:gridSpan w:val="2"/>
            <w:noWrap w:val="0"/>
            <w:vAlign w:val="center"/>
          </w:tcPr>
          <w:p>
            <w:pPr>
              <w:ind w:firstLine="0" w:firstLineChars="0"/>
              <w:jc w:val="center"/>
              <w:rPr>
                <w:color w:val="000000"/>
                <w:sz w:val="21"/>
                <w:szCs w:val="21"/>
              </w:rPr>
            </w:pPr>
            <w:r>
              <w:rPr>
                <w:color w:val="000000"/>
                <w:sz w:val="21"/>
                <w:szCs w:val="21"/>
              </w:rPr>
              <w:t>532010030B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1763" w:type="dxa"/>
            <w:gridSpan w:val="2"/>
            <w:noWrap w:val="0"/>
            <w:vAlign w:val="center"/>
          </w:tcPr>
          <w:p>
            <w:pPr>
              <w:ind w:firstLine="0" w:firstLineChars="0"/>
              <w:jc w:val="center"/>
              <w:rPr>
                <w:color w:val="000000"/>
                <w:sz w:val="21"/>
                <w:szCs w:val="21"/>
              </w:rPr>
            </w:pPr>
            <w:r>
              <w:rPr>
                <w:color w:val="000000"/>
                <w:sz w:val="21"/>
                <w:szCs w:val="21"/>
              </w:rPr>
              <w:t>联系人</w:t>
            </w:r>
          </w:p>
        </w:tc>
        <w:tc>
          <w:tcPr>
            <w:tcW w:w="2308" w:type="dxa"/>
            <w:gridSpan w:val="2"/>
            <w:noWrap w:val="0"/>
            <w:vAlign w:val="center"/>
          </w:tcPr>
          <w:p>
            <w:pPr>
              <w:ind w:firstLine="0" w:firstLineChars="0"/>
              <w:jc w:val="center"/>
              <w:rPr>
                <w:rFonts w:hint="eastAsia" w:eastAsia="仿宋_GB2312"/>
                <w:color w:val="000000"/>
                <w:sz w:val="21"/>
                <w:szCs w:val="21"/>
                <w:lang w:val="en-US" w:eastAsia="zh-CN"/>
              </w:rPr>
            </w:pPr>
            <w:r>
              <w:rPr>
                <w:rFonts w:hint="eastAsia"/>
                <w:color w:val="000000"/>
                <w:sz w:val="21"/>
                <w:szCs w:val="21"/>
                <w:lang w:val="en-US" w:eastAsia="zh-CN"/>
              </w:rPr>
              <w:t>刘利霖</w:t>
            </w:r>
          </w:p>
        </w:tc>
        <w:tc>
          <w:tcPr>
            <w:tcW w:w="1434" w:type="dxa"/>
            <w:noWrap w:val="0"/>
            <w:vAlign w:val="center"/>
          </w:tcPr>
          <w:p>
            <w:pPr>
              <w:ind w:firstLine="0" w:firstLineChars="0"/>
              <w:jc w:val="center"/>
              <w:rPr>
                <w:color w:val="000000"/>
                <w:sz w:val="21"/>
                <w:szCs w:val="21"/>
              </w:rPr>
            </w:pPr>
            <w:r>
              <w:rPr>
                <w:color w:val="000000"/>
                <w:sz w:val="21"/>
                <w:szCs w:val="21"/>
              </w:rPr>
              <w:t>联系电话</w:t>
            </w:r>
          </w:p>
        </w:tc>
        <w:tc>
          <w:tcPr>
            <w:tcW w:w="2333" w:type="dxa"/>
            <w:gridSpan w:val="2"/>
            <w:noWrap w:val="0"/>
            <w:vAlign w:val="center"/>
          </w:tcPr>
          <w:p>
            <w:pPr>
              <w:ind w:firstLine="0" w:firstLineChars="0"/>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7838" w:type="dxa"/>
            <w:gridSpan w:val="7"/>
            <w:noWrap w:val="0"/>
            <w:vAlign w:val="center"/>
          </w:tcPr>
          <w:p>
            <w:pPr>
              <w:ind w:firstLine="420"/>
              <w:jc w:val="center"/>
              <w:rPr>
                <w:color w:val="000000"/>
                <w:sz w:val="21"/>
                <w:szCs w:val="21"/>
              </w:rPr>
            </w:pPr>
            <w:r>
              <w:rPr>
                <w:color w:val="000000"/>
                <w:sz w:val="21"/>
                <w:szCs w:val="21"/>
              </w:rPr>
              <w:t>主要编制人员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914" w:type="dxa"/>
            <w:noWrap w:val="0"/>
            <w:vAlign w:val="center"/>
          </w:tcPr>
          <w:p>
            <w:pPr>
              <w:ind w:firstLine="0" w:firstLineChars="0"/>
              <w:jc w:val="center"/>
              <w:rPr>
                <w:color w:val="000000"/>
                <w:sz w:val="21"/>
                <w:szCs w:val="21"/>
              </w:rPr>
            </w:pPr>
            <w:r>
              <w:rPr>
                <w:color w:val="000000"/>
                <w:sz w:val="21"/>
                <w:szCs w:val="21"/>
              </w:rPr>
              <w:t>姓名</w:t>
            </w:r>
          </w:p>
        </w:tc>
        <w:tc>
          <w:tcPr>
            <w:tcW w:w="1292" w:type="dxa"/>
            <w:gridSpan w:val="2"/>
            <w:noWrap w:val="0"/>
            <w:vAlign w:val="center"/>
          </w:tcPr>
          <w:p>
            <w:pPr>
              <w:ind w:firstLine="0" w:firstLineChars="0"/>
              <w:jc w:val="center"/>
              <w:rPr>
                <w:color w:val="000000"/>
                <w:sz w:val="21"/>
                <w:szCs w:val="21"/>
              </w:rPr>
            </w:pPr>
            <w:r>
              <w:rPr>
                <w:color w:val="000000"/>
                <w:sz w:val="21"/>
                <w:szCs w:val="21"/>
              </w:rPr>
              <w:t>职务/职称</w:t>
            </w:r>
          </w:p>
        </w:tc>
        <w:tc>
          <w:tcPr>
            <w:tcW w:w="1865" w:type="dxa"/>
            <w:noWrap w:val="0"/>
            <w:vAlign w:val="center"/>
          </w:tcPr>
          <w:p>
            <w:pPr>
              <w:ind w:firstLine="0" w:firstLineChars="0"/>
              <w:jc w:val="center"/>
              <w:rPr>
                <w:color w:val="000000"/>
                <w:sz w:val="21"/>
                <w:szCs w:val="21"/>
              </w:rPr>
            </w:pPr>
            <w:r>
              <w:rPr>
                <w:color w:val="000000"/>
                <w:sz w:val="21"/>
                <w:szCs w:val="21"/>
              </w:rPr>
              <w:t>专业</w:t>
            </w:r>
          </w:p>
        </w:tc>
        <w:tc>
          <w:tcPr>
            <w:tcW w:w="2782" w:type="dxa"/>
            <w:gridSpan w:val="2"/>
            <w:noWrap w:val="0"/>
            <w:vAlign w:val="center"/>
          </w:tcPr>
          <w:p>
            <w:pPr>
              <w:ind w:firstLine="0" w:firstLineChars="0"/>
              <w:jc w:val="center"/>
              <w:rPr>
                <w:color w:val="000000"/>
                <w:sz w:val="21"/>
                <w:szCs w:val="21"/>
              </w:rPr>
            </w:pPr>
            <w:r>
              <w:rPr>
                <w:color w:val="000000"/>
                <w:sz w:val="21"/>
                <w:szCs w:val="21"/>
              </w:rPr>
              <w:t>单位</w:t>
            </w:r>
          </w:p>
        </w:tc>
        <w:tc>
          <w:tcPr>
            <w:tcW w:w="985" w:type="dxa"/>
            <w:noWrap w:val="0"/>
            <w:vAlign w:val="center"/>
          </w:tcPr>
          <w:p>
            <w:pPr>
              <w:ind w:firstLine="0" w:firstLineChars="0"/>
              <w:jc w:val="center"/>
              <w:rPr>
                <w:color w:val="000000"/>
                <w:sz w:val="21"/>
                <w:szCs w:val="21"/>
                <w:highlight w:val="yellow"/>
              </w:rPr>
            </w:pPr>
            <w:r>
              <w:rPr>
                <w:color w:val="000000"/>
                <w:sz w:val="21"/>
                <w:szCs w:val="21"/>
              </w:rPr>
              <w:t>签名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914" w:type="dxa"/>
            <w:noWrap w:val="0"/>
            <w:vAlign w:val="center"/>
          </w:tcPr>
          <w:p>
            <w:pPr>
              <w:pStyle w:val="46"/>
              <w:jc w:val="center"/>
              <w:rPr>
                <w:rFonts w:eastAsia="仿宋_GB2312"/>
                <w:color w:val="000000"/>
                <w:szCs w:val="21"/>
              </w:rPr>
            </w:pPr>
            <w:r>
              <w:rPr>
                <w:rFonts w:eastAsia="仿宋_GB2312"/>
                <w:color w:val="000000"/>
                <w:szCs w:val="21"/>
              </w:rPr>
              <w:t>杨宏</w:t>
            </w:r>
          </w:p>
        </w:tc>
        <w:tc>
          <w:tcPr>
            <w:tcW w:w="1292" w:type="dxa"/>
            <w:gridSpan w:val="2"/>
            <w:noWrap w:val="0"/>
            <w:vAlign w:val="center"/>
          </w:tcPr>
          <w:p>
            <w:pPr>
              <w:pStyle w:val="46"/>
              <w:jc w:val="center"/>
              <w:rPr>
                <w:rFonts w:eastAsia="仿宋_GB2312"/>
                <w:color w:val="000000"/>
                <w:szCs w:val="21"/>
              </w:rPr>
            </w:pPr>
            <w:r>
              <w:rPr>
                <w:rFonts w:hint="eastAsia" w:eastAsia="仿宋_GB2312"/>
                <w:color w:val="000000"/>
                <w:szCs w:val="21"/>
              </w:rPr>
              <w:t>高</w:t>
            </w:r>
            <w:r>
              <w:rPr>
                <w:rFonts w:eastAsia="仿宋_GB2312"/>
                <w:color w:val="000000"/>
                <w:szCs w:val="21"/>
              </w:rPr>
              <w:t>级工程师</w:t>
            </w:r>
          </w:p>
        </w:tc>
        <w:tc>
          <w:tcPr>
            <w:tcW w:w="1865" w:type="dxa"/>
            <w:noWrap w:val="0"/>
            <w:vAlign w:val="center"/>
          </w:tcPr>
          <w:p>
            <w:pPr>
              <w:pStyle w:val="46"/>
              <w:jc w:val="center"/>
              <w:rPr>
                <w:rFonts w:eastAsia="仿宋_GB2312"/>
                <w:color w:val="000000"/>
                <w:szCs w:val="21"/>
              </w:rPr>
            </w:pPr>
            <w:r>
              <w:rPr>
                <w:rFonts w:eastAsia="仿宋_GB2312"/>
                <w:color w:val="000000"/>
                <w:szCs w:val="21"/>
              </w:rPr>
              <w:t>资源环境与城乡规划管理</w:t>
            </w:r>
          </w:p>
        </w:tc>
        <w:tc>
          <w:tcPr>
            <w:tcW w:w="2782" w:type="dxa"/>
            <w:gridSpan w:val="2"/>
            <w:noWrap w:val="0"/>
            <w:vAlign w:val="center"/>
          </w:tcPr>
          <w:p>
            <w:pPr>
              <w:pStyle w:val="46"/>
              <w:jc w:val="center"/>
              <w:rPr>
                <w:rFonts w:eastAsia="仿宋_GB2312"/>
                <w:color w:val="000000"/>
                <w:szCs w:val="21"/>
              </w:rPr>
            </w:pPr>
            <w:r>
              <w:rPr>
                <w:rFonts w:eastAsia="仿宋_GB2312"/>
                <w:color w:val="000000"/>
                <w:szCs w:val="21"/>
              </w:rPr>
              <w:t>昆明麦普空间科技有限公司</w:t>
            </w:r>
          </w:p>
        </w:tc>
        <w:tc>
          <w:tcPr>
            <w:tcW w:w="985" w:type="dxa"/>
            <w:noWrap w:val="0"/>
            <w:vAlign w:val="center"/>
          </w:tcPr>
          <w:p>
            <w:pPr>
              <w:spacing w:line="240" w:lineRule="auto"/>
              <w:ind w:firstLine="0" w:firstLineChars="0"/>
              <w:jc w:val="center"/>
              <w:rPr>
                <w:color w:val="000000"/>
                <w:sz w:val="21"/>
                <w:szCs w:val="21"/>
                <w:highlight w:val="yellow"/>
              </w:rPr>
            </w:pPr>
            <w:r>
              <w:rPr>
                <w:rFonts w:hint="eastAsia" w:ascii="书体坊雪纯体3500" w:hAnsi="书体坊雪纯体3500" w:eastAsia="书体坊雪纯体3500" w:cs="书体坊雪纯体3500"/>
                <w:color w:val="000000"/>
                <w:szCs w:val="21"/>
              </w:rPr>
              <w:t>杨宏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914" w:type="dxa"/>
            <w:noWrap w:val="0"/>
            <w:vAlign w:val="center"/>
          </w:tcPr>
          <w:p>
            <w:pPr>
              <w:pStyle w:val="46"/>
              <w:jc w:val="center"/>
              <w:rPr>
                <w:rFonts w:eastAsia="仿宋_GB2312"/>
                <w:color w:val="000000"/>
                <w:szCs w:val="21"/>
              </w:rPr>
            </w:pPr>
            <w:r>
              <w:rPr>
                <w:rFonts w:eastAsia="仿宋_GB2312"/>
                <w:color w:val="000000"/>
                <w:szCs w:val="21"/>
              </w:rPr>
              <w:t>李径钟</w:t>
            </w:r>
          </w:p>
        </w:tc>
        <w:tc>
          <w:tcPr>
            <w:tcW w:w="1292" w:type="dxa"/>
            <w:gridSpan w:val="2"/>
            <w:noWrap w:val="0"/>
            <w:vAlign w:val="center"/>
          </w:tcPr>
          <w:p>
            <w:pPr>
              <w:pStyle w:val="46"/>
              <w:jc w:val="center"/>
              <w:rPr>
                <w:rFonts w:eastAsia="仿宋_GB2312"/>
                <w:color w:val="000000"/>
                <w:szCs w:val="21"/>
              </w:rPr>
            </w:pPr>
            <w:r>
              <w:rPr>
                <w:rFonts w:hint="eastAsia" w:eastAsia="仿宋_GB2312"/>
                <w:color w:val="000000"/>
                <w:szCs w:val="21"/>
              </w:rPr>
              <w:t>中级</w:t>
            </w:r>
            <w:r>
              <w:rPr>
                <w:rFonts w:eastAsia="仿宋_GB2312"/>
                <w:color w:val="000000"/>
                <w:szCs w:val="21"/>
              </w:rPr>
              <w:t>工程师</w:t>
            </w:r>
          </w:p>
        </w:tc>
        <w:tc>
          <w:tcPr>
            <w:tcW w:w="1865" w:type="dxa"/>
            <w:noWrap w:val="0"/>
            <w:vAlign w:val="center"/>
          </w:tcPr>
          <w:p>
            <w:pPr>
              <w:pStyle w:val="46"/>
              <w:jc w:val="center"/>
              <w:rPr>
                <w:rFonts w:eastAsia="仿宋_GB2312"/>
                <w:color w:val="000000"/>
                <w:szCs w:val="21"/>
              </w:rPr>
            </w:pPr>
            <w:r>
              <w:rPr>
                <w:rFonts w:eastAsia="仿宋_GB2312"/>
                <w:color w:val="000000"/>
                <w:szCs w:val="21"/>
              </w:rPr>
              <w:t>资源环境与城乡规划</w:t>
            </w:r>
          </w:p>
        </w:tc>
        <w:tc>
          <w:tcPr>
            <w:tcW w:w="2782" w:type="dxa"/>
            <w:gridSpan w:val="2"/>
            <w:noWrap w:val="0"/>
            <w:vAlign w:val="center"/>
          </w:tcPr>
          <w:p>
            <w:pPr>
              <w:pStyle w:val="46"/>
              <w:jc w:val="center"/>
              <w:rPr>
                <w:rFonts w:eastAsia="仿宋_GB2312"/>
                <w:color w:val="000000"/>
                <w:szCs w:val="21"/>
              </w:rPr>
            </w:pPr>
            <w:r>
              <w:rPr>
                <w:rFonts w:eastAsia="仿宋_GB2312"/>
                <w:color w:val="000000"/>
                <w:szCs w:val="21"/>
              </w:rPr>
              <w:t>昆明麦普空间科技有限公司</w:t>
            </w:r>
          </w:p>
        </w:tc>
        <w:tc>
          <w:tcPr>
            <w:tcW w:w="985" w:type="dxa"/>
            <w:noWrap w:val="0"/>
            <w:vAlign w:val="center"/>
          </w:tcPr>
          <w:p>
            <w:pPr>
              <w:spacing w:line="240" w:lineRule="auto"/>
              <w:ind w:firstLine="0" w:firstLineChars="0"/>
              <w:jc w:val="center"/>
              <w:rPr>
                <w:color w:val="000000"/>
                <w:sz w:val="21"/>
                <w:szCs w:val="21"/>
                <w:highlight w:val="yellow"/>
              </w:rPr>
            </w:pPr>
            <w:r>
              <w:rPr>
                <w:rFonts w:hint="eastAsia" w:ascii="书体坊赵九江钢笔楷书" w:hAnsi="书体坊赵九江钢笔楷书" w:eastAsia="书体坊赵九江钢笔楷书" w:cs="书体坊赵九江钢笔楷书"/>
                <w:color w:val="000000"/>
                <w:szCs w:val="21"/>
              </w:rPr>
              <w:t>李径钟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84" w:type="dxa"/>
            <w:vMerge w:val="continue"/>
            <w:noWrap w:val="0"/>
            <w:vAlign w:val="center"/>
          </w:tcPr>
          <w:p>
            <w:pPr>
              <w:ind w:firstLine="420"/>
              <w:rPr>
                <w:color w:val="000000"/>
                <w:sz w:val="21"/>
                <w:szCs w:val="21"/>
                <w:highlight w:val="yellow"/>
              </w:rPr>
            </w:pPr>
          </w:p>
        </w:tc>
        <w:tc>
          <w:tcPr>
            <w:tcW w:w="914" w:type="dxa"/>
            <w:noWrap w:val="0"/>
            <w:vAlign w:val="center"/>
          </w:tcPr>
          <w:p>
            <w:pPr>
              <w:pStyle w:val="46"/>
              <w:jc w:val="center"/>
              <w:rPr>
                <w:rFonts w:eastAsia="仿宋_GB2312"/>
                <w:color w:val="000000"/>
                <w:szCs w:val="21"/>
              </w:rPr>
            </w:pPr>
            <w:r>
              <w:rPr>
                <w:rFonts w:eastAsia="仿宋_GB2312"/>
                <w:color w:val="000000"/>
                <w:szCs w:val="21"/>
              </w:rPr>
              <w:t>李文生</w:t>
            </w:r>
          </w:p>
        </w:tc>
        <w:tc>
          <w:tcPr>
            <w:tcW w:w="1292" w:type="dxa"/>
            <w:gridSpan w:val="2"/>
            <w:noWrap w:val="0"/>
            <w:vAlign w:val="center"/>
          </w:tcPr>
          <w:p>
            <w:pPr>
              <w:pStyle w:val="46"/>
              <w:jc w:val="center"/>
              <w:rPr>
                <w:rFonts w:eastAsia="仿宋_GB2312"/>
                <w:color w:val="000000"/>
                <w:szCs w:val="21"/>
              </w:rPr>
            </w:pPr>
            <w:r>
              <w:rPr>
                <w:rFonts w:hint="eastAsia" w:eastAsia="仿宋_GB2312"/>
                <w:color w:val="000000"/>
                <w:szCs w:val="21"/>
              </w:rPr>
              <w:t>中级</w:t>
            </w:r>
            <w:r>
              <w:rPr>
                <w:rFonts w:eastAsia="仿宋_GB2312"/>
                <w:color w:val="000000"/>
                <w:szCs w:val="21"/>
              </w:rPr>
              <w:t>工程师</w:t>
            </w:r>
          </w:p>
        </w:tc>
        <w:tc>
          <w:tcPr>
            <w:tcW w:w="1865" w:type="dxa"/>
            <w:noWrap w:val="0"/>
            <w:vAlign w:val="center"/>
          </w:tcPr>
          <w:p>
            <w:pPr>
              <w:pStyle w:val="46"/>
              <w:jc w:val="center"/>
              <w:rPr>
                <w:rFonts w:eastAsia="仿宋_GB2312"/>
                <w:color w:val="000000"/>
                <w:szCs w:val="21"/>
              </w:rPr>
            </w:pPr>
            <w:r>
              <w:rPr>
                <w:rFonts w:eastAsia="仿宋_GB2312"/>
                <w:color w:val="000000"/>
                <w:szCs w:val="21"/>
              </w:rPr>
              <w:t>地理信息系统</w:t>
            </w:r>
          </w:p>
        </w:tc>
        <w:tc>
          <w:tcPr>
            <w:tcW w:w="2782" w:type="dxa"/>
            <w:gridSpan w:val="2"/>
            <w:noWrap w:val="0"/>
            <w:vAlign w:val="center"/>
          </w:tcPr>
          <w:p>
            <w:pPr>
              <w:pStyle w:val="46"/>
              <w:jc w:val="center"/>
              <w:rPr>
                <w:rFonts w:eastAsia="仿宋_GB2312"/>
                <w:color w:val="000000"/>
                <w:szCs w:val="21"/>
              </w:rPr>
            </w:pPr>
            <w:r>
              <w:rPr>
                <w:rFonts w:eastAsia="仿宋_GB2312"/>
                <w:color w:val="000000"/>
                <w:szCs w:val="21"/>
              </w:rPr>
              <w:t>昆明麦普空间科技有限公司</w:t>
            </w:r>
          </w:p>
        </w:tc>
        <w:tc>
          <w:tcPr>
            <w:tcW w:w="985" w:type="dxa"/>
            <w:noWrap w:val="0"/>
            <w:vAlign w:val="center"/>
          </w:tcPr>
          <w:p>
            <w:pPr>
              <w:spacing w:line="240" w:lineRule="auto"/>
              <w:ind w:firstLine="0" w:firstLineChars="0"/>
              <w:jc w:val="center"/>
              <w:rPr>
                <w:color w:val="000000"/>
                <w:sz w:val="21"/>
                <w:szCs w:val="21"/>
                <w:highlight w:val="yellow"/>
              </w:rPr>
            </w:pPr>
            <w:r>
              <w:rPr>
                <w:rFonts w:hint="eastAsia" w:ascii="书体坊兰亭体" w:hAnsi="书体坊兰亭体" w:eastAsia="书体坊兰亭体" w:cs="书体坊兰亭体"/>
                <w:color w:val="000000"/>
                <w:szCs w:val="21"/>
              </w:rPr>
              <w:t>李文生</w:t>
            </w:r>
          </w:p>
        </w:tc>
      </w:tr>
    </w:tbl>
    <w:p>
      <w:pPr>
        <w:ind w:firstLine="482"/>
        <w:jc w:val="center"/>
        <w:rPr>
          <w:b/>
          <w:color w:val="000000"/>
        </w:rPr>
      </w:pPr>
      <w:r>
        <w:rPr>
          <w:rFonts w:hint="eastAsia"/>
          <w:b/>
          <w:color w:val="000000"/>
          <w:highlight w:val="yellow"/>
        </w:rPr>
        <w:br w:type="page"/>
      </w:r>
      <w:r>
        <w:rPr>
          <w:rFonts w:hint="eastAsia"/>
          <w:b/>
          <w:color w:val="000000"/>
        </w:rPr>
        <w:t>续表1</w:t>
      </w:r>
      <w:r>
        <w:rPr>
          <w:b/>
          <w:color w:val="000000"/>
        </w:rPr>
        <w:t>土地复垦方案报告表</w:t>
      </w:r>
    </w:p>
    <w:tbl>
      <w:tblPr>
        <w:tblStyle w:val="25"/>
        <w:tblW w:w="854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1570"/>
        <w:gridCol w:w="2181"/>
        <w:gridCol w:w="1072"/>
        <w:gridCol w:w="139"/>
        <w:gridCol w:w="969"/>
        <w:gridCol w:w="451"/>
        <w:gridCol w:w="476"/>
        <w:gridCol w:w="10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restart"/>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复</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垦</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区</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土</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地</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利</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用</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现</w:t>
            </w:r>
          </w:p>
          <w:p>
            <w:pPr>
              <w:widowControl/>
              <w:spacing w:line="240" w:lineRule="auto"/>
              <w:ind w:firstLine="0" w:firstLineChars="0"/>
              <w:jc w:val="center"/>
              <w:textAlignment w:val="center"/>
              <w:rPr>
                <w:color w:val="000000"/>
                <w:sz w:val="21"/>
                <w:szCs w:val="21"/>
              </w:rPr>
            </w:pPr>
            <w:r>
              <w:rPr>
                <w:color w:val="000000"/>
                <w:kern w:val="0"/>
                <w:sz w:val="21"/>
                <w:szCs w:val="21"/>
                <w:lang w:bidi="ar"/>
              </w:rPr>
              <w:t>状</w:t>
            </w:r>
          </w:p>
        </w:tc>
        <w:tc>
          <w:tcPr>
            <w:tcW w:w="3751"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土地类型</w:t>
            </w:r>
          </w:p>
        </w:tc>
        <w:tc>
          <w:tcPr>
            <w:tcW w:w="4111" w:type="dxa"/>
            <w:gridSpan w:val="6"/>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一级地类</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二级地类</w:t>
            </w:r>
          </w:p>
        </w:tc>
        <w:tc>
          <w:tcPr>
            <w:tcW w:w="1211"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96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已损毁</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拟损毁</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占用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耕地（01）</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水田（0101）</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0.0466</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旱地（0103）</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44.9360</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44.9360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小计</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44.9826</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44.9826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种植园用地（02）</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果园（0201）</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0.0831</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0.0831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其他园地（0204）</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0.8364</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小计</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0.9195</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0.9195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乔木林地（0301）</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18.9885</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18.9885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textAlignment w:val="center"/>
              <w:rPr>
                <w:color w:val="000000"/>
                <w:kern w:val="0"/>
                <w:sz w:val="21"/>
                <w:szCs w:val="21"/>
                <w:lang w:bidi="ar"/>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竹林地（0302）</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0.1301</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0.1301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99.1012</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94.9306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其他林地（0307）</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0.5844</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0.5844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小计</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114.6336</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114.6336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草地（04）</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其他草地（0404）</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0.7071</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0.7071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工矿用地（06）</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采矿用地（0602）</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0.6963</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0.6963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noWrap w:val="0"/>
            <w:vAlign w:val="center"/>
          </w:tcPr>
          <w:p>
            <w:pPr>
              <w:widowControl/>
              <w:spacing w:line="240" w:lineRule="auto"/>
              <w:ind w:firstLine="0" w:firstLineChars="0"/>
              <w:jc w:val="center"/>
              <w:rPr>
                <w:color w:val="000000"/>
                <w:sz w:val="21"/>
                <w:szCs w:val="21"/>
              </w:rPr>
            </w:pPr>
            <w:r>
              <w:rPr>
                <w:color w:val="000000"/>
                <w:kern w:val="0"/>
                <w:sz w:val="21"/>
                <w:szCs w:val="21"/>
                <w:lang w:bidi="ar"/>
              </w:rPr>
              <w:t>住宅用地（07）</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农村宅基地（0702）</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0.7980</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3751"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特殊用地（09）</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0.1933</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交通运输用地（10）</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公路用地（1003）</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4.8076</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4.8076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农村道路（1006）</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1.4932</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小计</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6.3008</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6.3008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noWrap w:val="0"/>
            <w:vAlign w:val="center"/>
          </w:tcPr>
          <w:p>
            <w:pPr>
              <w:widowControl/>
              <w:spacing w:line="240" w:lineRule="auto"/>
              <w:ind w:firstLine="0" w:firstLineChars="0"/>
              <w:jc w:val="center"/>
              <w:rPr>
                <w:color w:val="000000"/>
                <w:sz w:val="21"/>
                <w:szCs w:val="21"/>
              </w:rPr>
            </w:pPr>
            <w:r>
              <w:rPr>
                <w:color w:val="000000"/>
                <w:kern w:val="0"/>
                <w:sz w:val="21"/>
                <w:szCs w:val="21"/>
                <w:lang w:bidi="ar"/>
              </w:rPr>
              <w:t>水域及水利设施用地（11）</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沟渠（1107）</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0.2556</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0.2556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restart"/>
            <w:noWrap w:val="0"/>
            <w:vAlign w:val="center"/>
          </w:tcPr>
          <w:p>
            <w:pPr>
              <w:widowControl/>
              <w:spacing w:line="240" w:lineRule="auto"/>
              <w:ind w:firstLine="0" w:firstLineChars="0"/>
              <w:jc w:val="center"/>
              <w:rPr>
                <w:color w:val="000000"/>
                <w:sz w:val="21"/>
                <w:szCs w:val="21"/>
              </w:rPr>
            </w:pPr>
            <w:r>
              <w:rPr>
                <w:color w:val="000000"/>
                <w:kern w:val="0"/>
                <w:sz w:val="21"/>
                <w:szCs w:val="21"/>
                <w:lang w:bidi="ar"/>
              </w:rPr>
              <w:t>其他土地（12）</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田坎（1203）</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11.0765</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11.0765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裸土地（1206）</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1.2695</w:t>
            </w:r>
          </w:p>
        </w:tc>
        <w:tc>
          <w:tcPr>
            <w:tcW w:w="9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裸岩石砾地（1207）</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0.2972</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0.2972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0"/>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小计</w:t>
            </w:r>
          </w:p>
        </w:tc>
        <w:tc>
          <w:tcPr>
            <w:tcW w:w="12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12.6432</w:t>
            </w:r>
          </w:p>
        </w:tc>
        <w:tc>
          <w:tcPr>
            <w:tcW w:w="96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w:t>
            </w:r>
          </w:p>
        </w:tc>
        <w:tc>
          <w:tcPr>
            <w:tcW w:w="100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12.6432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3751"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2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186.3006</w:t>
            </w:r>
          </w:p>
        </w:tc>
        <w:tc>
          <w:tcPr>
            <w:tcW w:w="96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27"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0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182.1300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复垦责任范围内土地损毁及占用面积</w:t>
            </w:r>
          </w:p>
        </w:tc>
        <w:tc>
          <w:tcPr>
            <w:tcW w:w="3751" w:type="dxa"/>
            <w:gridSpan w:val="2"/>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方式</w:t>
            </w:r>
          </w:p>
        </w:tc>
        <w:tc>
          <w:tcPr>
            <w:tcW w:w="4111" w:type="dxa"/>
            <w:gridSpan w:val="6"/>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3751" w:type="dxa"/>
            <w:gridSpan w:val="2"/>
            <w:vMerge w:val="continue"/>
            <w:noWrap w:val="0"/>
            <w:vAlign w:val="center"/>
          </w:tcPr>
          <w:p>
            <w:pPr>
              <w:widowControl/>
              <w:spacing w:line="240" w:lineRule="auto"/>
              <w:ind w:firstLine="0" w:firstLineChars="0"/>
              <w:jc w:val="center"/>
              <w:rPr>
                <w:color w:val="000000"/>
                <w:sz w:val="21"/>
                <w:szCs w:val="21"/>
              </w:rPr>
            </w:pP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已损毁或占用</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拟损毁或占用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损毁</w:t>
            </w: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塌陷</w:t>
            </w: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ign w:val="center"/>
          </w:tcPr>
          <w:p>
            <w:pPr>
              <w:widowControl/>
              <w:spacing w:line="240" w:lineRule="auto"/>
              <w:ind w:firstLine="0" w:firstLineChars="0"/>
              <w:jc w:val="center"/>
              <w:rPr>
                <w:color w:val="000000"/>
                <w:sz w:val="21"/>
                <w:szCs w:val="21"/>
              </w:rPr>
            </w:pPr>
          </w:p>
        </w:tc>
        <w:tc>
          <w:tcPr>
            <w:tcW w:w="218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挖损</w:t>
            </w: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1570" w:type="dxa"/>
            <w:vMerge w:val="continue"/>
            <w:noWrap/>
            <w:vAlign w:val="center"/>
          </w:tcPr>
          <w:p>
            <w:pPr>
              <w:widowControl/>
              <w:spacing w:line="240" w:lineRule="auto"/>
              <w:ind w:firstLine="0" w:firstLineChars="0"/>
              <w:jc w:val="center"/>
              <w:rPr>
                <w:color w:val="000000"/>
                <w:sz w:val="21"/>
                <w:szCs w:val="21"/>
              </w:rPr>
            </w:pPr>
          </w:p>
        </w:tc>
        <w:tc>
          <w:tcPr>
            <w:tcW w:w="218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375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占用</w:t>
            </w: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sz w:val="21"/>
                <w:szCs w:val="21"/>
              </w:rPr>
              <w:t>0</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widowControl/>
              <w:spacing w:line="240" w:lineRule="auto"/>
              <w:ind w:firstLine="0" w:firstLineChars="0"/>
              <w:jc w:val="center"/>
              <w:rPr>
                <w:color w:val="000000"/>
                <w:sz w:val="21"/>
                <w:szCs w:val="21"/>
              </w:rPr>
            </w:pPr>
          </w:p>
        </w:tc>
        <w:tc>
          <w:tcPr>
            <w:tcW w:w="375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07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559"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r>
    </w:tbl>
    <w:p>
      <w:pPr>
        <w:ind w:firstLine="0" w:firstLineChars="0"/>
        <w:jc w:val="center"/>
        <w:rPr>
          <w:b/>
        </w:rPr>
      </w:pPr>
      <w:r>
        <w:rPr>
          <w:b/>
          <w:highlight w:val="yellow"/>
        </w:rPr>
        <w:br w:type="page"/>
      </w:r>
      <w:r>
        <w:rPr>
          <w:b/>
        </w:rPr>
        <w:t>续表2土地复垦方案报告表</w:t>
      </w:r>
    </w:p>
    <w:tbl>
      <w:tblPr>
        <w:tblStyle w:val="2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02"/>
        <w:gridCol w:w="1488"/>
        <w:gridCol w:w="1851"/>
        <w:gridCol w:w="433"/>
        <w:gridCol w:w="1476"/>
        <w:gridCol w:w="2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28" w:type="dxa"/>
            <w:vMerge w:val="restart"/>
            <w:noWrap w:val="0"/>
            <w:textDirection w:val="tbRlV"/>
            <w:vAlign w:val="center"/>
          </w:tcPr>
          <w:p>
            <w:pPr>
              <w:widowControl/>
              <w:spacing w:line="240" w:lineRule="auto"/>
              <w:ind w:firstLine="0" w:firstLineChars="0"/>
              <w:jc w:val="center"/>
              <w:rPr>
                <w:color w:val="000000"/>
                <w:kern w:val="0"/>
                <w:sz w:val="21"/>
                <w:szCs w:val="21"/>
              </w:rPr>
            </w:pPr>
            <w:r>
              <w:rPr>
                <w:color w:val="000000"/>
                <w:kern w:val="0"/>
                <w:sz w:val="21"/>
                <w:szCs w:val="21"/>
              </w:rPr>
              <w:t>复垦土地面积</w:t>
            </w:r>
          </w:p>
        </w:tc>
        <w:tc>
          <w:tcPr>
            <w:tcW w:w="2090" w:type="dxa"/>
            <w:gridSpan w:val="2"/>
            <w:vMerge w:val="restart"/>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一级地类</w:t>
            </w:r>
          </w:p>
        </w:tc>
        <w:tc>
          <w:tcPr>
            <w:tcW w:w="1851" w:type="dxa"/>
            <w:vMerge w:val="restart"/>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二级地类</w:t>
            </w:r>
          </w:p>
        </w:tc>
        <w:tc>
          <w:tcPr>
            <w:tcW w:w="4053" w:type="dxa"/>
            <w:gridSpan w:val="3"/>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面积（hm²）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28" w:type="dxa"/>
            <w:vMerge w:val="continue"/>
            <w:noWrap w:val="0"/>
            <w:vAlign w:val="center"/>
          </w:tcPr>
          <w:p>
            <w:pPr>
              <w:widowControl/>
              <w:spacing w:line="240" w:lineRule="auto"/>
              <w:ind w:firstLine="0" w:firstLineChars="0"/>
              <w:jc w:val="center"/>
              <w:rPr>
                <w:color w:val="000000"/>
                <w:kern w:val="0"/>
                <w:sz w:val="21"/>
                <w:szCs w:val="21"/>
              </w:rPr>
            </w:pPr>
          </w:p>
        </w:tc>
        <w:tc>
          <w:tcPr>
            <w:tcW w:w="2090" w:type="dxa"/>
            <w:gridSpan w:val="2"/>
            <w:vMerge w:val="continue"/>
            <w:noWrap w:val="0"/>
            <w:vAlign w:val="center"/>
          </w:tcPr>
          <w:p>
            <w:pPr>
              <w:widowControl/>
              <w:spacing w:line="240" w:lineRule="auto"/>
              <w:ind w:firstLine="0" w:firstLineChars="0"/>
              <w:jc w:val="center"/>
              <w:rPr>
                <w:color w:val="000000"/>
                <w:kern w:val="0"/>
                <w:sz w:val="21"/>
                <w:szCs w:val="21"/>
              </w:rPr>
            </w:pPr>
          </w:p>
        </w:tc>
        <w:tc>
          <w:tcPr>
            <w:tcW w:w="1851" w:type="dxa"/>
            <w:vMerge w:val="continue"/>
            <w:noWrap w:val="0"/>
            <w:vAlign w:val="center"/>
          </w:tcPr>
          <w:p>
            <w:pPr>
              <w:widowControl/>
              <w:spacing w:line="240" w:lineRule="auto"/>
              <w:ind w:firstLine="0" w:firstLineChars="0"/>
              <w:jc w:val="center"/>
              <w:rPr>
                <w:color w:val="000000"/>
                <w:kern w:val="0"/>
                <w:sz w:val="21"/>
                <w:szCs w:val="21"/>
              </w:rPr>
            </w:pPr>
          </w:p>
        </w:tc>
        <w:tc>
          <w:tcPr>
            <w:tcW w:w="1909"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已复垦</w:t>
            </w:r>
          </w:p>
        </w:tc>
        <w:tc>
          <w:tcPr>
            <w:tcW w:w="2144"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拟复垦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28" w:type="dxa"/>
            <w:vMerge w:val="continue"/>
            <w:noWrap w:val="0"/>
            <w:vAlign w:val="center"/>
          </w:tcPr>
          <w:p>
            <w:pPr>
              <w:widowControl/>
              <w:spacing w:line="240" w:lineRule="auto"/>
              <w:ind w:firstLine="0" w:firstLineChars="0"/>
              <w:jc w:val="center"/>
              <w:rPr>
                <w:color w:val="000000"/>
                <w:kern w:val="0"/>
                <w:sz w:val="21"/>
                <w:szCs w:val="21"/>
              </w:rPr>
            </w:pPr>
          </w:p>
        </w:tc>
        <w:tc>
          <w:tcPr>
            <w:tcW w:w="2090" w:type="dxa"/>
            <w:gridSpan w:val="2"/>
            <w:noWrap w:val="0"/>
            <w:vAlign w:val="center"/>
          </w:tcPr>
          <w:p>
            <w:pPr>
              <w:widowControl/>
              <w:spacing w:line="240" w:lineRule="auto"/>
              <w:ind w:firstLine="0" w:firstLineChars="0"/>
              <w:jc w:val="center"/>
              <w:rPr>
                <w:rFonts w:hint="eastAsia"/>
                <w:color w:val="000000"/>
                <w:sz w:val="21"/>
                <w:szCs w:val="21"/>
              </w:rPr>
            </w:pPr>
            <w:r>
              <w:rPr>
                <w:rFonts w:hint="eastAsia"/>
                <w:color w:val="000000"/>
                <w:sz w:val="21"/>
                <w:szCs w:val="21"/>
              </w:rPr>
              <w:t>林地（03）</w:t>
            </w:r>
          </w:p>
        </w:tc>
        <w:tc>
          <w:tcPr>
            <w:tcW w:w="1851" w:type="dxa"/>
            <w:noWrap w:val="0"/>
            <w:vAlign w:val="center"/>
          </w:tcPr>
          <w:p>
            <w:pPr>
              <w:widowControl/>
              <w:spacing w:line="240" w:lineRule="auto"/>
              <w:ind w:firstLine="0" w:firstLineChars="0"/>
              <w:jc w:val="center"/>
              <w:rPr>
                <w:color w:val="000000"/>
                <w:kern w:val="0"/>
                <w:sz w:val="21"/>
                <w:szCs w:val="21"/>
                <w:lang w:bidi="ar"/>
              </w:rPr>
            </w:pPr>
            <w:r>
              <w:rPr>
                <w:rFonts w:hint="eastAsia"/>
                <w:color w:val="000000"/>
                <w:kern w:val="0"/>
                <w:sz w:val="21"/>
                <w:szCs w:val="21"/>
                <w:lang w:bidi="ar"/>
              </w:rPr>
              <w:t>乔木林地（0301）</w:t>
            </w:r>
          </w:p>
        </w:tc>
        <w:tc>
          <w:tcPr>
            <w:tcW w:w="1909"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c>
          <w:tcPr>
            <w:tcW w:w="2144" w:type="dxa"/>
            <w:noWrap w:val="0"/>
            <w:vAlign w:val="center"/>
          </w:tcPr>
          <w:p>
            <w:pPr>
              <w:widowControl/>
              <w:spacing w:line="240" w:lineRule="auto"/>
              <w:ind w:firstLine="0" w:firstLineChars="0"/>
              <w:jc w:val="center"/>
              <w:textAlignment w:val="center"/>
            </w:pPr>
            <w:r>
              <w:rPr>
                <w:rFonts w:hint="eastAsia"/>
                <w:sz w:val="21"/>
                <w:szCs w:val="21"/>
              </w:rPr>
              <w:t>4.1706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28" w:type="dxa"/>
            <w:vMerge w:val="continue"/>
            <w:noWrap w:val="0"/>
            <w:vAlign w:val="center"/>
          </w:tcPr>
          <w:p>
            <w:pPr>
              <w:widowControl/>
              <w:spacing w:line="240" w:lineRule="auto"/>
              <w:ind w:firstLine="0" w:firstLineChars="0"/>
              <w:jc w:val="center"/>
              <w:rPr>
                <w:color w:val="000000"/>
                <w:kern w:val="0"/>
                <w:sz w:val="21"/>
                <w:szCs w:val="21"/>
                <w:highlight w:val="yellow"/>
              </w:rPr>
            </w:pPr>
          </w:p>
        </w:tc>
        <w:tc>
          <w:tcPr>
            <w:tcW w:w="3941" w:type="dxa"/>
            <w:gridSpan w:val="3"/>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合计</w:t>
            </w:r>
          </w:p>
        </w:tc>
        <w:tc>
          <w:tcPr>
            <w:tcW w:w="1909"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c>
          <w:tcPr>
            <w:tcW w:w="2144" w:type="dxa"/>
            <w:noWrap w:val="0"/>
            <w:vAlign w:val="center"/>
          </w:tcPr>
          <w:p>
            <w:pPr>
              <w:widowControl/>
              <w:ind w:firstLine="0" w:firstLineChars="0"/>
              <w:jc w:val="center"/>
              <w:textAlignment w:val="bottom"/>
              <w:rPr>
                <w:color w:val="000000"/>
                <w:sz w:val="21"/>
                <w:szCs w:val="21"/>
              </w:rPr>
            </w:pPr>
            <w:r>
              <w:rPr>
                <w:rFonts w:hint="eastAsia"/>
                <w:color w:val="000000"/>
                <w:kern w:val="0"/>
                <w:sz w:val="21"/>
                <w:szCs w:val="21"/>
                <w:lang w:bidi="ar"/>
              </w:rPr>
              <w:t>4.1706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28" w:type="dxa"/>
            <w:vMerge w:val="continue"/>
            <w:noWrap w:val="0"/>
            <w:vAlign w:val="center"/>
          </w:tcPr>
          <w:p>
            <w:pPr>
              <w:widowControl/>
              <w:spacing w:line="240" w:lineRule="auto"/>
              <w:ind w:firstLine="0" w:firstLineChars="0"/>
              <w:jc w:val="center"/>
              <w:rPr>
                <w:color w:val="000000"/>
                <w:kern w:val="0"/>
                <w:sz w:val="21"/>
                <w:szCs w:val="21"/>
                <w:highlight w:val="yellow"/>
              </w:rPr>
            </w:pPr>
          </w:p>
        </w:tc>
        <w:tc>
          <w:tcPr>
            <w:tcW w:w="5850" w:type="dxa"/>
            <w:gridSpan w:val="5"/>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复垦率</w:t>
            </w:r>
          </w:p>
        </w:tc>
        <w:tc>
          <w:tcPr>
            <w:tcW w:w="2144" w:type="dxa"/>
            <w:noWrap w:val="0"/>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100</w:t>
            </w:r>
            <w:r>
              <w:rPr>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28" w:type="dxa"/>
            <w:tcBorders>
              <w:bottom w:val="single" w:color="auto" w:sz="12" w:space="0"/>
            </w:tcBorders>
            <w:noWrap w:val="0"/>
            <w:vAlign w:val="center"/>
          </w:tcPr>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r>
              <w:rPr>
                <w:sz w:val="21"/>
                <w:szCs w:val="21"/>
              </w:rPr>
              <w:t>工作计</w:t>
            </w:r>
          </w:p>
          <w:p>
            <w:pPr>
              <w:ind w:firstLine="0" w:firstLineChars="0"/>
              <w:jc w:val="center"/>
              <w:rPr>
                <w:sz w:val="21"/>
                <w:szCs w:val="21"/>
              </w:rPr>
            </w:pPr>
            <w:r>
              <w:rPr>
                <w:sz w:val="21"/>
                <w:szCs w:val="21"/>
              </w:rPr>
              <w:t>划</w:t>
            </w:r>
          </w:p>
          <w:p>
            <w:pPr>
              <w:ind w:firstLine="0" w:firstLineChars="0"/>
              <w:jc w:val="center"/>
              <w:rPr>
                <w:sz w:val="21"/>
                <w:szCs w:val="21"/>
              </w:rPr>
            </w:pPr>
            <w:r>
              <w:rPr>
                <w:sz w:val="21"/>
                <w:szCs w:val="21"/>
              </w:rPr>
              <w:t>及</w:t>
            </w:r>
          </w:p>
          <w:p>
            <w:pPr>
              <w:ind w:firstLine="0" w:firstLineChars="0"/>
              <w:jc w:val="center"/>
              <w:rPr>
                <w:sz w:val="21"/>
                <w:szCs w:val="21"/>
              </w:rPr>
            </w:pPr>
            <w:r>
              <w:rPr>
                <w:sz w:val="21"/>
                <w:szCs w:val="21"/>
              </w:rPr>
              <w:t>保</w:t>
            </w:r>
          </w:p>
          <w:p>
            <w:pPr>
              <w:ind w:firstLine="0" w:firstLineChars="0"/>
              <w:jc w:val="center"/>
              <w:rPr>
                <w:sz w:val="21"/>
                <w:szCs w:val="21"/>
              </w:rPr>
            </w:pPr>
            <w:r>
              <w:rPr>
                <w:sz w:val="21"/>
                <w:szCs w:val="21"/>
              </w:rPr>
              <w:t>障</w:t>
            </w:r>
          </w:p>
          <w:p>
            <w:pPr>
              <w:ind w:firstLine="0" w:firstLineChars="0"/>
              <w:jc w:val="center"/>
              <w:rPr>
                <w:sz w:val="21"/>
                <w:szCs w:val="21"/>
              </w:rPr>
            </w:pPr>
            <w:r>
              <w:rPr>
                <w:sz w:val="21"/>
                <w:szCs w:val="21"/>
              </w:rPr>
              <w:t>措</w:t>
            </w:r>
          </w:p>
          <w:p>
            <w:pPr>
              <w:ind w:firstLine="0" w:firstLineChars="0"/>
              <w:jc w:val="center"/>
              <w:rPr>
                <w:sz w:val="21"/>
                <w:szCs w:val="21"/>
              </w:rPr>
            </w:pPr>
            <w:r>
              <w:rPr>
                <w:sz w:val="21"/>
                <w:szCs w:val="21"/>
              </w:rPr>
              <w:t>施</w:t>
            </w: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r>
              <w:rPr>
                <w:sz w:val="21"/>
                <w:szCs w:val="21"/>
              </w:rPr>
              <w:t>工作计划及保障措施</w:t>
            </w: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r>
              <w:rPr>
                <w:sz w:val="21"/>
                <w:szCs w:val="21"/>
              </w:rPr>
              <w:t>工作计划及保障措施</w:t>
            </w: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r>
              <w:rPr>
                <w:sz w:val="21"/>
                <w:szCs w:val="21"/>
              </w:rPr>
              <w:t>工作计划及保障措施</w:t>
            </w:r>
          </w:p>
          <w:p>
            <w:pPr>
              <w:ind w:firstLine="0" w:firstLineChars="0"/>
              <w:rPr>
                <w:sz w:val="21"/>
                <w:szCs w:val="21"/>
              </w:rPr>
            </w:pPr>
          </w:p>
          <w:p>
            <w:pPr>
              <w:ind w:firstLine="0" w:firstLineChars="0"/>
              <w:rPr>
                <w:sz w:val="21"/>
                <w:szCs w:val="21"/>
              </w:rPr>
            </w:pPr>
          </w:p>
        </w:tc>
        <w:tc>
          <w:tcPr>
            <w:tcW w:w="7994" w:type="dxa"/>
            <w:gridSpan w:val="6"/>
            <w:tcBorders>
              <w:bottom w:val="single" w:color="auto" w:sz="12" w:space="0"/>
            </w:tcBorders>
            <w:noWrap w:val="0"/>
            <w:vAlign w:val="center"/>
          </w:tcPr>
          <w:p>
            <w:pPr>
              <w:ind w:firstLine="420"/>
              <w:rPr>
                <w:sz w:val="21"/>
                <w:szCs w:val="21"/>
              </w:rPr>
            </w:pPr>
            <w:r>
              <w:rPr>
                <w:sz w:val="21"/>
                <w:szCs w:val="21"/>
              </w:rPr>
              <w:t>一、复垦工作计划</w:t>
            </w:r>
          </w:p>
          <w:p>
            <w:pPr>
              <w:ind w:firstLine="420"/>
              <w:rPr>
                <w:sz w:val="21"/>
                <w:szCs w:val="21"/>
              </w:rPr>
            </w:pPr>
            <w:r>
              <w:rPr>
                <w:rFonts w:hint="eastAsia"/>
                <w:color w:val="000000"/>
                <w:sz w:val="21"/>
                <w:szCs w:val="21"/>
              </w:rPr>
              <w:t>西畴至富宁高速公路建设项目</w:t>
            </w:r>
            <w:r>
              <w:rPr>
                <w:sz w:val="21"/>
                <w:szCs w:val="21"/>
              </w:rPr>
              <w:t>拟损毁土地区土地复垦工作结合高速初步设计、水土保持的工程同时开展实施，土地复垦施工周期依据项目的工程建设进度编制。该土地复垦方案服务年限依据项目的工程建设进度编制，项目主体工程建设工期为202</w:t>
            </w:r>
            <w:r>
              <w:rPr>
                <w:rFonts w:hint="eastAsia"/>
                <w:sz w:val="21"/>
                <w:szCs w:val="21"/>
              </w:rPr>
              <w:t>3</w:t>
            </w:r>
            <w:r>
              <w:rPr>
                <w:sz w:val="21"/>
                <w:szCs w:val="21"/>
              </w:rPr>
              <w:t>年</w:t>
            </w:r>
            <w:r>
              <w:rPr>
                <w:rFonts w:hint="eastAsia"/>
                <w:sz w:val="21"/>
                <w:szCs w:val="21"/>
              </w:rPr>
              <w:t>1</w:t>
            </w:r>
            <w:r>
              <w:rPr>
                <w:sz w:val="21"/>
                <w:szCs w:val="21"/>
              </w:rPr>
              <w:t>月</w:t>
            </w:r>
            <w:r>
              <w:rPr>
                <w:rFonts w:hint="eastAsia"/>
                <w:sz w:val="21"/>
                <w:szCs w:val="21"/>
              </w:rPr>
              <w:t>~</w:t>
            </w:r>
            <w:r>
              <w:rPr>
                <w:sz w:val="21"/>
                <w:szCs w:val="21"/>
              </w:rPr>
              <w:t>202</w:t>
            </w:r>
            <w:r>
              <w:rPr>
                <w:rFonts w:hint="eastAsia"/>
                <w:sz w:val="21"/>
                <w:szCs w:val="21"/>
              </w:rPr>
              <w:t>6</w:t>
            </w:r>
            <w:r>
              <w:rPr>
                <w:sz w:val="21"/>
                <w:szCs w:val="21"/>
              </w:rPr>
              <w:t>年</w:t>
            </w:r>
            <w:r>
              <w:rPr>
                <w:rFonts w:hint="eastAsia"/>
                <w:sz w:val="21"/>
                <w:szCs w:val="21"/>
              </w:rPr>
              <w:t>12</w:t>
            </w:r>
            <w:r>
              <w:rPr>
                <w:sz w:val="21"/>
                <w:szCs w:val="21"/>
              </w:rPr>
              <w:t>月，共</w:t>
            </w:r>
            <w:r>
              <w:rPr>
                <w:rFonts w:hint="eastAsia"/>
                <w:sz w:val="21"/>
                <w:szCs w:val="21"/>
              </w:rPr>
              <w:t>4</w:t>
            </w:r>
            <w:r>
              <w:rPr>
                <w:sz w:val="21"/>
                <w:szCs w:val="21"/>
              </w:rPr>
              <w:t>年。本复垦方案的服务年限为2022年</w:t>
            </w:r>
            <w:r>
              <w:rPr>
                <w:rFonts w:hint="eastAsia"/>
                <w:sz w:val="21"/>
                <w:szCs w:val="21"/>
              </w:rPr>
              <w:t>12</w:t>
            </w:r>
            <w:r>
              <w:rPr>
                <w:sz w:val="21"/>
                <w:szCs w:val="21"/>
              </w:rPr>
              <w:t>月</w:t>
            </w:r>
            <w:r>
              <w:rPr>
                <w:rFonts w:hint="eastAsia"/>
                <w:sz w:val="21"/>
                <w:szCs w:val="21"/>
              </w:rPr>
              <w:t>~</w:t>
            </w:r>
            <w:r>
              <w:rPr>
                <w:sz w:val="21"/>
                <w:szCs w:val="21"/>
              </w:rPr>
              <w:t>202</w:t>
            </w:r>
            <w:r>
              <w:rPr>
                <w:rFonts w:hint="eastAsia"/>
                <w:sz w:val="21"/>
                <w:szCs w:val="21"/>
              </w:rPr>
              <w:t>6</w:t>
            </w:r>
            <w:r>
              <w:rPr>
                <w:sz w:val="21"/>
                <w:szCs w:val="21"/>
              </w:rPr>
              <w:t>年</w:t>
            </w:r>
            <w:r>
              <w:rPr>
                <w:rFonts w:hint="eastAsia"/>
                <w:sz w:val="21"/>
                <w:szCs w:val="21"/>
              </w:rPr>
              <w:t>11</w:t>
            </w:r>
            <w:r>
              <w:rPr>
                <w:sz w:val="21"/>
                <w:szCs w:val="21"/>
              </w:rPr>
              <w:t>月，共</w:t>
            </w:r>
            <w:r>
              <w:rPr>
                <w:rFonts w:hint="eastAsia"/>
                <w:sz w:val="21"/>
                <w:szCs w:val="21"/>
              </w:rPr>
              <w:t>4</w:t>
            </w:r>
            <w:r>
              <w:rPr>
                <w:sz w:val="21"/>
                <w:szCs w:val="21"/>
              </w:rPr>
              <w:t>年，土地复垦进度及费用具体安排如下：</w:t>
            </w:r>
          </w:p>
          <w:p>
            <w:pPr>
              <w:ind w:firstLine="420"/>
              <w:rPr>
                <w:sz w:val="21"/>
                <w:szCs w:val="21"/>
              </w:rPr>
            </w:pPr>
            <w:r>
              <w:rPr>
                <w:sz w:val="21"/>
                <w:szCs w:val="21"/>
              </w:rPr>
              <w:t>a）第一阶段（2022年</w:t>
            </w:r>
            <w:r>
              <w:rPr>
                <w:rFonts w:hint="eastAsia"/>
                <w:sz w:val="21"/>
                <w:szCs w:val="21"/>
              </w:rPr>
              <w:t>12~</w:t>
            </w:r>
            <w:r>
              <w:rPr>
                <w:sz w:val="21"/>
                <w:szCs w:val="21"/>
              </w:rPr>
              <w:t>202</w:t>
            </w:r>
            <w:r>
              <w:rPr>
                <w:rFonts w:hint="eastAsia"/>
                <w:sz w:val="21"/>
                <w:szCs w:val="21"/>
              </w:rPr>
              <w:t>6</w:t>
            </w:r>
            <w:r>
              <w:rPr>
                <w:sz w:val="21"/>
                <w:szCs w:val="21"/>
              </w:rPr>
              <w:t>年</w:t>
            </w:r>
            <w:r>
              <w:rPr>
                <w:rFonts w:hint="eastAsia"/>
                <w:sz w:val="21"/>
                <w:szCs w:val="21"/>
              </w:rPr>
              <w:t>6</w:t>
            </w:r>
            <w:r>
              <w:rPr>
                <w:sz w:val="21"/>
                <w:szCs w:val="21"/>
              </w:rPr>
              <w:t>月）</w:t>
            </w:r>
          </w:p>
          <w:p>
            <w:pPr>
              <w:ind w:firstLine="420"/>
              <w:rPr>
                <w:sz w:val="21"/>
                <w:szCs w:val="21"/>
              </w:rPr>
            </w:pPr>
            <w:r>
              <w:rPr>
                <w:sz w:val="21"/>
                <w:szCs w:val="21"/>
              </w:rPr>
              <w:t>为临时用地使用期，该阶段土地复垦工作是缴纳土地复垦金</w:t>
            </w:r>
            <w:r>
              <w:rPr>
                <w:rFonts w:hint="eastAsia"/>
                <w:sz w:val="21"/>
                <w:szCs w:val="21"/>
              </w:rPr>
              <w:t>210.0265</w:t>
            </w:r>
            <w:r>
              <w:rPr>
                <w:sz w:val="21"/>
                <w:szCs w:val="21"/>
              </w:rPr>
              <w:t>万元。计划静态投资</w:t>
            </w:r>
            <w:r>
              <w:rPr>
                <w:rFonts w:hint="eastAsia"/>
                <w:sz w:val="21"/>
                <w:szCs w:val="21"/>
              </w:rPr>
              <w:t>12.5730</w:t>
            </w:r>
            <w:r>
              <w:rPr>
                <w:sz w:val="21"/>
                <w:szCs w:val="21"/>
              </w:rPr>
              <w:t>万元，动态投资</w:t>
            </w:r>
            <w:r>
              <w:rPr>
                <w:rFonts w:hint="eastAsia"/>
                <w:sz w:val="21"/>
                <w:szCs w:val="21"/>
              </w:rPr>
              <w:t>14.0809</w:t>
            </w:r>
            <w:r>
              <w:rPr>
                <w:sz w:val="21"/>
                <w:szCs w:val="21"/>
              </w:rPr>
              <w:t>万元；</w:t>
            </w:r>
          </w:p>
          <w:p>
            <w:pPr>
              <w:ind w:firstLine="420"/>
              <w:rPr>
                <w:sz w:val="21"/>
                <w:szCs w:val="21"/>
              </w:rPr>
            </w:pPr>
            <w:r>
              <w:rPr>
                <w:sz w:val="21"/>
                <w:szCs w:val="21"/>
              </w:rPr>
              <w:t>b）第二阶段（202</w:t>
            </w:r>
            <w:r>
              <w:rPr>
                <w:rFonts w:hint="eastAsia"/>
                <w:sz w:val="21"/>
                <w:szCs w:val="21"/>
              </w:rPr>
              <w:t>6</w:t>
            </w:r>
            <w:r>
              <w:rPr>
                <w:sz w:val="21"/>
                <w:szCs w:val="21"/>
              </w:rPr>
              <w:t>年</w:t>
            </w:r>
            <w:r>
              <w:rPr>
                <w:rFonts w:hint="eastAsia"/>
                <w:sz w:val="21"/>
                <w:szCs w:val="21"/>
              </w:rPr>
              <w:t>7</w:t>
            </w:r>
            <w:r>
              <w:rPr>
                <w:sz w:val="21"/>
                <w:szCs w:val="21"/>
              </w:rPr>
              <w:t>月）</w:t>
            </w:r>
          </w:p>
          <w:p>
            <w:pPr>
              <w:ind w:firstLine="420"/>
              <w:rPr>
                <w:sz w:val="21"/>
                <w:szCs w:val="21"/>
              </w:rPr>
            </w:pPr>
            <w:r>
              <w:rPr>
                <w:sz w:val="21"/>
                <w:szCs w:val="21"/>
              </w:rPr>
              <w:t>该阶段为土地复垦施工工作做前期准备，该阶段土地复垦工作内容是前期的资料收集与整理、调动人员与机械。计划静态投资</w:t>
            </w:r>
            <w:r>
              <w:rPr>
                <w:rFonts w:hint="eastAsia"/>
                <w:sz w:val="21"/>
                <w:szCs w:val="21"/>
              </w:rPr>
              <w:t>14.4207</w:t>
            </w:r>
            <w:r>
              <w:rPr>
                <w:sz w:val="21"/>
                <w:szCs w:val="21"/>
              </w:rPr>
              <w:t>万元，动态投资</w:t>
            </w:r>
            <w:r>
              <w:rPr>
                <w:rFonts w:hint="eastAsia"/>
                <w:sz w:val="21"/>
                <w:szCs w:val="21"/>
              </w:rPr>
              <w:t>23.2224</w:t>
            </w:r>
            <w:r>
              <w:rPr>
                <w:sz w:val="21"/>
                <w:szCs w:val="21"/>
              </w:rPr>
              <w:t>万元；</w:t>
            </w:r>
          </w:p>
          <w:p>
            <w:pPr>
              <w:ind w:firstLine="420"/>
              <w:rPr>
                <w:sz w:val="21"/>
                <w:szCs w:val="21"/>
              </w:rPr>
            </w:pPr>
            <w:r>
              <w:rPr>
                <w:sz w:val="21"/>
                <w:szCs w:val="21"/>
              </w:rPr>
              <w:t>c）第三阶段（202</w:t>
            </w:r>
            <w:r>
              <w:rPr>
                <w:rFonts w:hint="eastAsia"/>
                <w:sz w:val="21"/>
                <w:szCs w:val="21"/>
              </w:rPr>
              <w:t>6</w:t>
            </w:r>
            <w:r>
              <w:rPr>
                <w:sz w:val="21"/>
                <w:szCs w:val="21"/>
              </w:rPr>
              <w:t>年</w:t>
            </w:r>
            <w:r>
              <w:rPr>
                <w:rFonts w:hint="eastAsia"/>
                <w:sz w:val="21"/>
                <w:szCs w:val="21"/>
              </w:rPr>
              <w:t>8</w:t>
            </w:r>
            <w:r>
              <w:rPr>
                <w:sz w:val="21"/>
                <w:szCs w:val="21"/>
              </w:rPr>
              <w:t>月</w:t>
            </w:r>
            <w:r>
              <w:rPr>
                <w:rFonts w:hint="eastAsia"/>
                <w:sz w:val="21"/>
                <w:szCs w:val="21"/>
              </w:rPr>
              <w:t>~</w:t>
            </w:r>
            <w:r>
              <w:rPr>
                <w:sz w:val="21"/>
                <w:szCs w:val="21"/>
              </w:rPr>
              <w:t>202</w:t>
            </w:r>
            <w:r>
              <w:rPr>
                <w:rFonts w:hint="eastAsia"/>
                <w:sz w:val="21"/>
                <w:szCs w:val="21"/>
              </w:rPr>
              <w:t>6</w:t>
            </w:r>
            <w:r>
              <w:rPr>
                <w:sz w:val="21"/>
                <w:szCs w:val="21"/>
              </w:rPr>
              <w:t>年</w:t>
            </w:r>
            <w:r>
              <w:rPr>
                <w:rFonts w:hint="eastAsia"/>
                <w:sz w:val="21"/>
                <w:szCs w:val="21"/>
              </w:rPr>
              <w:t>9</w:t>
            </w:r>
            <w:r>
              <w:rPr>
                <w:sz w:val="21"/>
                <w:szCs w:val="21"/>
              </w:rPr>
              <w:t>月）</w:t>
            </w:r>
          </w:p>
          <w:p>
            <w:pPr>
              <w:ind w:firstLine="420"/>
              <w:rPr>
                <w:sz w:val="21"/>
                <w:szCs w:val="21"/>
                <w:highlight w:val="yellow"/>
              </w:rPr>
            </w:pPr>
            <w:r>
              <w:rPr>
                <w:sz w:val="21"/>
                <w:szCs w:val="21"/>
              </w:rPr>
              <w:t>土地复垦工作进入施工阶段，工作内容为土壤重构工程和植被重建工程同时进行，硬化地面拆除</w:t>
            </w:r>
            <w:r>
              <w:rPr>
                <w:rFonts w:hint="eastAsia"/>
                <w:sz w:val="21"/>
                <w:szCs w:val="21"/>
              </w:rPr>
              <w:t>4492.80</w:t>
            </w:r>
            <w:r>
              <w:rPr>
                <w:sz w:val="21"/>
                <w:szCs w:val="21"/>
              </w:rPr>
              <w:t>m</w:t>
            </w:r>
            <w:r>
              <w:rPr>
                <w:sz w:val="21"/>
                <w:szCs w:val="21"/>
                <w:vertAlign w:val="superscript"/>
              </w:rPr>
              <w:t>3</w:t>
            </w:r>
            <w:r>
              <w:rPr>
                <w:sz w:val="21"/>
                <w:szCs w:val="21"/>
              </w:rPr>
              <w:t>，弃渣清运</w:t>
            </w:r>
            <w:r>
              <w:rPr>
                <w:rFonts w:hint="eastAsia"/>
                <w:sz w:val="21"/>
                <w:szCs w:val="21"/>
              </w:rPr>
              <w:t>4492.80</w:t>
            </w:r>
            <w:r>
              <w:rPr>
                <w:sz w:val="21"/>
                <w:szCs w:val="21"/>
              </w:rPr>
              <w:t>m³，运距</w:t>
            </w:r>
            <w:r>
              <w:rPr>
                <w:rFonts w:hint="eastAsia"/>
                <w:sz w:val="21"/>
                <w:szCs w:val="21"/>
              </w:rPr>
              <w:t>0~0.5</w:t>
            </w:r>
            <w:r>
              <w:rPr>
                <w:sz w:val="21"/>
                <w:szCs w:val="21"/>
              </w:rPr>
              <w:t>km；覆土面积为</w:t>
            </w:r>
            <w:r>
              <w:rPr>
                <w:rFonts w:hint="eastAsia"/>
                <w:sz w:val="21"/>
                <w:szCs w:val="21"/>
              </w:rPr>
              <w:t>4.1706</w:t>
            </w:r>
            <w:r>
              <w:rPr>
                <w:sz w:val="21"/>
                <w:szCs w:val="21"/>
              </w:rPr>
              <w:t>hm²，覆土厚度为</w:t>
            </w:r>
            <w:r>
              <w:rPr>
                <w:rFonts w:hint="eastAsia"/>
                <w:sz w:val="21"/>
                <w:szCs w:val="21"/>
              </w:rPr>
              <w:t>林地40cm</w:t>
            </w:r>
            <w:r>
              <w:rPr>
                <w:sz w:val="21"/>
                <w:szCs w:val="21"/>
              </w:rPr>
              <w:t>，覆土总量</w:t>
            </w:r>
            <w:r>
              <w:rPr>
                <w:rFonts w:hint="eastAsia"/>
                <w:sz w:val="21"/>
                <w:szCs w:val="21"/>
              </w:rPr>
              <w:t>16682.40</w:t>
            </w:r>
            <w:r>
              <w:rPr>
                <w:sz w:val="21"/>
                <w:szCs w:val="21"/>
              </w:rPr>
              <w:t>m³。该阶段结束可复垦出</w:t>
            </w:r>
            <w:r>
              <w:rPr>
                <w:rFonts w:hint="eastAsia"/>
                <w:sz w:val="21"/>
                <w:szCs w:val="21"/>
              </w:rPr>
              <w:t>乔木林地4.1706</w:t>
            </w:r>
            <w:r>
              <w:rPr>
                <w:sz w:val="21"/>
                <w:szCs w:val="21"/>
              </w:rPr>
              <w:t>hm</w:t>
            </w:r>
            <w:r>
              <w:rPr>
                <w:sz w:val="21"/>
                <w:szCs w:val="21"/>
                <w:vertAlign w:val="superscript"/>
              </w:rPr>
              <w:t>2</w:t>
            </w:r>
            <w:r>
              <w:rPr>
                <w:sz w:val="21"/>
                <w:szCs w:val="21"/>
              </w:rPr>
              <w:t>，计划静态投资</w:t>
            </w:r>
            <w:r>
              <w:rPr>
                <w:rFonts w:hint="eastAsia"/>
                <w:sz w:val="21"/>
                <w:szCs w:val="21"/>
              </w:rPr>
              <w:t>125.6173</w:t>
            </w:r>
            <w:r>
              <w:rPr>
                <w:sz w:val="21"/>
                <w:szCs w:val="21"/>
              </w:rPr>
              <w:t>万元，动态投资</w:t>
            </w:r>
            <w:r>
              <w:rPr>
                <w:rFonts w:hint="eastAsia"/>
                <w:sz w:val="21"/>
                <w:szCs w:val="21"/>
              </w:rPr>
              <w:t>143.2207</w:t>
            </w:r>
            <w:r>
              <w:rPr>
                <w:sz w:val="21"/>
                <w:szCs w:val="21"/>
              </w:rPr>
              <w:t>万元；</w:t>
            </w:r>
          </w:p>
          <w:p>
            <w:pPr>
              <w:ind w:firstLine="420"/>
              <w:rPr>
                <w:sz w:val="21"/>
                <w:szCs w:val="21"/>
              </w:rPr>
            </w:pPr>
            <w:r>
              <w:rPr>
                <w:sz w:val="21"/>
                <w:szCs w:val="21"/>
              </w:rPr>
              <w:t>d）第四阶段（202</w:t>
            </w:r>
            <w:r>
              <w:rPr>
                <w:rFonts w:hint="eastAsia"/>
                <w:sz w:val="21"/>
                <w:szCs w:val="21"/>
              </w:rPr>
              <w:t>6</w:t>
            </w:r>
            <w:r>
              <w:rPr>
                <w:sz w:val="21"/>
                <w:szCs w:val="21"/>
              </w:rPr>
              <w:t>年</w:t>
            </w:r>
            <w:r>
              <w:rPr>
                <w:rFonts w:hint="eastAsia"/>
                <w:sz w:val="21"/>
                <w:szCs w:val="21"/>
              </w:rPr>
              <w:t>10</w:t>
            </w:r>
            <w:r>
              <w:rPr>
                <w:sz w:val="21"/>
                <w:szCs w:val="21"/>
              </w:rPr>
              <w:t>月</w:t>
            </w:r>
            <w:r>
              <w:rPr>
                <w:rFonts w:hint="eastAsia"/>
                <w:sz w:val="21"/>
                <w:szCs w:val="21"/>
              </w:rPr>
              <w:t>~</w:t>
            </w:r>
            <w:r>
              <w:rPr>
                <w:sz w:val="21"/>
                <w:szCs w:val="21"/>
              </w:rPr>
              <w:t>202</w:t>
            </w:r>
            <w:r>
              <w:rPr>
                <w:rFonts w:hint="eastAsia"/>
                <w:sz w:val="21"/>
                <w:szCs w:val="21"/>
              </w:rPr>
              <w:t>6</w:t>
            </w:r>
            <w:r>
              <w:rPr>
                <w:sz w:val="21"/>
                <w:szCs w:val="21"/>
              </w:rPr>
              <w:t>年</w:t>
            </w:r>
            <w:r>
              <w:rPr>
                <w:rFonts w:hint="eastAsia"/>
                <w:sz w:val="21"/>
                <w:szCs w:val="21"/>
              </w:rPr>
              <w:t>11</w:t>
            </w:r>
            <w:r>
              <w:rPr>
                <w:sz w:val="21"/>
                <w:szCs w:val="21"/>
              </w:rPr>
              <w:t>月）</w:t>
            </w:r>
          </w:p>
          <w:p>
            <w:pPr>
              <w:ind w:firstLine="420"/>
              <w:rPr>
                <w:sz w:val="21"/>
                <w:szCs w:val="21"/>
              </w:rPr>
            </w:pPr>
            <w:r>
              <w:rPr>
                <w:sz w:val="21"/>
                <w:szCs w:val="21"/>
              </w:rPr>
              <w:t>该阶段工程施工已完成，进入竣工验收阶段，计划静态投资</w:t>
            </w:r>
            <w:r>
              <w:rPr>
                <w:rFonts w:hint="eastAsia"/>
                <w:sz w:val="21"/>
                <w:szCs w:val="21"/>
              </w:rPr>
              <w:t>11.8991</w:t>
            </w:r>
            <w:r>
              <w:rPr>
                <w:sz w:val="21"/>
                <w:szCs w:val="21"/>
              </w:rPr>
              <w:t>万元，动态投资</w:t>
            </w:r>
            <w:r>
              <w:rPr>
                <w:rFonts w:hint="eastAsia"/>
                <w:sz w:val="21"/>
                <w:szCs w:val="21"/>
              </w:rPr>
              <w:t>29.5025</w:t>
            </w:r>
            <w:r>
              <w:rPr>
                <w:sz w:val="21"/>
                <w:szCs w:val="21"/>
              </w:rPr>
              <w:t>万元。</w:t>
            </w:r>
          </w:p>
          <w:p>
            <w:pPr>
              <w:ind w:firstLine="420"/>
              <w:rPr>
                <w:sz w:val="21"/>
                <w:szCs w:val="21"/>
              </w:rPr>
            </w:pPr>
            <w:r>
              <w:rPr>
                <w:sz w:val="21"/>
                <w:szCs w:val="21"/>
              </w:rPr>
              <w:t>二、工程措施</w:t>
            </w:r>
          </w:p>
          <w:p>
            <w:pPr>
              <w:ind w:firstLine="420"/>
              <w:rPr>
                <w:sz w:val="21"/>
                <w:szCs w:val="21"/>
              </w:rPr>
            </w:pPr>
            <w:r>
              <w:rPr>
                <w:sz w:val="21"/>
                <w:szCs w:val="21"/>
              </w:rPr>
              <w:t>（一）</w:t>
            </w:r>
            <w:r>
              <w:rPr>
                <w:rFonts w:hint="eastAsia"/>
                <w:sz w:val="21"/>
                <w:szCs w:val="21"/>
              </w:rPr>
              <w:t>土壤重构工程</w:t>
            </w:r>
          </w:p>
          <w:p>
            <w:pPr>
              <w:ind w:firstLine="420"/>
              <w:rPr>
                <w:sz w:val="21"/>
                <w:szCs w:val="21"/>
              </w:rPr>
            </w:pPr>
            <w:r>
              <w:rPr>
                <w:rFonts w:hint="eastAsia"/>
                <w:sz w:val="21"/>
                <w:szCs w:val="21"/>
              </w:rPr>
              <w:t>a</w:t>
            </w:r>
            <w:r>
              <w:rPr>
                <w:sz w:val="21"/>
                <w:szCs w:val="21"/>
              </w:rPr>
              <w:t>）土壤剥覆工程</w:t>
            </w:r>
          </w:p>
          <w:p>
            <w:pPr>
              <w:ind w:firstLine="420"/>
              <w:rPr>
                <w:sz w:val="21"/>
                <w:szCs w:val="21"/>
              </w:rPr>
            </w:pPr>
            <w:r>
              <w:rPr>
                <w:sz w:val="21"/>
                <w:szCs w:val="21"/>
              </w:rPr>
              <w:t>根据《初设》结合《水保》设计和损毁土地预测分析，土地复垦的利用方向为</w:t>
            </w:r>
            <w:r>
              <w:rPr>
                <w:rFonts w:hint="eastAsia"/>
                <w:sz w:val="21"/>
                <w:szCs w:val="21"/>
              </w:rPr>
              <w:t>乔木林地</w:t>
            </w:r>
            <w:r>
              <w:rPr>
                <w:sz w:val="21"/>
                <w:szCs w:val="21"/>
              </w:rPr>
              <w:t>。为了提高复垦土地的有机质含量和土壤的保水保肥能力，满足农作物和树木的正常生长，需对其覆土。覆土来源为《水保》设计当中临时用地所剥离的表土，覆土面积为</w:t>
            </w:r>
            <w:r>
              <w:rPr>
                <w:rFonts w:hint="eastAsia"/>
                <w:sz w:val="21"/>
                <w:szCs w:val="21"/>
              </w:rPr>
              <w:t>4.1706</w:t>
            </w:r>
            <w:r>
              <w:rPr>
                <w:sz w:val="21"/>
                <w:szCs w:val="21"/>
              </w:rPr>
              <w:t>hm²，覆土厚度为</w:t>
            </w:r>
            <w:r>
              <w:rPr>
                <w:rFonts w:hint="eastAsia"/>
                <w:sz w:val="21"/>
                <w:szCs w:val="21"/>
              </w:rPr>
              <w:t>林地40cm</w:t>
            </w:r>
            <w:r>
              <w:rPr>
                <w:sz w:val="21"/>
                <w:szCs w:val="21"/>
              </w:rPr>
              <w:t>，覆土量共</w:t>
            </w:r>
            <w:r>
              <w:rPr>
                <w:rFonts w:hint="eastAsia"/>
                <w:sz w:val="21"/>
                <w:szCs w:val="21"/>
              </w:rPr>
              <w:t>16682.40</w:t>
            </w:r>
            <w:r>
              <w:rPr>
                <w:sz w:val="21"/>
                <w:szCs w:val="21"/>
              </w:rPr>
              <w:t>m³。根据《初设》结合《水保》设计，剥离表土暂时堆放于各标段所设表土堆存点，当进行覆土工程时，需从各表土堆存点运输至各地块，运输距离大致为0</w:t>
            </w:r>
            <w:r>
              <w:rPr>
                <w:rFonts w:hint="eastAsia"/>
                <w:sz w:val="21"/>
                <w:szCs w:val="21"/>
              </w:rPr>
              <w:t>~0.5</w:t>
            </w:r>
            <w:r>
              <w:rPr>
                <w:sz w:val="21"/>
                <w:szCs w:val="21"/>
              </w:rPr>
              <w:t>km。</w:t>
            </w:r>
          </w:p>
          <w:p>
            <w:pPr>
              <w:ind w:firstLine="420"/>
              <w:rPr>
                <w:rFonts w:hint="eastAsia"/>
                <w:sz w:val="21"/>
                <w:szCs w:val="21"/>
              </w:rPr>
            </w:pPr>
            <w:r>
              <w:rPr>
                <w:rFonts w:hint="eastAsia"/>
                <w:sz w:val="21"/>
                <w:szCs w:val="21"/>
              </w:rPr>
              <w:t>b）清理工程</w:t>
            </w:r>
          </w:p>
          <w:p>
            <w:pPr>
              <w:ind w:firstLine="420"/>
              <w:rPr>
                <w:rFonts w:hint="eastAsia"/>
                <w:sz w:val="21"/>
                <w:szCs w:val="21"/>
              </w:rPr>
            </w:pPr>
            <w:r>
              <w:rPr>
                <w:rFonts w:hint="eastAsia"/>
                <w:sz w:val="21"/>
                <w:szCs w:val="21"/>
              </w:rPr>
              <w:t>在对拌合站复垦时，需对拌合站内硬化地面进行拆除，才可进行复垦，硬化地面拆除4492.80m</w:t>
            </w:r>
            <w:r>
              <w:rPr>
                <w:rFonts w:hint="eastAsia"/>
                <w:sz w:val="21"/>
                <w:szCs w:val="21"/>
                <w:vertAlign w:val="superscript"/>
              </w:rPr>
              <w:t>3</w:t>
            </w:r>
            <w:r>
              <w:rPr>
                <w:rFonts w:hint="eastAsia"/>
                <w:sz w:val="21"/>
                <w:szCs w:val="21"/>
              </w:rPr>
              <w:t>，弃渣清运4492.80m</w:t>
            </w:r>
            <w:r>
              <w:rPr>
                <w:sz w:val="21"/>
                <w:szCs w:val="21"/>
              </w:rPr>
              <w:t>³</w:t>
            </w:r>
            <w:r>
              <w:rPr>
                <w:rFonts w:hint="eastAsia"/>
                <w:sz w:val="21"/>
                <w:szCs w:val="21"/>
              </w:rPr>
              <w:t>，运距0~0.5km。</w:t>
            </w:r>
          </w:p>
          <w:p>
            <w:pPr>
              <w:ind w:firstLine="420"/>
              <w:rPr>
                <w:sz w:val="21"/>
                <w:szCs w:val="21"/>
              </w:rPr>
            </w:pPr>
            <w:r>
              <w:rPr>
                <w:sz w:val="21"/>
                <w:szCs w:val="21"/>
              </w:rPr>
              <w:t>（二）植被重建工程</w:t>
            </w:r>
          </w:p>
          <w:p>
            <w:pPr>
              <w:ind w:firstLine="420"/>
              <w:rPr>
                <w:sz w:val="21"/>
                <w:szCs w:val="21"/>
              </w:rPr>
            </w:pPr>
            <w:r>
              <w:rPr>
                <w:sz w:val="21"/>
                <w:szCs w:val="21"/>
              </w:rPr>
              <w:t>临时用地土地复垦方向</w:t>
            </w:r>
            <w:r>
              <w:rPr>
                <w:rFonts w:hint="eastAsia"/>
                <w:sz w:val="21"/>
                <w:szCs w:val="21"/>
              </w:rPr>
              <w:t>全部</w:t>
            </w:r>
            <w:r>
              <w:rPr>
                <w:sz w:val="21"/>
                <w:szCs w:val="21"/>
              </w:rPr>
              <w:t>为</w:t>
            </w:r>
            <w:r>
              <w:rPr>
                <w:rFonts w:hint="eastAsia"/>
                <w:sz w:val="21"/>
                <w:szCs w:val="21"/>
              </w:rPr>
              <w:t>乔木林地</w:t>
            </w:r>
            <w:r>
              <w:rPr>
                <w:sz w:val="21"/>
                <w:szCs w:val="21"/>
              </w:rPr>
              <w:t>，</w:t>
            </w:r>
            <w:r>
              <w:rPr>
                <w:rFonts w:hint="eastAsia"/>
                <w:sz w:val="21"/>
                <w:szCs w:val="21"/>
              </w:rPr>
              <w:t>已编制《恢复林业生产条件实施方案》，方案中已进行林业恢复和管护，本复垦方案中不重复种树，只进行表土剥覆工程和清理工程。</w:t>
            </w:r>
          </w:p>
          <w:p>
            <w:pPr>
              <w:ind w:firstLine="420"/>
              <w:rPr>
                <w:sz w:val="21"/>
                <w:szCs w:val="21"/>
              </w:rPr>
            </w:pPr>
            <w:r>
              <w:rPr>
                <w:sz w:val="21"/>
                <w:szCs w:val="21"/>
              </w:rPr>
              <w:t>三、工程量</w:t>
            </w:r>
          </w:p>
          <w:p>
            <w:pPr>
              <w:ind w:firstLine="420"/>
              <w:rPr>
                <w:sz w:val="21"/>
                <w:szCs w:val="21"/>
              </w:rPr>
            </w:pPr>
            <w:r>
              <w:rPr>
                <w:rFonts w:hint="eastAsia"/>
                <w:sz w:val="21"/>
                <w:szCs w:val="21"/>
              </w:rPr>
              <w:t>西畴至富宁高速公路建设项目（西畴段）第一期临时用地土地复垦方案</w:t>
            </w:r>
            <w:r>
              <w:rPr>
                <w:sz w:val="21"/>
                <w:szCs w:val="21"/>
              </w:rPr>
              <w:t>拟损毁土地区，土地复垦工程主要是对临时用地拟损毁的土地进行综合整治。</w:t>
            </w:r>
          </w:p>
          <w:p>
            <w:pPr>
              <w:ind w:firstLine="420"/>
              <w:rPr>
                <w:sz w:val="21"/>
                <w:szCs w:val="21"/>
              </w:rPr>
            </w:pPr>
            <w:r>
              <w:rPr>
                <w:sz w:val="21"/>
                <w:szCs w:val="21"/>
              </w:rPr>
              <w:t>土地复垦的工程措施主要是表土回覆</w:t>
            </w:r>
            <w:r>
              <w:rPr>
                <w:rFonts w:hint="eastAsia"/>
                <w:sz w:val="21"/>
                <w:szCs w:val="21"/>
              </w:rPr>
              <w:t>以及清理工程</w:t>
            </w:r>
            <w:r>
              <w:rPr>
                <w:sz w:val="21"/>
                <w:szCs w:val="21"/>
              </w:rPr>
              <w:t>确保复垦的土地适宜林木生长。</w:t>
            </w:r>
          </w:p>
          <w:p>
            <w:pPr>
              <w:ind w:firstLine="420"/>
              <w:rPr>
                <w:sz w:val="21"/>
                <w:szCs w:val="21"/>
              </w:rPr>
            </w:pPr>
            <w:r>
              <w:rPr>
                <w:rFonts w:hint="eastAsia"/>
                <w:sz w:val="21"/>
                <w:szCs w:val="21"/>
              </w:rPr>
              <w:t>四</w:t>
            </w:r>
            <w:r>
              <w:rPr>
                <w:sz w:val="21"/>
                <w:szCs w:val="21"/>
              </w:rPr>
              <w:t>、组织领导措施</w:t>
            </w:r>
          </w:p>
          <w:p>
            <w:pPr>
              <w:ind w:firstLine="420"/>
              <w:rPr>
                <w:sz w:val="21"/>
                <w:szCs w:val="21"/>
              </w:rPr>
            </w:pPr>
            <w:r>
              <w:rPr>
                <w:sz w:val="21"/>
                <w:szCs w:val="21"/>
              </w:rPr>
              <w:t>基于确保土地复垦方案提出的各项土地损毁防治措施的顺利实施和落实，本方案复垦责任主体为</w:t>
            </w:r>
            <w:r>
              <w:rPr>
                <w:rFonts w:hint="eastAsia"/>
                <w:color w:val="000000"/>
                <w:sz w:val="21"/>
                <w:szCs w:val="21"/>
                <w:lang w:eastAsia="zh-CN"/>
              </w:rPr>
              <w:t>云南云岭路面工程有限公司</w:t>
            </w:r>
            <w:r>
              <w:rPr>
                <w:sz w:val="21"/>
                <w:szCs w:val="21"/>
              </w:rPr>
              <w:t>，成立土地复垦项目领导小组，负责工程建设中的土地复垦工程管理和实施工作，按照土地复垦实施方案的治理措施、进度安排、技术标准等，严格要求施工单位，保质保量地完成水土保持各项措施。</w:t>
            </w:r>
          </w:p>
          <w:p>
            <w:pPr>
              <w:ind w:firstLine="420"/>
              <w:rPr>
                <w:sz w:val="21"/>
                <w:szCs w:val="21"/>
              </w:rPr>
            </w:pPr>
            <w:r>
              <w:rPr>
                <w:rFonts w:hint="eastAsia"/>
                <w:sz w:val="21"/>
                <w:szCs w:val="21"/>
              </w:rPr>
              <w:t>五</w:t>
            </w:r>
            <w:r>
              <w:rPr>
                <w:sz w:val="21"/>
                <w:szCs w:val="21"/>
              </w:rPr>
              <w:t>、技术保障措施</w:t>
            </w:r>
          </w:p>
          <w:p>
            <w:pPr>
              <w:ind w:firstLine="420"/>
              <w:rPr>
                <w:sz w:val="21"/>
                <w:szCs w:val="21"/>
              </w:rPr>
            </w:pPr>
            <w:r>
              <w:rPr>
                <w:sz w:val="21"/>
                <w:szCs w:val="21"/>
              </w:rPr>
              <w:t>针对项目区内土地复垦的方法，经济、合理、可行和达到合理高效利用土地的标准。复垦所需的各类材料，一部分就地取材，其它所需材料及设备均可由市场购买，有充分的保障。项目一经批准，项目实施单位必须严格按照复垦方案执行，并确保资金、人员、机械和技术服务到位，设立专门办公室，具体负责复垦工程的规划指导、监督、检查、组织协调和工程实施，并对其实行目标管理，确保规划设计目标的实现。</w:t>
            </w:r>
            <w:r>
              <w:rPr>
                <w:rFonts w:hint="eastAsia"/>
                <w:sz w:val="21"/>
                <w:szCs w:val="21"/>
              </w:rPr>
              <w:t>应定期培训技术人员、咨询专家、开展科学试验、引进先进技术，以及对土地损毁情况进行动态监测和评价等；应实施表土保护、不将有毒有害物用作回填或充填材料、不将重金属及其他有毒有害物污染的土地用作种植食用农作物等</w:t>
            </w:r>
            <w:r>
              <w:rPr>
                <w:sz w:val="21"/>
                <w:szCs w:val="21"/>
              </w:rPr>
              <w:t>。</w:t>
            </w:r>
          </w:p>
          <w:p>
            <w:pPr>
              <w:ind w:firstLine="420"/>
              <w:rPr>
                <w:sz w:val="21"/>
                <w:szCs w:val="21"/>
              </w:rPr>
            </w:pPr>
            <w:r>
              <w:rPr>
                <w:rFonts w:hint="eastAsia"/>
                <w:sz w:val="21"/>
                <w:szCs w:val="21"/>
              </w:rPr>
              <w:t>六</w:t>
            </w:r>
            <w:r>
              <w:rPr>
                <w:sz w:val="21"/>
                <w:szCs w:val="21"/>
              </w:rPr>
              <w:t>、资金保障措施</w:t>
            </w:r>
          </w:p>
          <w:p>
            <w:pPr>
              <w:ind w:firstLine="420"/>
              <w:rPr>
                <w:sz w:val="21"/>
                <w:szCs w:val="21"/>
              </w:rPr>
            </w:pPr>
            <w:r>
              <w:rPr>
                <w:sz w:val="21"/>
                <w:szCs w:val="21"/>
              </w:rPr>
              <w:t>——资金来源</w:t>
            </w:r>
          </w:p>
          <w:p>
            <w:pPr>
              <w:ind w:firstLine="420"/>
              <w:rPr>
                <w:sz w:val="21"/>
                <w:szCs w:val="21"/>
              </w:rPr>
            </w:pPr>
            <w:r>
              <w:rPr>
                <w:sz w:val="21"/>
                <w:szCs w:val="21"/>
              </w:rPr>
              <w:t>本工程属建设类项目，土地复垦工程投资应在工程基本建设投资中列支，并与主体工程建设资金同时调拨使用，同时施工、同时发挥效益；建设单位应积极开展工作，落实资金，保证方案实施。土地复垦的设备投资可以从项目环境保护工程中解决，作为“三同时”工程进行验收。提成的资源费主要用于污染防治费、土地复垦和生态综合整治费用等，以满足污染防治和生态整治的需要。项目土地复垦动态投资</w:t>
            </w:r>
            <w:r>
              <w:rPr>
                <w:rFonts w:hint="eastAsia"/>
                <w:sz w:val="21"/>
                <w:szCs w:val="21"/>
              </w:rPr>
              <w:t>210.0265</w:t>
            </w:r>
            <w:r>
              <w:rPr>
                <w:sz w:val="21"/>
                <w:szCs w:val="21"/>
              </w:rPr>
              <w:t>万元，全部由</w:t>
            </w:r>
            <w:r>
              <w:rPr>
                <w:rFonts w:hint="eastAsia"/>
                <w:sz w:val="21"/>
                <w:szCs w:val="21"/>
                <w:lang w:eastAsia="zh-CN"/>
              </w:rPr>
              <w:t>云南云岭路面工程有限公司</w:t>
            </w:r>
            <w:r>
              <w:rPr>
                <w:sz w:val="21"/>
                <w:szCs w:val="21"/>
              </w:rPr>
              <w:t>筹资。</w:t>
            </w:r>
          </w:p>
          <w:p>
            <w:pPr>
              <w:ind w:firstLine="420"/>
              <w:rPr>
                <w:sz w:val="21"/>
                <w:szCs w:val="21"/>
              </w:rPr>
            </w:pPr>
            <w:r>
              <w:rPr>
                <w:sz w:val="21"/>
                <w:szCs w:val="21"/>
              </w:rPr>
              <w:t>——资金储存监督管理</w:t>
            </w:r>
          </w:p>
          <w:p>
            <w:pPr>
              <w:ind w:firstLine="420"/>
              <w:rPr>
                <w:sz w:val="21"/>
                <w:szCs w:val="21"/>
              </w:rPr>
            </w:pPr>
            <w:r>
              <w:rPr>
                <w:sz w:val="21"/>
                <w:szCs w:val="21"/>
              </w:rPr>
              <w:t>本项目土地复垦动态投资为</w:t>
            </w:r>
            <w:r>
              <w:rPr>
                <w:rFonts w:hint="eastAsia"/>
                <w:sz w:val="21"/>
                <w:szCs w:val="21"/>
              </w:rPr>
              <w:t>210.0265</w:t>
            </w:r>
            <w:r>
              <w:rPr>
                <w:sz w:val="21"/>
                <w:szCs w:val="21"/>
              </w:rPr>
              <w:t>万元，服务年限为</w:t>
            </w:r>
            <w:r>
              <w:rPr>
                <w:rFonts w:hint="eastAsia"/>
                <w:sz w:val="21"/>
                <w:szCs w:val="21"/>
              </w:rPr>
              <w:t>4</w:t>
            </w:r>
            <w:r>
              <w:rPr>
                <w:sz w:val="21"/>
                <w:szCs w:val="21"/>
              </w:rPr>
              <w:t>年，202</w:t>
            </w:r>
            <w:r>
              <w:rPr>
                <w:rFonts w:hint="eastAsia"/>
                <w:sz w:val="21"/>
                <w:szCs w:val="21"/>
              </w:rPr>
              <w:t>2</w:t>
            </w:r>
            <w:r>
              <w:rPr>
                <w:sz w:val="21"/>
                <w:szCs w:val="21"/>
              </w:rPr>
              <w:t>年</w:t>
            </w:r>
            <w:r>
              <w:rPr>
                <w:rFonts w:hint="eastAsia"/>
                <w:sz w:val="21"/>
                <w:szCs w:val="21"/>
              </w:rPr>
              <w:t>12</w:t>
            </w:r>
            <w:r>
              <w:rPr>
                <w:sz w:val="21"/>
                <w:szCs w:val="21"/>
              </w:rPr>
              <w:t>月</w:t>
            </w:r>
            <w:r>
              <w:rPr>
                <w:rFonts w:hint="eastAsia"/>
                <w:sz w:val="21"/>
                <w:szCs w:val="21"/>
              </w:rPr>
              <w:t>~</w:t>
            </w:r>
            <w:r>
              <w:rPr>
                <w:sz w:val="21"/>
                <w:szCs w:val="21"/>
              </w:rPr>
              <w:t>202</w:t>
            </w:r>
            <w:r>
              <w:rPr>
                <w:rFonts w:hint="eastAsia"/>
                <w:sz w:val="21"/>
                <w:szCs w:val="21"/>
              </w:rPr>
              <w:t>6</w:t>
            </w:r>
            <w:r>
              <w:rPr>
                <w:sz w:val="21"/>
                <w:szCs w:val="21"/>
              </w:rPr>
              <w:t>年</w:t>
            </w:r>
            <w:r>
              <w:rPr>
                <w:rFonts w:hint="eastAsia"/>
                <w:sz w:val="21"/>
                <w:szCs w:val="21"/>
              </w:rPr>
              <w:t>11</w:t>
            </w:r>
            <w:r>
              <w:rPr>
                <w:sz w:val="21"/>
                <w:szCs w:val="21"/>
              </w:rPr>
              <w:t>月，为确保该服务年限内该土地复垦资金安全有效使用，业主、地方自然资源管理部门应委托第三方（银行）共同监管，三方签订土地复垦资金担保保障协议，为业主进行土地复垦提供财务担保以及资金保障。协议需明确三方的责任和义务；土地复垦资金存入账户、土地复垦总费用、复垦存入计划；支取复垦资金的相关要求（规定）；如①阶段性土地复垦实施方案，②上一年（上阶段）土地复垦完成工程情况、财务报告，③地方自然资源管理部门意见等；土地复垦工程内容、违约处理及解决办法；协议期限、其他需明确的内容（可作为协议附件）等。</w:t>
            </w:r>
          </w:p>
          <w:p>
            <w:pPr>
              <w:ind w:firstLine="420"/>
              <w:rPr>
                <w:sz w:val="21"/>
                <w:szCs w:val="21"/>
              </w:rPr>
            </w:pPr>
            <w:r>
              <w:rPr>
                <w:sz w:val="21"/>
                <w:szCs w:val="21"/>
              </w:rPr>
              <w:t>——资金使用管理</w:t>
            </w:r>
          </w:p>
          <w:p>
            <w:pPr>
              <w:ind w:firstLine="420"/>
              <w:rPr>
                <w:sz w:val="21"/>
                <w:szCs w:val="21"/>
              </w:rPr>
            </w:pPr>
            <w:r>
              <w:rPr>
                <w:sz w:val="21"/>
                <w:szCs w:val="21"/>
              </w:rPr>
              <w:t>土地复垦资金严格按照专款专用、单独核算的办法进行管理；按照规定的开支范围支出；实行专管，严格财务制度，规范财务手续，注明每一笔款项的使用情况，具体措施：</w:t>
            </w:r>
          </w:p>
          <w:p>
            <w:pPr>
              <w:ind w:firstLine="420"/>
              <w:rPr>
                <w:sz w:val="21"/>
                <w:szCs w:val="21"/>
              </w:rPr>
            </w:pPr>
            <w:r>
              <w:rPr>
                <w:sz w:val="21"/>
                <w:szCs w:val="21"/>
              </w:rPr>
              <w:t>a）按照统一管理、分级核算的原则，设置和健全财务管理机构，为土地复垦配备相应的财务人员。</w:t>
            </w:r>
          </w:p>
          <w:p>
            <w:pPr>
              <w:ind w:firstLine="420"/>
              <w:rPr>
                <w:sz w:val="21"/>
                <w:szCs w:val="21"/>
              </w:rPr>
            </w:pPr>
            <w:r>
              <w:rPr>
                <w:sz w:val="21"/>
                <w:szCs w:val="21"/>
              </w:rPr>
              <w:t>b）财务人员应当制订有效的预算制度，合理使用资金，加强成本费用的管理，规范财务会计报告和对外财务信息披露。</w:t>
            </w:r>
          </w:p>
          <w:p>
            <w:pPr>
              <w:ind w:firstLine="420"/>
              <w:rPr>
                <w:sz w:val="21"/>
                <w:szCs w:val="21"/>
              </w:rPr>
            </w:pPr>
            <w:r>
              <w:rPr>
                <w:sz w:val="21"/>
                <w:szCs w:val="21"/>
              </w:rPr>
              <w:t>c）财务人员应根据土地复垦工程资金需要，及时按财务担保保障协议向主管部门、银行报送现金使用计划，并签字审批。</w:t>
            </w:r>
          </w:p>
          <w:p>
            <w:pPr>
              <w:ind w:firstLine="420"/>
              <w:rPr>
                <w:sz w:val="21"/>
                <w:szCs w:val="21"/>
              </w:rPr>
            </w:pPr>
            <w:r>
              <w:rPr>
                <w:sz w:val="21"/>
                <w:szCs w:val="21"/>
              </w:rPr>
              <w:t>d）不允许不符合会计制度的凭证或白条顶替土地复垦资金；不允许编造用途套取土地复垦费用；出纳人员未经主管部门审批不允许私自支配土地复垦资金；出纳人员严禁使用现金进行土地复垦工程费用的支付，且支付对象必须为法人。</w:t>
            </w:r>
          </w:p>
          <w:p>
            <w:pPr>
              <w:ind w:firstLine="420"/>
              <w:rPr>
                <w:sz w:val="21"/>
                <w:szCs w:val="21"/>
              </w:rPr>
            </w:pPr>
            <w:r>
              <w:rPr>
                <w:sz w:val="21"/>
                <w:szCs w:val="21"/>
              </w:rPr>
              <w:t>e）出纳人员要逐笔登记发生费用日记账，做到日清月结，保证土地复垦资金使用安全、到位、有效。</w:t>
            </w:r>
          </w:p>
          <w:p>
            <w:pPr>
              <w:ind w:firstLine="420"/>
              <w:rPr>
                <w:sz w:val="21"/>
                <w:szCs w:val="21"/>
              </w:rPr>
            </w:pPr>
            <w:r>
              <w:rPr>
                <w:sz w:val="21"/>
                <w:szCs w:val="21"/>
              </w:rPr>
              <w:t>同时，资金使用管理要做到四个坚持：坚持实行项目资金专款专用；坚持按照规定的开支范围支出，力争不突破投资总额；坚持严把</w:t>
            </w:r>
            <w:r>
              <w:rPr>
                <w:rFonts w:hint="eastAsia"/>
                <w:sz w:val="21"/>
                <w:szCs w:val="21"/>
              </w:rPr>
              <w:t>资金流转渠道</w:t>
            </w:r>
            <w:r>
              <w:rPr>
                <w:sz w:val="21"/>
                <w:szCs w:val="21"/>
              </w:rPr>
              <w:t>，层层设立专账，实行一支笔审批；坚持项目资金决算制度，严格资金审计，确保项目资金落到实处。项目资金最终使用由施工单位根据工程进度提出申请，经工程监理单位审查后，报指挥部审批，指挥部在拨付资金之前，必须对上期资金使用情况进行检查验收。统一调动，确保资金全部用于土地复垦工程中。</w:t>
            </w:r>
          </w:p>
          <w:p>
            <w:pPr>
              <w:ind w:firstLine="420"/>
              <w:rPr>
                <w:sz w:val="21"/>
                <w:szCs w:val="21"/>
              </w:rPr>
            </w:pPr>
            <w:r>
              <w:rPr>
                <w:sz w:val="21"/>
                <w:szCs w:val="21"/>
              </w:rPr>
              <w:t>资金拨付主要分两部分，首先是土地复垦责任人按照土地复垦资金担保保障协议中相关要求（规定）备齐相关材料向银行提出土地复垦资金使用计划，经审查后，拨付土地复垦资金；其次土地复垦施工单位根据工程进度提出申请，经土地复垦责任人、或主管部门审查签字后，报财务审批，拨付土地复垦工程资金，在之前，必须对上期资金使用情况进行检查验收，合格后资金才予拨付。对滥用、挪用资金的，追究当事人、相关责任人的责任，给予相当的行政、经济、刑事处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28" w:type="dxa"/>
            <w:vMerge w:val="restart"/>
            <w:tcBorders>
              <w:top w:val="single" w:color="auto" w:sz="12" w:space="0"/>
              <w:bottom w:val="single" w:color="auto" w:sz="12" w:space="0"/>
            </w:tcBorders>
            <w:noWrap w:val="0"/>
            <w:vAlign w:val="center"/>
          </w:tcPr>
          <w:p>
            <w:pPr>
              <w:ind w:firstLine="0" w:firstLineChars="0"/>
            </w:pPr>
          </w:p>
          <w:p>
            <w:pPr>
              <w:pStyle w:val="2"/>
              <w:ind w:firstLine="480"/>
            </w:pPr>
          </w:p>
          <w:p>
            <w:pPr>
              <w:ind w:firstLine="420"/>
              <w:rPr>
                <w:sz w:val="21"/>
                <w:szCs w:val="21"/>
              </w:rPr>
            </w:pPr>
          </w:p>
          <w:p>
            <w:pPr>
              <w:pStyle w:val="2"/>
              <w:ind w:firstLine="480"/>
            </w:pPr>
          </w:p>
          <w:p>
            <w:pPr>
              <w:ind w:firstLine="0" w:firstLineChars="0"/>
              <w:jc w:val="center"/>
              <w:rPr>
                <w:sz w:val="21"/>
                <w:szCs w:val="21"/>
              </w:rPr>
            </w:pPr>
            <w:r>
              <w:rPr>
                <w:sz w:val="21"/>
                <w:szCs w:val="21"/>
              </w:rPr>
              <w:t>投</w:t>
            </w:r>
          </w:p>
          <w:p>
            <w:pPr>
              <w:ind w:firstLine="0" w:firstLineChars="0"/>
              <w:jc w:val="center"/>
              <w:rPr>
                <w:sz w:val="21"/>
                <w:szCs w:val="21"/>
              </w:rPr>
            </w:pPr>
            <w:r>
              <w:rPr>
                <w:sz w:val="21"/>
                <w:szCs w:val="21"/>
              </w:rPr>
              <w:t>资</w:t>
            </w:r>
          </w:p>
          <w:p>
            <w:pPr>
              <w:ind w:firstLine="0" w:firstLineChars="0"/>
              <w:jc w:val="center"/>
              <w:rPr>
                <w:sz w:val="21"/>
                <w:szCs w:val="21"/>
              </w:rPr>
            </w:pPr>
            <w:r>
              <w:rPr>
                <w:sz w:val="21"/>
                <w:szCs w:val="21"/>
              </w:rPr>
              <w:t>估</w:t>
            </w:r>
          </w:p>
          <w:p>
            <w:pPr>
              <w:ind w:firstLine="0" w:firstLineChars="0"/>
              <w:jc w:val="center"/>
              <w:rPr>
                <w:sz w:val="21"/>
                <w:szCs w:val="21"/>
              </w:rPr>
            </w:pPr>
            <w:r>
              <w:rPr>
                <w:sz w:val="21"/>
                <w:szCs w:val="21"/>
              </w:rPr>
              <w:t>算</w:t>
            </w: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174" w:firstLineChars="83"/>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rPr>
                <w:sz w:val="21"/>
                <w:szCs w:val="21"/>
              </w:rPr>
            </w:pPr>
          </w:p>
          <w:p>
            <w:pPr>
              <w:ind w:firstLine="0" w:firstLineChars="0"/>
              <w:rPr>
                <w:sz w:val="21"/>
                <w:szCs w:val="21"/>
              </w:rPr>
            </w:pPr>
          </w:p>
          <w:p>
            <w:pPr>
              <w:ind w:firstLine="0" w:firstLineChars="0"/>
              <w:jc w:val="center"/>
              <w:rPr>
                <w:sz w:val="21"/>
                <w:szCs w:val="21"/>
              </w:rPr>
            </w:pPr>
            <w:r>
              <w:rPr>
                <w:sz w:val="21"/>
                <w:szCs w:val="21"/>
              </w:rPr>
              <w:t>投资估算</w:t>
            </w:r>
          </w:p>
        </w:tc>
        <w:tc>
          <w:tcPr>
            <w:tcW w:w="602" w:type="dxa"/>
            <w:tcBorders>
              <w:top w:val="single" w:color="auto" w:sz="12" w:space="0"/>
              <w:bottom w:val="single" w:color="auto" w:sz="12" w:space="0"/>
            </w:tcBorders>
            <w:noWrap w:val="0"/>
            <w:vAlign w:val="center"/>
          </w:tcPr>
          <w:p>
            <w:pPr>
              <w:ind w:firstLine="0" w:firstLineChars="0"/>
              <w:rPr>
                <w:sz w:val="21"/>
                <w:szCs w:val="21"/>
              </w:rPr>
            </w:pPr>
          </w:p>
          <w:p>
            <w:pPr>
              <w:ind w:firstLine="0" w:firstLineChars="0"/>
              <w:rPr>
                <w:sz w:val="21"/>
                <w:szCs w:val="21"/>
              </w:rPr>
            </w:pPr>
          </w:p>
          <w:p>
            <w:pPr>
              <w:pStyle w:val="2"/>
              <w:ind w:firstLine="420"/>
              <w:jc w:val="center"/>
              <w:rPr>
                <w:sz w:val="21"/>
                <w:szCs w:val="21"/>
              </w:rPr>
            </w:pPr>
          </w:p>
          <w:p>
            <w:pPr>
              <w:pStyle w:val="2"/>
              <w:ind w:firstLine="0" w:firstLineChars="0"/>
            </w:pPr>
          </w:p>
          <w:p>
            <w:pPr>
              <w:ind w:firstLine="0" w:firstLineChars="0"/>
              <w:jc w:val="center"/>
              <w:rPr>
                <w:sz w:val="21"/>
                <w:szCs w:val="21"/>
              </w:rPr>
            </w:pPr>
            <w:r>
              <w:rPr>
                <w:sz w:val="21"/>
                <w:szCs w:val="21"/>
              </w:rPr>
              <w:t>测</w:t>
            </w:r>
          </w:p>
          <w:p>
            <w:pPr>
              <w:ind w:firstLine="0" w:firstLineChars="0"/>
              <w:jc w:val="center"/>
              <w:rPr>
                <w:sz w:val="21"/>
                <w:szCs w:val="21"/>
              </w:rPr>
            </w:pPr>
            <w:r>
              <w:rPr>
                <w:sz w:val="21"/>
                <w:szCs w:val="21"/>
              </w:rPr>
              <w:t>算</w:t>
            </w:r>
          </w:p>
          <w:p>
            <w:pPr>
              <w:ind w:firstLine="0" w:firstLineChars="0"/>
              <w:jc w:val="center"/>
              <w:rPr>
                <w:sz w:val="21"/>
                <w:szCs w:val="21"/>
              </w:rPr>
            </w:pPr>
            <w:r>
              <w:rPr>
                <w:sz w:val="21"/>
                <w:szCs w:val="21"/>
              </w:rPr>
              <w:t>依</w:t>
            </w:r>
          </w:p>
          <w:p>
            <w:pPr>
              <w:ind w:firstLine="0" w:firstLineChars="0"/>
              <w:jc w:val="center"/>
              <w:rPr>
                <w:sz w:val="21"/>
                <w:szCs w:val="21"/>
              </w:rPr>
            </w:pPr>
            <w:r>
              <w:rPr>
                <w:sz w:val="21"/>
                <w:szCs w:val="21"/>
              </w:rPr>
              <w:t>据</w:t>
            </w: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p>
          <w:p>
            <w:pPr>
              <w:pStyle w:val="2"/>
              <w:ind w:firstLine="0" w:firstLineChars="0"/>
              <w:rPr>
                <w:sz w:val="21"/>
                <w:szCs w:val="21"/>
              </w:rPr>
            </w:pPr>
          </w:p>
          <w:p>
            <w:pPr>
              <w:ind w:firstLine="0" w:firstLineChars="0"/>
              <w:rPr>
                <w:sz w:val="21"/>
                <w:szCs w:val="21"/>
              </w:rPr>
            </w:pPr>
          </w:p>
          <w:p>
            <w:pPr>
              <w:pStyle w:val="2"/>
              <w:ind w:firstLine="480"/>
            </w:pPr>
          </w:p>
          <w:p>
            <w:pPr>
              <w:pStyle w:val="2"/>
              <w:ind w:firstLine="480"/>
            </w:pPr>
          </w:p>
          <w:p>
            <w:pPr>
              <w:ind w:firstLine="0" w:firstLineChars="0"/>
              <w:rPr>
                <w:sz w:val="21"/>
                <w:szCs w:val="21"/>
              </w:rPr>
            </w:pPr>
            <w:r>
              <w:rPr>
                <w:sz w:val="21"/>
                <w:szCs w:val="21"/>
              </w:rPr>
              <w:t>测算依据</w:t>
            </w:r>
          </w:p>
        </w:tc>
        <w:tc>
          <w:tcPr>
            <w:tcW w:w="7392" w:type="dxa"/>
            <w:gridSpan w:val="5"/>
            <w:tcBorders>
              <w:top w:val="single" w:color="auto" w:sz="12" w:space="0"/>
              <w:bottom w:val="single" w:color="auto" w:sz="12" w:space="0"/>
            </w:tcBorders>
            <w:noWrap w:val="0"/>
            <w:vAlign w:val="center"/>
          </w:tcPr>
          <w:p>
            <w:pPr>
              <w:widowControl/>
              <w:spacing w:line="420" w:lineRule="exact"/>
              <w:ind w:firstLine="420"/>
              <w:rPr>
                <w:sz w:val="21"/>
                <w:szCs w:val="21"/>
              </w:rPr>
            </w:pPr>
            <w:r>
              <w:rPr>
                <w:sz w:val="21"/>
                <w:szCs w:val="21"/>
              </w:rPr>
              <w:t>1、土地损毁类型、面积及测算依据</w:t>
            </w:r>
          </w:p>
          <w:p>
            <w:pPr>
              <w:widowControl/>
              <w:spacing w:line="420" w:lineRule="exact"/>
              <w:ind w:firstLine="420"/>
              <w:rPr>
                <w:sz w:val="21"/>
                <w:szCs w:val="21"/>
              </w:rPr>
            </w:pPr>
            <w:r>
              <w:rPr>
                <w:sz w:val="21"/>
                <w:szCs w:val="21"/>
              </w:rPr>
              <w:t>根据项目建设的性质、土地损毁的时序、环节，临时用地的土地损毁方式主要为压占</w:t>
            </w:r>
            <w:r>
              <w:rPr>
                <w:rFonts w:hint="eastAsia"/>
                <w:sz w:val="21"/>
                <w:szCs w:val="21"/>
              </w:rPr>
              <w:t>、挖损</w:t>
            </w:r>
            <w:r>
              <w:rPr>
                <w:sz w:val="21"/>
                <w:szCs w:val="21"/>
              </w:rPr>
              <w:t>。</w:t>
            </w:r>
          </w:p>
          <w:p>
            <w:pPr>
              <w:widowControl/>
              <w:spacing w:line="420" w:lineRule="exact"/>
              <w:ind w:firstLine="420"/>
              <w:rPr>
                <w:sz w:val="21"/>
                <w:szCs w:val="21"/>
              </w:rPr>
            </w:pPr>
            <w:r>
              <w:rPr>
                <w:sz w:val="21"/>
                <w:szCs w:val="21"/>
              </w:rPr>
              <w:t>2、预期复垦土地用途、面积及测算依据</w:t>
            </w:r>
          </w:p>
          <w:p>
            <w:pPr>
              <w:widowControl/>
              <w:spacing w:line="420" w:lineRule="exact"/>
              <w:ind w:firstLine="420"/>
              <w:rPr>
                <w:sz w:val="21"/>
                <w:szCs w:val="21"/>
              </w:rPr>
            </w:pPr>
            <w:r>
              <w:rPr>
                <w:sz w:val="21"/>
                <w:szCs w:val="21"/>
              </w:rPr>
              <w:t>依据</w:t>
            </w:r>
            <w:r>
              <w:rPr>
                <w:rFonts w:hint="eastAsia"/>
                <w:sz w:val="21"/>
                <w:szCs w:val="21"/>
              </w:rPr>
              <w:t>西畴至富宁高速公路建设项目（西畴段）</w:t>
            </w:r>
            <w:r>
              <w:rPr>
                <w:sz w:val="21"/>
                <w:szCs w:val="21"/>
              </w:rPr>
              <w:t>所在地区的气候、水文地质、地形地貌、土壤及植被等自然环境条件并考虑了当地社会经济发展状况，该工程项目复垦后的土地适用于发展农业；经征求项目建设用地所涉及到的村委会意见，并通过土地复垦适宜性评价，确定复垦土地面积为</w:t>
            </w:r>
            <w:r>
              <w:rPr>
                <w:rFonts w:hint="eastAsia"/>
                <w:sz w:val="21"/>
                <w:szCs w:val="21"/>
              </w:rPr>
              <w:t>4.1706</w:t>
            </w:r>
            <w:r>
              <w:rPr>
                <w:sz w:val="21"/>
                <w:szCs w:val="21"/>
              </w:rPr>
              <w:t>hm²。</w:t>
            </w:r>
          </w:p>
          <w:p>
            <w:pPr>
              <w:widowControl/>
              <w:spacing w:line="420" w:lineRule="exact"/>
              <w:ind w:firstLine="420"/>
              <w:rPr>
                <w:sz w:val="21"/>
                <w:szCs w:val="21"/>
              </w:rPr>
            </w:pPr>
            <w:r>
              <w:rPr>
                <w:sz w:val="21"/>
                <w:szCs w:val="21"/>
              </w:rPr>
              <w:t>3、投资估算编制依据</w:t>
            </w:r>
          </w:p>
          <w:p>
            <w:pPr>
              <w:widowControl/>
              <w:spacing w:line="420" w:lineRule="exact"/>
              <w:ind w:firstLine="420"/>
              <w:rPr>
                <w:sz w:val="21"/>
                <w:szCs w:val="21"/>
              </w:rPr>
            </w:pPr>
            <w:r>
              <w:rPr>
                <w:sz w:val="21"/>
                <w:szCs w:val="21"/>
              </w:rPr>
              <w:t>a）云南省国土资源厅、云南省财政厅编制《土地开发整理项目预算定额标准云南省补充预算定额》（2016年4月第一版）；</w:t>
            </w:r>
          </w:p>
          <w:p>
            <w:pPr>
              <w:spacing w:line="420" w:lineRule="exact"/>
              <w:ind w:firstLine="420"/>
              <w:rPr>
                <w:sz w:val="21"/>
                <w:szCs w:val="21"/>
              </w:rPr>
            </w:pPr>
            <w:r>
              <w:rPr>
                <w:sz w:val="21"/>
                <w:szCs w:val="21"/>
              </w:rPr>
              <w:t>b）《土地开发整理项目资金管理暂行办法》，国土资发〔2000〕第282号；</w:t>
            </w:r>
          </w:p>
          <w:p>
            <w:pPr>
              <w:spacing w:line="420" w:lineRule="exact"/>
              <w:ind w:firstLine="420"/>
              <w:rPr>
                <w:sz w:val="21"/>
                <w:szCs w:val="21"/>
              </w:rPr>
            </w:pPr>
            <w:r>
              <w:rPr>
                <w:sz w:val="21"/>
                <w:szCs w:val="21"/>
              </w:rPr>
              <w:t>c）《土地开发整理项目规划设计规范》（TD/T1012-2000）；</w:t>
            </w:r>
          </w:p>
          <w:p>
            <w:pPr>
              <w:spacing w:line="420" w:lineRule="exact"/>
              <w:ind w:firstLine="420"/>
              <w:rPr>
                <w:sz w:val="21"/>
                <w:szCs w:val="21"/>
              </w:rPr>
            </w:pPr>
            <w:r>
              <w:rPr>
                <w:sz w:val="21"/>
                <w:szCs w:val="21"/>
              </w:rPr>
              <w:t>d）《土地整治项目规划设计规范》（TD/T1012-2016）；</w:t>
            </w:r>
          </w:p>
          <w:p>
            <w:pPr>
              <w:spacing w:line="420" w:lineRule="exact"/>
              <w:ind w:firstLine="420"/>
              <w:rPr>
                <w:sz w:val="21"/>
                <w:szCs w:val="21"/>
              </w:rPr>
            </w:pPr>
            <w:r>
              <w:rPr>
                <w:sz w:val="21"/>
                <w:szCs w:val="21"/>
              </w:rPr>
              <w:t>e）财政部、国土资源部《新增建设用地土地有偿使用费财务管理暂行办法》（财建〔2001〕330号）；</w:t>
            </w:r>
          </w:p>
          <w:p>
            <w:pPr>
              <w:spacing w:line="420" w:lineRule="exact"/>
              <w:ind w:firstLine="420"/>
              <w:rPr>
                <w:sz w:val="21"/>
                <w:szCs w:val="21"/>
              </w:rPr>
            </w:pPr>
            <w:r>
              <w:rPr>
                <w:sz w:val="21"/>
                <w:szCs w:val="21"/>
              </w:rPr>
              <w:t>f）《财政部、国土资源部关于印发土地开发整理项目预算定额标准的通知》（财综〔2011〕128号）；</w:t>
            </w:r>
          </w:p>
          <w:p>
            <w:pPr>
              <w:spacing w:line="420" w:lineRule="exact"/>
              <w:ind w:firstLine="420"/>
              <w:rPr>
                <w:sz w:val="21"/>
                <w:szCs w:val="21"/>
              </w:rPr>
            </w:pPr>
            <w:r>
              <w:rPr>
                <w:sz w:val="21"/>
                <w:szCs w:val="21"/>
              </w:rPr>
              <w:t>g）《财政部税务总局海关总署关于深化增值税改革有关政策的公告》（财政部税务总局海关总署公告2019年第39号）；</w:t>
            </w:r>
          </w:p>
          <w:p>
            <w:pPr>
              <w:spacing w:line="420" w:lineRule="exact"/>
              <w:ind w:firstLine="420"/>
              <w:rPr>
                <w:sz w:val="21"/>
                <w:szCs w:val="21"/>
              </w:rPr>
            </w:pPr>
            <w:r>
              <w:rPr>
                <w:sz w:val="21"/>
                <w:szCs w:val="21"/>
              </w:rPr>
              <w:t>h）《云南省劳动和社会保障厅文件》（云劳社办〔2005〕231号）；</w:t>
            </w:r>
          </w:p>
          <w:p>
            <w:pPr>
              <w:spacing w:line="420" w:lineRule="exact"/>
              <w:ind w:firstLine="420"/>
              <w:rPr>
                <w:sz w:val="21"/>
                <w:szCs w:val="21"/>
              </w:rPr>
            </w:pPr>
            <w:r>
              <w:rPr>
                <w:sz w:val="21"/>
                <w:szCs w:val="21"/>
              </w:rPr>
              <w:t>i）《云南省人民政府办公厅关于印发云南省降低社会保险费率实施方案的通知》（云政办发〔2019〕48号）；</w:t>
            </w:r>
          </w:p>
          <w:p>
            <w:pPr>
              <w:spacing w:line="420" w:lineRule="exact"/>
              <w:ind w:firstLine="420"/>
              <w:rPr>
                <w:sz w:val="21"/>
                <w:szCs w:val="21"/>
              </w:rPr>
            </w:pPr>
            <w:r>
              <w:rPr>
                <w:sz w:val="21"/>
                <w:szCs w:val="21"/>
              </w:rPr>
              <w:t>j）《</w:t>
            </w:r>
            <w:r>
              <w:rPr>
                <w:rFonts w:hint="eastAsia"/>
                <w:sz w:val="21"/>
                <w:szCs w:val="21"/>
              </w:rPr>
              <w:t>文山州</w:t>
            </w:r>
            <w:r>
              <w:rPr>
                <w:sz w:val="21"/>
                <w:szCs w:val="21"/>
              </w:rPr>
              <w:t>建设工程材料及设备价格信息》（定额除税价格）（2022.</w:t>
            </w:r>
            <w:r>
              <w:rPr>
                <w:rFonts w:hint="eastAsia"/>
                <w:sz w:val="21"/>
                <w:szCs w:val="21"/>
              </w:rPr>
              <w:t>11</w:t>
            </w:r>
            <w:r>
              <w:rPr>
                <w:sz w:val="21"/>
                <w:szCs w:val="21"/>
              </w:rPr>
              <w:t>）。</w:t>
            </w:r>
          </w:p>
          <w:p>
            <w:pPr>
              <w:spacing w:line="420" w:lineRule="exact"/>
              <w:ind w:firstLine="420"/>
              <w:rPr>
                <w:sz w:val="21"/>
                <w:szCs w:val="21"/>
              </w:rPr>
            </w:pPr>
            <w:r>
              <w:rPr>
                <w:sz w:val="21"/>
                <w:szCs w:val="21"/>
              </w:rPr>
              <w:t>4、投资概算资金</w:t>
            </w:r>
          </w:p>
          <w:p>
            <w:pPr>
              <w:spacing w:line="420" w:lineRule="exact"/>
              <w:ind w:firstLine="420"/>
              <w:rPr>
                <w:sz w:val="21"/>
                <w:szCs w:val="21"/>
              </w:rPr>
            </w:pPr>
            <w:r>
              <w:rPr>
                <w:sz w:val="21"/>
                <w:szCs w:val="21"/>
              </w:rPr>
              <w:t>本项目复垦静态总投资为</w:t>
            </w:r>
            <w:r>
              <w:rPr>
                <w:rFonts w:hint="eastAsia"/>
                <w:sz w:val="21"/>
                <w:szCs w:val="21"/>
              </w:rPr>
              <w:t>164.5101</w:t>
            </w:r>
            <w:r>
              <w:rPr>
                <w:sz w:val="21"/>
                <w:szCs w:val="21"/>
              </w:rPr>
              <w:t>万元，动态总投资为</w:t>
            </w:r>
            <w:r>
              <w:rPr>
                <w:rFonts w:hint="eastAsia"/>
                <w:sz w:val="21"/>
                <w:szCs w:val="21"/>
              </w:rPr>
              <w:t>210.0265</w:t>
            </w:r>
            <w:r>
              <w:rPr>
                <w:sz w:val="21"/>
                <w:szCs w:val="21"/>
              </w:rPr>
              <w:t>万元，本方案复垦土地面积为</w:t>
            </w:r>
            <w:r>
              <w:rPr>
                <w:rFonts w:hint="eastAsia"/>
                <w:sz w:val="21"/>
                <w:szCs w:val="21"/>
              </w:rPr>
              <w:t>4.1706</w:t>
            </w:r>
            <w:r>
              <w:rPr>
                <w:sz w:val="21"/>
                <w:szCs w:val="21"/>
              </w:rPr>
              <w:t>hm²，项目静态投资为</w:t>
            </w:r>
            <w:r>
              <w:rPr>
                <w:rFonts w:hint="eastAsia"/>
                <w:sz w:val="21"/>
                <w:szCs w:val="21"/>
              </w:rPr>
              <w:t>39.4452万元/公顷（26296.79</w:t>
            </w:r>
            <w:r>
              <w:rPr>
                <w:sz w:val="21"/>
                <w:szCs w:val="21"/>
              </w:rPr>
              <w:t>元/亩</w:t>
            </w:r>
            <w:r>
              <w:rPr>
                <w:rFonts w:hint="eastAsia"/>
                <w:sz w:val="21"/>
                <w:szCs w:val="21"/>
              </w:rPr>
              <w:t>）</w:t>
            </w:r>
            <w:r>
              <w:rPr>
                <w:sz w:val="21"/>
                <w:szCs w:val="21"/>
              </w:rPr>
              <w:t>，动态投资为</w:t>
            </w:r>
            <w:r>
              <w:rPr>
                <w:rFonts w:hint="eastAsia"/>
                <w:sz w:val="21"/>
                <w:szCs w:val="21"/>
              </w:rPr>
              <w:t>50.3588万元/公顷（33572.55</w:t>
            </w:r>
            <w:r>
              <w:rPr>
                <w:sz w:val="21"/>
                <w:szCs w:val="21"/>
              </w:rPr>
              <w:t>元/亩</w:t>
            </w:r>
            <w:r>
              <w:rPr>
                <w:rFonts w:hint="eastAsia"/>
                <w:sz w:val="21"/>
                <w:szCs w:val="21"/>
              </w:rPr>
              <w:t>）</w:t>
            </w:r>
            <w:r>
              <w:rPr>
                <w:sz w:val="21"/>
                <w:szCs w:val="21"/>
              </w:rPr>
              <w:t>。</w:t>
            </w:r>
          </w:p>
          <w:p>
            <w:pPr>
              <w:spacing w:line="420" w:lineRule="exact"/>
              <w:ind w:firstLine="420"/>
              <w:rPr>
                <w:rFonts w:hint="eastAsia"/>
                <w:sz w:val="21"/>
                <w:szCs w:val="21"/>
              </w:rPr>
            </w:pPr>
            <w:r>
              <w:rPr>
                <w:sz w:val="21"/>
                <w:szCs w:val="21"/>
              </w:rPr>
              <w:t>本项目工程施工费</w:t>
            </w:r>
            <w:r>
              <w:rPr>
                <w:rFonts w:hint="eastAsia"/>
                <w:color w:val="000000"/>
                <w:kern w:val="0"/>
                <w:sz w:val="21"/>
                <w:szCs w:val="21"/>
                <w:lang w:bidi="ar"/>
              </w:rPr>
              <w:t>120.7772</w:t>
            </w:r>
            <w:r>
              <w:rPr>
                <w:sz w:val="21"/>
                <w:szCs w:val="21"/>
              </w:rPr>
              <w:t>万元，占静态总投资的</w:t>
            </w:r>
            <w:r>
              <w:rPr>
                <w:rFonts w:hint="eastAsia"/>
                <w:sz w:val="21"/>
                <w:szCs w:val="21"/>
              </w:rPr>
              <w:t>73.42</w:t>
            </w:r>
            <w:r>
              <w:rPr>
                <w:sz w:val="21"/>
                <w:szCs w:val="21"/>
              </w:rPr>
              <w:t>%；其他费用</w:t>
            </w:r>
            <w:r>
              <w:rPr>
                <w:rFonts w:hint="eastAsia"/>
                <w:color w:val="000000"/>
                <w:kern w:val="0"/>
                <w:sz w:val="21"/>
                <w:szCs w:val="21"/>
                <w:lang w:bidi="ar"/>
              </w:rPr>
              <w:t>29.7629</w:t>
            </w:r>
            <w:r>
              <w:rPr>
                <w:sz w:val="21"/>
                <w:szCs w:val="21"/>
              </w:rPr>
              <w:t>万元，占静态总投资的</w:t>
            </w:r>
            <w:r>
              <w:rPr>
                <w:rFonts w:hint="eastAsia"/>
                <w:sz w:val="21"/>
                <w:szCs w:val="21"/>
              </w:rPr>
              <w:t>18.09</w:t>
            </w:r>
            <w:r>
              <w:rPr>
                <w:sz w:val="21"/>
                <w:szCs w:val="21"/>
              </w:rPr>
              <w:t>%；</w:t>
            </w:r>
            <w:r>
              <w:rPr>
                <w:rFonts w:hint="eastAsia"/>
                <w:sz w:val="21"/>
                <w:szCs w:val="21"/>
              </w:rPr>
              <w:t>基本预备费9.0300万元，占静态总投资的5.49%，风险金4.9400万元，占静态总投资的3.00%，项目静态总投资164.5101万元，价差预备费45.5164</w:t>
            </w:r>
            <w:r>
              <w:rPr>
                <w:sz w:val="21"/>
                <w:szCs w:val="21"/>
              </w:rPr>
              <w:t>万元，占静态总投资的</w:t>
            </w:r>
            <w:r>
              <w:rPr>
                <w:rFonts w:hint="eastAsia"/>
                <w:sz w:val="21"/>
                <w:szCs w:val="21"/>
              </w:rPr>
              <w:t>27.67</w:t>
            </w:r>
            <w:r>
              <w:rPr>
                <w:sz w:val="21"/>
                <w:szCs w:val="21"/>
              </w:rPr>
              <w:t>%；</w:t>
            </w:r>
            <w:r>
              <w:rPr>
                <w:rFonts w:hint="eastAsia"/>
                <w:sz w:val="21"/>
                <w:szCs w:val="21"/>
              </w:rPr>
              <w:t>项目动态总投资210.0265万元。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restart"/>
            <w:noWrap w:val="0"/>
            <w:vAlign w:val="center"/>
          </w:tcPr>
          <w:p>
            <w:pPr>
              <w:ind w:firstLine="0" w:firstLineChars="0"/>
              <w:rPr>
                <w:sz w:val="21"/>
                <w:szCs w:val="21"/>
              </w:rPr>
            </w:pPr>
          </w:p>
          <w:p>
            <w:pPr>
              <w:ind w:firstLine="0" w:firstLineChars="0"/>
              <w:rPr>
                <w:sz w:val="21"/>
                <w:szCs w:val="21"/>
              </w:rPr>
            </w:pPr>
            <w:r>
              <w:rPr>
                <w:sz w:val="21"/>
                <w:szCs w:val="21"/>
              </w:rPr>
              <w:t>费用</w:t>
            </w:r>
          </w:p>
          <w:p>
            <w:pPr>
              <w:ind w:firstLine="0" w:firstLineChars="0"/>
              <w:rPr>
                <w:sz w:val="21"/>
                <w:szCs w:val="21"/>
              </w:rPr>
            </w:pPr>
            <w:r>
              <w:rPr>
                <w:sz w:val="21"/>
                <w:szCs w:val="21"/>
              </w:rPr>
              <w:t>构</w:t>
            </w:r>
          </w:p>
          <w:p>
            <w:pPr>
              <w:ind w:firstLine="0" w:firstLineChars="0"/>
              <w:rPr>
                <w:sz w:val="21"/>
                <w:szCs w:val="21"/>
              </w:rPr>
            </w:pPr>
            <w:r>
              <w:rPr>
                <w:sz w:val="21"/>
                <w:szCs w:val="21"/>
              </w:rPr>
              <w:t>成</w:t>
            </w: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序号</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工程或费用名称</w:t>
            </w:r>
          </w:p>
        </w:tc>
        <w:tc>
          <w:tcPr>
            <w:tcW w:w="3620"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费用（万元）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一</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工程施工费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120.7772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二</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设备费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三</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其他费用</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29.7629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四</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监测与管护费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（一）</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监测费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（二）</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管护费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五</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预备费</w:t>
            </w:r>
          </w:p>
        </w:tc>
        <w:tc>
          <w:tcPr>
            <w:tcW w:w="3620" w:type="dxa"/>
            <w:gridSpan w:val="2"/>
            <w:noWrap w:val="0"/>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59.4864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（一）</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基本预备费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9.0300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（二）</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价差预备费</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45.5164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（三）</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风险金</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4.9400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六</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静态总投资</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164.5101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8" w:type="dxa"/>
            <w:vMerge w:val="continue"/>
            <w:noWrap w:val="0"/>
            <w:vAlign w:val="center"/>
          </w:tcPr>
          <w:p>
            <w:pPr>
              <w:ind w:firstLine="420"/>
              <w:jc w:val="center"/>
              <w:rPr>
                <w:sz w:val="21"/>
                <w:szCs w:val="21"/>
                <w:highlight w:val="yellow"/>
              </w:rPr>
            </w:pPr>
          </w:p>
        </w:tc>
        <w:tc>
          <w:tcPr>
            <w:tcW w:w="602" w:type="dxa"/>
            <w:vMerge w:val="continue"/>
            <w:noWrap w:val="0"/>
            <w:vAlign w:val="center"/>
          </w:tcPr>
          <w:p>
            <w:pPr>
              <w:ind w:firstLine="420"/>
              <w:jc w:val="center"/>
              <w:rPr>
                <w:sz w:val="21"/>
                <w:szCs w:val="21"/>
              </w:rPr>
            </w:pPr>
          </w:p>
        </w:tc>
        <w:tc>
          <w:tcPr>
            <w:tcW w:w="1488" w:type="dxa"/>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七</w:t>
            </w:r>
          </w:p>
        </w:tc>
        <w:tc>
          <w:tcPr>
            <w:tcW w:w="2284" w:type="dxa"/>
            <w:gridSpan w:val="2"/>
            <w:noWrap w:val="0"/>
            <w:vAlign w:val="center"/>
          </w:tcPr>
          <w:p>
            <w:pPr>
              <w:widowControl/>
              <w:spacing w:line="240" w:lineRule="auto"/>
              <w:ind w:firstLine="0" w:firstLineChars="0"/>
              <w:jc w:val="center"/>
              <w:rPr>
                <w:color w:val="000000"/>
                <w:kern w:val="0"/>
                <w:sz w:val="21"/>
                <w:szCs w:val="21"/>
              </w:rPr>
            </w:pPr>
            <w:r>
              <w:rPr>
                <w:color w:val="000000"/>
                <w:kern w:val="0"/>
                <w:sz w:val="21"/>
                <w:szCs w:val="21"/>
              </w:rPr>
              <w:t>动态总投资</w:t>
            </w:r>
          </w:p>
        </w:tc>
        <w:tc>
          <w:tcPr>
            <w:tcW w:w="3620" w:type="dxa"/>
            <w:gridSpan w:val="2"/>
            <w:noWrap w:val="0"/>
            <w:vAlign w:val="center"/>
          </w:tcPr>
          <w:p>
            <w:pPr>
              <w:widowControl/>
              <w:spacing w:line="240" w:lineRule="auto"/>
              <w:ind w:firstLine="0" w:firstLineChars="0"/>
              <w:jc w:val="center"/>
              <w:textAlignment w:val="center"/>
              <w:rPr>
                <w:color w:val="000000"/>
                <w:kern w:val="0"/>
                <w:sz w:val="21"/>
                <w:szCs w:val="21"/>
              </w:rPr>
            </w:pPr>
            <w:r>
              <w:rPr>
                <w:rFonts w:eastAsia="宋体"/>
                <w:color w:val="000000"/>
                <w:kern w:val="0"/>
                <w:sz w:val="21"/>
                <w:szCs w:val="21"/>
                <w:lang w:bidi="ar"/>
              </w:rPr>
              <w:t>210.0265</w:t>
            </w:r>
          </w:p>
        </w:tc>
      </w:tr>
    </w:tbl>
    <w:p>
      <w:pPr>
        <w:pStyle w:val="33"/>
        <w:rPr>
          <w:rFonts w:ascii="Times New Roman" w:hAnsi="Times New Roman" w:eastAsia="仿宋_GB2312" w:cs="Times New Roman"/>
        </w:rPr>
      </w:pPr>
      <w:r>
        <w:rPr>
          <w:rFonts w:ascii="Times New Roman" w:hAnsi="Times New Roman" w:eastAsia="仿宋_GB2312" w:cs="Times New Roman"/>
        </w:rPr>
        <w:t>填表人：</w:t>
      </w:r>
      <w:r>
        <w:rPr>
          <w:rFonts w:hint="eastAsia" w:ascii="Times New Roman" w:hAnsi="Times New Roman" w:eastAsia="仿宋_GB2312" w:cs="Times New Roman"/>
          <w:lang w:val="en-US" w:eastAsia="zh-CN"/>
        </w:rPr>
        <w:t xml:space="preserve">刘利霖                                  </w:t>
      </w:r>
      <w:r>
        <w:rPr>
          <w:rFonts w:ascii="Times New Roman" w:hAnsi="Times New Roman" w:eastAsia="仿宋_GB2312" w:cs="Times New Roman"/>
        </w:rPr>
        <w:t>填表日期：202</w:t>
      </w:r>
      <w:r>
        <w:rPr>
          <w:rFonts w:ascii="Times New Roman" w:hAnsi="Times New Roman" w:eastAsia="仿宋_GB2312" w:cs="Times New Roman"/>
          <w:lang w:val="en-US" w:eastAsia="zh-CN"/>
        </w:rPr>
        <w:t>2</w:t>
      </w:r>
      <w:r>
        <w:rPr>
          <w:rFonts w:ascii="Times New Roman" w:hAnsi="Times New Roman" w:eastAsia="仿宋_GB2312" w:cs="Times New Roman"/>
        </w:rPr>
        <w:t>年</w:t>
      </w:r>
      <w:r>
        <w:rPr>
          <w:rFonts w:hint="eastAsia" w:ascii="Times New Roman" w:hAnsi="Times New Roman" w:eastAsia="仿宋_GB2312" w:cs="Times New Roman"/>
          <w:lang w:val="en-US" w:eastAsia="zh-CN"/>
        </w:rPr>
        <w:t>12</w:t>
      </w:r>
      <w:r>
        <w:rPr>
          <w:rFonts w:ascii="Times New Roman" w:hAnsi="Times New Roman" w:eastAsia="仿宋_GB2312" w:cs="Times New Roman"/>
        </w:rPr>
        <w:t>月</w:t>
      </w:r>
      <w:r>
        <w:rPr>
          <w:rFonts w:hint="eastAsia" w:ascii="Times New Roman" w:hAnsi="Times New Roman" w:eastAsia="仿宋_GB2312" w:cs="Times New Roman"/>
          <w:lang w:val="en-US" w:eastAsia="zh-CN"/>
        </w:rPr>
        <w:t>5</w:t>
      </w:r>
      <w:r>
        <w:rPr>
          <w:rFonts w:ascii="Times New Roman" w:hAnsi="Times New Roman" w:eastAsia="仿宋_GB2312" w:cs="Times New Roman"/>
        </w:rPr>
        <w:t>日</w:t>
      </w:r>
    </w:p>
    <w:p>
      <w:pPr>
        <w:tabs>
          <w:tab w:val="left" w:pos="3540"/>
          <w:tab w:val="center" w:pos="4369"/>
        </w:tabs>
        <w:ind w:right="210" w:firstLine="643"/>
        <w:jc w:val="left"/>
        <w:rPr>
          <w:b/>
          <w:color w:val="000000"/>
          <w:sz w:val="32"/>
          <w:szCs w:val="32"/>
          <w:highlight w:val="yellow"/>
        </w:rPr>
        <w:sectPr>
          <w:footerReference r:id="rId16" w:type="default"/>
          <w:pgSz w:w="11906" w:h="16838"/>
          <w:pgMar w:top="1440" w:right="1800" w:bottom="1440" w:left="1800" w:header="851" w:footer="992" w:gutter="0"/>
          <w:pgNumType w:fmt="upperRoman" w:start="1"/>
          <w:cols w:space="720" w:num="1"/>
          <w:docGrid w:type="lines" w:linePitch="312" w:charSpace="0"/>
        </w:sectPr>
      </w:pPr>
    </w:p>
    <w:p>
      <w:pPr>
        <w:spacing w:line="312" w:lineRule="auto"/>
        <w:ind w:right="210" w:firstLine="0" w:firstLineChars="0"/>
        <w:jc w:val="center"/>
        <w:rPr>
          <w:bCs/>
          <w:color w:val="000000"/>
          <w:szCs w:val="24"/>
        </w:rPr>
      </w:pPr>
      <w:r>
        <w:rPr>
          <w:bCs/>
          <w:color w:val="000000"/>
          <w:szCs w:val="24"/>
        </w:rPr>
        <w:t>目录</w:t>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b w:val="0"/>
          <w:color w:val="000000"/>
          <w:sz w:val="24"/>
          <w:szCs w:val="24"/>
        </w:rPr>
        <w:fldChar w:fldCharType="begin"/>
      </w:r>
      <w:r>
        <w:rPr>
          <w:rFonts w:ascii="Times New Roman" w:hAnsi="Times New Roman" w:eastAsia="仿宋_GB2312"/>
          <w:b w:val="0"/>
          <w:color w:val="000000"/>
          <w:sz w:val="24"/>
          <w:szCs w:val="24"/>
        </w:rPr>
        <w:instrText xml:space="preserve"> TOC \o "1-2" \h \z \u </w:instrText>
      </w:r>
      <w:r>
        <w:rPr>
          <w:rFonts w:ascii="Times New Roman" w:hAnsi="Times New Roman" w:eastAsia="仿宋_GB2312"/>
          <w:b w:val="0"/>
          <w:color w:val="000000"/>
          <w:sz w:val="24"/>
          <w:szCs w:val="24"/>
        </w:rPr>
        <w:fldChar w:fldCharType="separate"/>
      </w: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_Toc19951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1前言</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_Toc19951 \h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_Toc19193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1.1编制背景及过程</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_Toc19193 \h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_Toc6827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1.2复垦方案摘要</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_Toc6827 \h </w:instrText>
      </w:r>
      <w:r>
        <w:rPr>
          <w:rFonts w:ascii="Times New Roman" w:hAnsi="Times New Roman" w:eastAsia="仿宋_GB2312"/>
          <w:sz w:val="24"/>
          <w:szCs w:val="24"/>
        </w:rPr>
        <w:fldChar w:fldCharType="separate"/>
      </w:r>
      <w:r>
        <w:rPr>
          <w:rFonts w:ascii="Times New Roman" w:hAnsi="Times New Roman" w:eastAsia="仿宋_GB2312"/>
          <w:sz w:val="24"/>
          <w:szCs w:val="24"/>
        </w:rPr>
        <w:t>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_Toc21972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2编制总则</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_Toc21972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_Toc27019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2.1编制目的</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_Toc27019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_Toc21255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2.2编制原则</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_Toc21255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_Toc3099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2.3编制依据</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_Toc3099 \h </w:instrText>
      </w:r>
      <w:r>
        <w:rPr>
          <w:rFonts w:ascii="Times New Roman" w:hAnsi="Times New Roman" w:eastAsia="仿宋_GB2312"/>
          <w:sz w:val="24"/>
          <w:szCs w:val="24"/>
        </w:rPr>
        <w:fldChar w:fldCharType="separate"/>
      </w:r>
      <w:r>
        <w:rPr>
          <w:rFonts w:ascii="Times New Roman" w:hAnsi="Times New Roman" w:eastAsia="仿宋_GB2312"/>
          <w:sz w:val="24"/>
          <w:szCs w:val="24"/>
        </w:rPr>
        <w:t>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_Toc5619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2.4主要计量单位</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_Toc5619 \h </w:instrText>
      </w:r>
      <w:r>
        <w:rPr>
          <w:rFonts w:ascii="Times New Roman" w:hAnsi="Times New Roman" w:eastAsia="仿宋_GB2312"/>
          <w:sz w:val="24"/>
          <w:szCs w:val="24"/>
        </w:rPr>
        <w:fldChar w:fldCharType="separate"/>
      </w:r>
      <w:r>
        <w:rPr>
          <w:rFonts w:ascii="Times New Roman" w:hAnsi="Times New Roman" w:eastAsia="仿宋_GB2312"/>
          <w:sz w:val="24"/>
          <w:szCs w:val="24"/>
        </w:rPr>
        <w:t>7</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_Toc22563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3项目概况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_Toc22563 \h </w:instrText>
      </w:r>
      <w:r>
        <w:rPr>
          <w:rFonts w:ascii="Times New Roman" w:hAnsi="Times New Roman" w:eastAsia="仿宋_GB2312"/>
          <w:sz w:val="24"/>
          <w:szCs w:val="24"/>
        </w:rPr>
        <w:fldChar w:fldCharType="separate"/>
      </w:r>
      <w:r>
        <w:rPr>
          <w:rFonts w:ascii="Times New Roman" w:hAnsi="Times New Roman" w:eastAsia="仿宋_GB2312"/>
          <w:sz w:val="24"/>
          <w:szCs w:val="24"/>
        </w:rPr>
        <w:t>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_Toc13725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3.1项目简介</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_Toc13725 \h </w:instrText>
      </w:r>
      <w:r>
        <w:rPr>
          <w:rFonts w:ascii="Times New Roman" w:hAnsi="Times New Roman" w:eastAsia="仿宋_GB2312"/>
          <w:sz w:val="24"/>
          <w:szCs w:val="24"/>
        </w:rPr>
        <w:fldChar w:fldCharType="separate"/>
      </w:r>
      <w:r>
        <w:rPr>
          <w:rFonts w:ascii="Times New Roman" w:hAnsi="Times New Roman" w:eastAsia="仿宋_GB2312"/>
          <w:sz w:val="24"/>
          <w:szCs w:val="24"/>
        </w:rPr>
        <w:t>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_Toc10111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3.2项目区自然概况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_Toc10111 \h </w:instrText>
      </w:r>
      <w:r>
        <w:rPr>
          <w:rFonts w:ascii="Times New Roman" w:hAnsi="Times New Roman" w:eastAsia="仿宋_GB2312"/>
          <w:sz w:val="24"/>
          <w:szCs w:val="24"/>
        </w:rPr>
        <w:fldChar w:fldCharType="separate"/>
      </w:r>
      <w:r>
        <w:rPr>
          <w:rFonts w:ascii="Times New Roman" w:hAnsi="Times New Roman" w:eastAsia="仿宋_GB2312"/>
          <w:sz w:val="24"/>
          <w:szCs w:val="24"/>
        </w:rPr>
        <w:t>9</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_Toc3993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3.3项目区社会经济概况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_Toc3993 \h </w:instrText>
      </w:r>
      <w:r>
        <w:rPr>
          <w:rFonts w:ascii="Times New Roman" w:hAnsi="Times New Roman" w:eastAsia="仿宋_GB2312"/>
          <w:sz w:val="24"/>
          <w:szCs w:val="24"/>
        </w:rPr>
        <w:fldChar w:fldCharType="separate"/>
      </w:r>
      <w:r>
        <w:rPr>
          <w:rFonts w:ascii="Times New Roman" w:hAnsi="Times New Roman" w:eastAsia="仿宋_GB2312"/>
          <w:sz w:val="24"/>
          <w:szCs w:val="24"/>
        </w:rPr>
        <w:t>11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_Toc18423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3.4项目区土地利用状况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_Toc18423 \h </w:instrText>
      </w:r>
      <w:r>
        <w:rPr>
          <w:rFonts w:ascii="Times New Roman" w:hAnsi="Times New Roman" w:eastAsia="仿宋_GB2312"/>
          <w:sz w:val="24"/>
          <w:szCs w:val="24"/>
        </w:rPr>
        <w:fldChar w:fldCharType="separate"/>
      </w:r>
      <w:r>
        <w:rPr>
          <w:rFonts w:ascii="Times New Roman" w:hAnsi="Times New Roman" w:eastAsia="仿宋_GB2312"/>
          <w:sz w:val="24"/>
          <w:szCs w:val="24"/>
        </w:rPr>
        <w:t>11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_Toc3853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3.5临时用地符合土地规划情况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_Toc3853 \h </w:instrText>
      </w:r>
      <w:r>
        <w:rPr>
          <w:rFonts w:ascii="Times New Roman" w:hAnsi="Times New Roman" w:eastAsia="仿宋_GB2312"/>
          <w:sz w:val="24"/>
          <w:szCs w:val="24"/>
        </w:rPr>
        <w:fldChar w:fldCharType="separate"/>
      </w:r>
      <w:r>
        <w:rPr>
          <w:rFonts w:ascii="Times New Roman" w:hAnsi="Times New Roman" w:eastAsia="仿宋_GB2312"/>
          <w:sz w:val="24"/>
          <w:szCs w:val="24"/>
        </w:rPr>
        <w:t>14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_Toc25259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4土地复垦方向可行性分析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_Toc25259 \h </w:instrText>
      </w:r>
      <w:r>
        <w:rPr>
          <w:rFonts w:ascii="Times New Roman" w:hAnsi="Times New Roman" w:eastAsia="仿宋_GB2312"/>
          <w:sz w:val="24"/>
          <w:szCs w:val="24"/>
        </w:rPr>
        <w:fldChar w:fldCharType="separate"/>
      </w:r>
      <w:r>
        <w:rPr>
          <w:rFonts w:ascii="Times New Roman" w:hAnsi="Times New Roman" w:eastAsia="仿宋_GB2312"/>
          <w:sz w:val="24"/>
          <w:szCs w:val="24"/>
        </w:rPr>
        <w:t>15</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_Toc16607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4.1土地损毁分析与预测</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_Toc16607 \h </w:instrText>
      </w:r>
      <w:r>
        <w:rPr>
          <w:rFonts w:ascii="Times New Roman" w:hAnsi="Times New Roman" w:eastAsia="仿宋_GB2312"/>
          <w:sz w:val="24"/>
          <w:szCs w:val="24"/>
        </w:rPr>
        <w:fldChar w:fldCharType="separate"/>
      </w:r>
      <w:r>
        <w:rPr>
          <w:rFonts w:ascii="Times New Roman" w:hAnsi="Times New Roman" w:eastAsia="仿宋_GB2312"/>
          <w:sz w:val="24"/>
          <w:szCs w:val="24"/>
        </w:rPr>
        <w:t>15</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_Toc24589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4.2复垦责任范围土地利用状况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_Toc24589 \h </w:instrText>
      </w:r>
      <w:r>
        <w:rPr>
          <w:rFonts w:ascii="Times New Roman" w:hAnsi="Times New Roman" w:eastAsia="仿宋_GB2312"/>
          <w:sz w:val="24"/>
          <w:szCs w:val="24"/>
        </w:rPr>
        <w:fldChar w:fldCharType="separate"/>
      </w:r>
      <w:r>
        <w:rPr>
          <w:rFonts w:ascii="Times New Roman" w:hAnsi="Times New Roman" w:eastAsia="仿宋_GB2312"/>
          <w:sz w:val="24"/>
          <w:szCs w:val="24"/>
        </w:rPr>
        <w:t>20</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_Toc18002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4.3生态环境影响分析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_Toc18002 \h </w:instrText>
      </w:r>
      <w:r>
        <w:rPr>
          <w:rFonts w:ascii="Times New Roman" w:hAnsi="Times New Roman" w:eastAsia="仿宋_GB2312"/>
          <w:sz w:val="24"/>
          <w:szCs w:val="24"/>
        </w:rPr>
        <w:fldChar w:fldCharType="separate"/>
      </w:r>
      <w:r>
        <w:rPr>
          <w:rFonts w:ascii="Times New Roman" w:hAnsi="Times New Roman" w:eastAsia="仿宋_GB2312"/>
          <w:sz w:val="24"/>
          <w:szCs w:val="24"/>
        </w:rPr>
        <w:t>21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_Toc13443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4.4土地复垦适应性评价</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_Toc13443 \h </w:instrText>
      </w:r>
      <w:r>
        <w:rPr>
          <w:rFonts w:ascii="Times New Roman" w:hAnsi="Times New Roman" w:eastAsia="仿宋_GB2312"/>
          <w:sz w:val="24"/>
          <w:szCs w:val="24"/>
        </w:rPr>
        <w:fldChar w:fldCharType="separate"/>
      </w:r>
      <w:r>
        <w:rPr>
          <w:rFonts w:ascii="Times New Roman" w:hAnsi="Times New Roman" w:eastAsia="仿宋_GB2312"/>
          <w:sz w:val="24"/>
          <w:szCs w:val="24"/>
        </w:rPr>
        <w:t>24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_Toc418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4.5水土资源平衡分析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_Toc418 \h </w:instrText>
      </w:r>
      <w:r>
        <w:rPr>
          <w:rFonts w:ascii="Times New Roman" w:hAnsi="Times New Roman" w:eastAsia="仿宋_GB2312"/>
          <w:sz w:val="24"/>
          <w:szCs w:val="24"/>
        </w:rPr>
        <w:fldChar w:fldCharType="separate"/>
      </w:r>
      <w:r>
        <w:rPr>
          <w:rFonts w:ascii="Times New Roman" w:hAnsi="Times New Roman" w:eastAsia="仿宋_GB2312"/>
          <w:sz w:val="24"/>
          <w:szCs w:val="24"/>
        </w:rPr>
        <w:t>28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_Toc8988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4.6复垦的目标任务</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_Toc8988 \h </w:instrText>
      </w:r>
      <w:r>
        <w:rPr>
          <w:rFonts w:ascii="Times New Roman" w:hAnsi="Times New Roman" w:eastAsia="仿宋_GB2312"/>
          <w:sz w:val="24"/>
          <w:szCs w:val="24"/>
        </w:rPr>
        <w:fldChar w:fldCharType="separate"/>
      </w:r>
      <w:r>
        <w:rPr>
          <w:rFonts w:ascii="Times New Roman" w:hAnsi="Times New Roman" w:eastAsia="仿宋_GB2312"/>
          <w:sz w:val="24"/>
          <w:szCs w:val="24"/>
        </w:rPr>
        <w:t>30</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_Toc29787 </w:instrText>
      </w:r>
      <w:r>
        <w:rPr>
          <w:rFonts w:ascii="Times New Roman" w:hAnsi="Times New Roman" w:eastAsia="仿宋_GB2312"/>
          <w:sz w:val="24"/>
          <w:szCs w:val="24"/>
        </w:rPr>
        <w:fldChar w:fldCharType="separate"/>
      </w:r>
      <w:r>
        <w:rPr>
          <w:rFonts w:ascii="Times New Roman" w:hAnsi="Times New Roman" w:eastAsia="仿宋_GB2312"/>
          <w:sz w:val="24"/>
          <w:szCs w:val="24"/>
        </w:rPr>
        <w:t>5土地复垦质量要求与复垦措施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_Toc29787 \h </w:instrText>
      </w:r>
      <w:r>
        <w:rPr>
          <w:rFonts w:ascii="Times New Roman" w:hAnsi="Times New Roman" w:eastAsia="仿宋_GB2312"/>
          <w:sz w:val="24"/>
          <w:szCs w:val="24"/>
        </w:rPr>
        <w:fldChar w:fldCharType="separate"/>
      </w:r>
      <w:r>
        <w:rPr>
          <w:rFonts w:ascii="Times New Roman" w:hAnsi="Times New Roman" w:eastAsia="仿宋_GB2312"/>
          <w:sz w:val="24"/>
          <w:szCs w:val="24"/>
        </w:rPr>
        <w:t>31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_Toc12038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5.1土地复垦质量要求</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_Toc12038 \h </w:instrText>
      </w:r>
      <w:r>
        <w:rPr>
          <w:rFonts w:ascii="Times New Roman" w:hAnsi="Times New Roman" w:eastAsia="仿宋_GB2312"/>
          <w:sz w:val="24"/>
          <w:szCs w:val="24"/>
        </w:rPr>
        <w:fldChar w:fldCharType="separate"/>
      </w:r>
      <w:r>
        <w:rPr>
          <w:rFonts w:ascii="Times New Roman" w:hAnsi="Times New Roman" w:eastAsia="仿宋_GB2312"/>
          <w:sz w:val="24"/>
          <w:szCs w:val="24"/>
        </w:rPr>
        <w:t>31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_Toc31145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5.2预防控制措施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_Toc31145 \h </w:instrText>
      </w:r>
      <w:r>
        <w:rPr>
          <w:rFonts w:ascii="Times New Roman" w:hAnsi="Times New Roman" w:eastAsia="仿宋_GB2312"/>
          <w:sz w:val="24"/>
          <w:szCs w:val="24"/>
        </w:rPr>
        <w:fldChar w:fldCharType="separate"/>
      </w:r>
      <w:r>
        <w:rPr>
          <w:rFonts w:ascii="Times New Roman" w:hAnsi="Times New Roman" w:eastAsia="仿宋_GB2312"/>
          <w:sz w:val="24"/>
          <w:szCs w:val="24"/>
        </w:rPr>
        <w:t>31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_Toc21927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5.3复垦措施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_Toc21927 \h </w:instrText>
      </w:r>
      <w:r>
        <w:rPr>
          <w:rFonts w:ascii="Times New Roman" w:hAnsi="Times New Roman" w:eastAsia="仿宋_GB2312"/>
          <w:sz w:val="24"/>
          <w:szCs w:val="24"/>
        </w:rPr>
        <w:fldChar w:fldCharType="separate"/>
      </w:r>
      <w:r>
        <w:rPr>
          <w:rFonts w:ascii="Times New Roman" w:hAnsi="Times New Roman" w:eastAsia="仿宋_GB2312"/>
          <w:sz w:val="24"/>
          <w:szCs w:val="24"/>
        </w:rPr>
        <w:t>32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_Toc31372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5.4管护措施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_Toc31372 \h </w:instrText>
      </w:r>
      <w:r>
        <w:rPr>
          <w:rFonts w:ascii="Times New Roman" w:hAnsi="Times New Roman" w:eastAsia="仿宋_GB2312"/>
          <w:sz w:val="24"/>
          <w:szCs w:val="24"/>
        </w:rPr>
        <w:fldChar w:fldCharType="separate"/>
      </w:r>
      <w:r>
        <w:rPr>
          <w:rFonts w:ascii="Times New Roman" w:hAnsi="Times New Roman" w:eastAsia="仿宋_GB2312"/>
          <w:sz w:val="24"/>
          <w:szCs w:val="24"/>
        </w:rPr>
        <w:t>33</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_Toc14834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6土地复垦工程设计及工程量测算</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_Toc14834 \h </w:instrText>
      </w:r>
      <w:r>
        <w:rPr>
          <w:rFonts w:ascii="Times New Roman" w:hAnsi="Times New Roman" w:eastAsia="仿宋_GB2312"/>
          <w:sz w:val="24"/>
          <w:szCs w:val="24"/>
        </w:rPr>
        <w:fldChar w:fldCharType="separate"/>
      </w:r>
      <w:r>
        <w:rPr>
          <w:rFonts w:ascii="Times New Roman" w:hAnsi="Times New Roman" w:eastAsia="仿宋_GB2312"/>
          <w:sz w:val="24"/>
          <w:szCs w:val="24"/>
        </w:rPr>
        <w:t>34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_Toc10096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6.1工程设计</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_Toc10096 \h </w:instrText>
      </w:r>
      <w:r>
        <w:rPr>
          <w:rFonts w:ascii="Times New Roman" w:hAnsi="Times New Roman" w:eastAsia="仿宋_GB2312"/>
          <w:sz w:val="24"/>
          <w:szCs w:val="24"/>
        </w:rPr>
        <w:fldChar w:fldCharType="separate"/>
      </w:r>
      <w:r>
        <w:rPr>
          <w:rFonts w:ascii="Times New Roman" w:hAnsi="Times New Roman" w:eastAsia="仿宋_GB2312"/>
          <w:sz w:val="24"/>
          <w:szCs w:val="24"/>
        </w:rPr>
        <w:t>34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_Toc31250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6.2工程量测算</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_Toc31250 \h </w:instrText>
      </w:r>
      <w:r>
        <w:rPr>
          <w:rFonts w:ascii="Times New Roman" w:hAnsi="Times New Roman" w:eastAsia="仿宋_GB2312"/>
          <w:sz w:val="24"/>
          <w:szCs w:val="24"/>
        </w:rPr>
        <w:fldChar w:fldCharType="separate"/>
      </w:r>
      <w:r>
        <w:rPr>
          <w:rFonts w:ascii="Times New Roman" w:hAnsi="Times New Roman" w:eastAsia="仿宋_GB2312"/>
          <w:sz w:val="24"/>
          <w:szCs w:val="24"/>
        </w:rPr>
        <w:t>38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_Toc5707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7土地复垦投资估算</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_Toc5707 \h </w:instrText>
      </w:r>
      <w:r>
        <w:rPr>
          <w:rFonts w:ascii="Times New Roman" w:hAnsi="Times New Roman" w:eastAsia="仿宋_GB2312"/>
          <w:sz w:val="24"/>
          <w:szCs w:val="24"/>
        </w:rPr>
        <w:fldChar w:fldCharType="separate"/>
      </w:r>
      <w:r>
        <w:rPr>
          <w:rFonts w:ascii="Times New Roman" w:hAnsi="Times New Roman" w:eastAsia="仿宋_GB2312"/>
          <w:sz w:val="24"/>
          <w:szCs w:val="24"/>
        </w:rPr>
        <w:t>39</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_Toc5359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7.1估算说明</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_Toc5359 \h </w:instrText>
      </w:r>
      <w:r>
        <w:rPr>
          <w:rFonts w:ascii="Times New Roman" w:hAnsi="Times New Roman" w:eastAsia="仿宋_GB2312"/>
          <w:sz w:val="24"/>
          <w:szCs w:val="24"/>
        </w:rPr>
        <w:fldChar w:fldCharType="separate"/>
      </w:r>
      <w:r>
        <w:rPr>
          <w:rFonts w:ascii="Times New Roman" w:hAnsi="Times New Roman" w:eastAsia="仿宋_GB2312"/>
          <w:sz w:val="24"/>
          <w:szCs w:val="24"/>
        </w:rPr>
        <w:t>39</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_Toc12293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7.2估算成果</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_Toc12293 \h </w:instrText>
      </w:r>
      <w:r>
        <w:rPr>
          <w:rFonts w:ascii="Times New Roman" w:hAnsi="Times New Roman" w:eastAsia="仿宋_GB2312"/>
          <w:sz w:val="24"/>
          <w:szCs w:val="24"/>
        </w:rPr>
        <w:fldChar w:fldCharType="separate"/>
      </w:r>
      <w:r>
        <w:rPr>
          <w:rFonts w:ascii="Times New Roman" w:hAnsi="Times New Roman" w:eastAsia="仿宋_GB2312"/>
          <w:sz w:val="24"/>
          <w:szCs w:val="24"/>
        </w:rPr>
        <w:t>49</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_Toc9967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8土地复垦服务年限与复垦工作计划安排</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_Toc9967 \h </w:instrText>
      </w:r>
      <w:r>
        <w:rPr>
          <w:rFonts w:ascii="Times New Roman" w:hAnsi="Times New Roman" w:eastAsia="仿宋_GB2312"/>
          <w:sz w:val="24"/>
          <w:szCs w:val="24"/>
        </w:rPr>
        <w:fldChar w:fldCharType="separate"/>
      </w:r>
      <w:r>
        <w:rPr>
          <w:rFonts w:ascii="Times New Roman" w:hAnsi="Times New Roman" w:eastAsia="仿宋_GB2312"/>
          <w:sz w:val="24"/>
          <w:szCs w:val="24"/>
        </w:rPr>
        <w:t>51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_Toc544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8.1土地复垦服务年限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_Toc544 \h </w:instrText>
      </w:r>
      <w:r>
        <w:rPr>
          <w:rFonts w:ascii="Times New Roman" w:hAnsi="Times New Roman" w:eastAsia="仿宋_GB2312"/>
          <w:sz w:val="24"/>
          <w:szCs w:val="24"/>
        </w:rPr>
        <w:fldChar w:fldCharType="separate"/>
      </w:r>
      <w:r>
        <w:rPr>
          <w:rFonts w:ascii="Times New Roman" w:hAnsi="Times New Roman" w:eastAsia="仿宋_GB2312"/>
          <w:sz w:val="24"/>
          <w:szCs w:val="24"/>
        </w:rPr>
        <w:t>51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_Toc10098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8.2土地复垦工作计划安排</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_Toc10098 \h </w:instrText>
      </w:r>
      <w:r>
        <w:rPr>
          <w:rFonts w:ascii="Times New Roman" w:hAnsi="Times New Roman" w:eastAsia="仿宋_GB2312"/>
          <w:sz w:val="24"/>
          <w:szCs w:val="24"/>
        </w:rPr>
        <w:fldChar w:fldCharType="separate"/>
      </w:r>
      <w:r>
        <w:rPr>
          <w:rFonts w:ascii="Times New Roman" w:hAnsi="Times New Roman" w:eastAsia="仿宋_GB2312"/>
          <w:sz w:val="24"/>
          <w:szCs w:val="24"/>
        </w:rPr>
        <w:t>51</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_Toc26053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8.3土地复垦费用安排</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_Toc26053 \h </w:instrText>
      </w:r>
      <w:r>
        <w:rPr>
          <w:rFonts w:ascii="Times New Roman" w:hAnsi="Times New Roman" w:eastAsia="仿宋_GB2312"/>
          <w:sz w:val="24"/>
          <w:szCs w:val="24"/>
        </w:rPr>
        <w:fldChar w:fldCharType="separate"/>
      </w:r>
      <w:r>
        <w:rPr>
          <w:rFonts w:ascii="Times New Roman" w:hAnsi="Times New Roman" w:eastAsia="仿宋_GB2312"/>
          <w:sz w:val="24"/>
          <w:szCs w:val="24"/>
        </w:rPr>
        <w:t>52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_Toc18111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9土地复垦效益分析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_Toc18111 \h </w:instrText>
      </w:r>
      <w:r>
        <w:rPr>
          <w:rFonts w:ascii="Times New Roman" w:hAnsi="Times New Roman" w:eastAsia="仿宋_GB2312"/>
          <w:sz w:val="24"/>
          <w:szCs w:val="24"/>
        </w:rPr>
        <w:fldChar w:fldCharType="separate"/>
      </w:r>
      <w:r>
        <w:rPr>
          <w:rFonts w:ascii="Times New Roman" w:hAnsi="Times New Roman" w:eastAsia="仿宋_GB2312"/>
          <w:sz w:val="24"/>
          <w:szCs w:val="24"/>
        </w:rPr>
        <w:t>54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_Toc2046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9.1经济效益分析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_Toc2046 \h </w:instrText>
      </w:r>
      <w:r>
        <w:rPr>
          <w:rFonts w:ascii="Times New Roman" w:hAnsi="Times New Roman" w:eastAsia="仿宋_GB2312"/>
          <w:sz w:val="24"/>
          <w:szCs w:val="24"/>
        </w:rPr>
        <w:fldChar w:fldCharType="separate"/>
      </w:r>
      <w:r>
        <w:rPr>
          <w:rFonts w:ascii="Times New Roman" w:hAnsi="Times New Roman" w:eastAsia="仿宋_GB2312"/>
          <w:sz w:val="24"/>
          <w:szCs w:val="24"/>
        </w:rPr>
        <w:t>54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_Toc27755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9.2生态效益分析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_Toc27755 \h </w:instrText>
      </w:r>
      <w:r>
        <w:rPr>
          <w:rFonts w:ascii="Times New Roman" w:hAnsi="Times New Roman" w:eastAsia="仿宋_GB2312"/>
          <w:sz w:val="24"/>
          <w:szCs w:val="24"/>
        </w:rPr>
        <w:fldChar w:fldCharType="separate"/>
      </w:r>
      <w:r>
        <w:rPr>
          <w:rFonts w:ascii="Times New Roman" w:hAnsi="Times New Roman" w:eastAsia="仿宋_GB2312"/>
          <w:sz w:val="24"/>
          <w:szCs w:val="24"/>
        </w:rPr>
        <w:t>54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_Toc2203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9.3社会效益分析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_Toc2203 \h </w:instrText>
      </w:r>
      <w:r>
        <w:rPr>
          <w:rFonts w:ascii="Times New Roman" w:hAnsi="Times New Roman" w:eastAsia="仿宋_GB2312"/>
          <w:sz w:val="24"/>
          <w:szCs w:val="24"/>
        </w:rPr>
        <w:fldChar w:fldCharType="separate"/>
      </w:r>
      <w:r>
        <w:rPr>
          <w:rFonts w:ascii="Times New Roman" w:hAnsi="Times New Roman" w:eastAsia="仿宋_GB2312"/>
          <w:sz w:val="24"/>
          <w:szCs w:val="24"/>
        </w:rPr>
        <w:t>54</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_Toc20944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10保障措施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_Toc20944 \h </w:instrText>
      </w:r>
      <w:r>
        <w:rPr>
          <w:rFonts w:ascii="Times New Roman" w:hAnsi="Times New Roman" w:eastAsia="仿宋_GB2312"/>
          <w:sz w:val="24"/>
          <w:szCs w:val="24"/>
        </w:rPr>
        <w:fldChar w:fldCharType="separate"/>
      </w:r>
      <w:r>
        <w:rPr>
          <w:rFonts w:ascii="Times New Roman" w:hAnsi="Times New Roman" w:eastAsia="仿宋_GB2312"/>
          <w:sz w:val="24"/>
          <w:szCs w:val="24"/>
        </w:rPr>
        <w:t>55</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_Toc28240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10.1组织保障措施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_Toc28240 \h </w:instrText>
      </w:r>
      <w:r>
        <w:rPr>
          <w:rFonts w:ascii="Times New Roman" w:hAnsi="Times New Roman" w:eastAsia="仿宋_GB2312"/>
          <w:sz w:val="24"/>
          <w:szCs w:val="24"/>
        </w:rPr>
        <w:fldChar w:fldCharType="separate"/>
      </w:r>
      <w:r>
        <w:rPr>
          <w:rFonts w:ascii="Times New Roman" w:hAnsi="Times New Roman" w:eastAsia="仿宋_GB2312"/>
          <w:sz w:val="24"/>
          <w:szCs w:val="24"/>
        </w:rPr>
        <w:t>55</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_Toc31780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10.2费用保障措施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_Toc31780 \h </w:instrText>
      </w:r>
      <w:r>
        <w:rPr>
          <w:rFonts w:ascii="Times New Roman" w:hAnsi="Times New Roman" w:eastAsia="仿宋_GB2312"/>
          <w:sz w:val="24"/>
          <w:szCs w:val="24"/>
        </w:rPr>
        <w:fldChar w:fldCharType="separate"/>
      </w:r>
      <w:r>
        <w:rPr>
          <w:rFonts w:ascii="Times New Roman" w:hAnsi="Times New Roman" w:eastAsia="仿宋_GB2312"/>
          <w:sz w:val="24"/>
          <w:szCs w:val="24"/>
        </w:rPr>
        <w:t>55</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_Toc1440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10.3监管保障措施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_Toc1440 \h </w:instrText>
      </w:r>
      <w:r>
        <w:rPr>
          <w:rFonts w:ascii="Times New Roman" w:hAnsi="Times New Roman" w:eastAsia="仿宋_GB2312"/>
          <w:sz w:val="24"/>
          <w:szCs w:val="24"/>
        </w:rPr>
        <w:fldChar w:fldCharType="separate"/>
      </w:r>
      <w:r>
        <w:rPr>
          <w:rFonts w:ascii="Times New Roman" w:hAnsi="Times New Roman" w:eastAsia="仿宋_GB2312"/>
          <w:sz w:val="24"/>
          <w:szCs w:val="24"/>
        </w:rPr>
        <w:t>57</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_Toc31092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10.4技术保障措施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_Toc31092 \h </w:instrText>
      </w:r>
      <w:r>
        <w:rPr>
          <w:rFonts w:ascii="Times New Roman" w:hAnsi="Times New Roman" w:eastAsia="仿宋_GB2312"/>
          <w:sz w:val="24"/>
          <w:szCs w:val="24"/>
        </w:rPr>
        <w:fldChar w:fldCharType="separate"/>
      </w:r>
      <w:r>
        <w:rPr>
          <w:rFonts w:ascii="Times New Roman" w:hAnsi="Times New Roman" w:eastAsia="仿宋_GB2312"/>
          <w:sz w:val="24"/>
          <w:szCs w:val="24"/>
        </w:rPr>
        <w:t>58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_Toc12691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10.5公众参与</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_Toc12691 \h </w:instrText>
      </w:r>
      <w:r>
        <w:rPr>
          <w:rFonts w:ascii="Times New Roman" w:hAnsi="Times New Roman" w:eastAsia="仿宋_GB2312"/>
          <w:sz w:val="24"/>
          <w:szCs w:val="24"/>
        </w:rPr>
        <w:fldChar w:fldCharType="separate"/>
      </w:r>
      <w:r>
        <w:rPr>
          <w:rFonts w:ascii="Times New Roman" w:hAnsi="Times New Roman" w:eastAsia="仿宋_GB2312"/>
          <w:sz w:val="24"/>
          <w:szCs w:val="24"/>
        </w:rPr>
        <w:t>58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_Toc16655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10.6土地权属调整方案</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_Toc16655 \h </w:instrText>
      </w:r>
      <w:r>
        <w:rPr>
          <w:rFonts w:ascii="Times New Roman" w:hAnsi="Times New Roman" w:eastAsia="仿宋_GB2312"/>
          <w:sz w:val="24"/>
          <w:szCs w:val="24"/>
        </w:rPr>
        <w:fldChar w:fldCharType="separate"/>
      </w:r>
      <w:r>
        <w:rPr>
          <w:rFonts w:ascii="Times New Roman" w:hAnsi="Times New Roman" w:eastAsia="仿宋_GB2312"/>
          <w:sz w:val="24"/>
          <w:szCs w:val="24"/>
        </w:rPr>
        <w:t>58</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_Toc21249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10.7主要风险分析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_Toc21249 \h </w:instrText>
      </w:r>
      <w:r>
        <w:rPr>
          <w:rFonts w:ascii="Times New Roman" w:hAnsi="Times New Roman" w:eastAsia="仿宋_GB2312"/>
          <w:sz w:val="24"/>
          <w:szCs w:val="24"/>
        </w:rPr>
        <w:fldChar w:fldCharType="separate"/>
      </w:r>
      <w:r>
        <w:rPr>
          <w:rFonts w:ascii="Times New Roman" w:hAnsi="Times New Roman" w:eastAsia="仿宋_GB2312"/>
          <w:sz w:val="24"/>
          <w:szCs w:val="24"/>
        </w:rPr>
        <w:t>59</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_Toc25645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10.8安全保障措施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_Toc25645 \h </w:instrText>
      </w:r>
      <w:r>
        <w:rPr>
          <w:rFonts w:ascii="Times New Roman" w:hAnsi="Times New Roman" w:eastAsia="仿宋_GB2312"/>
          <w:sz w:val="24"/>
          <w:szCs w:val="24"/>
        </w:rPr>
        <w:fldChar w:fldCharType="separate"/>
      </w:r>
      <w:r>
        <w:rPr>
          <w:rFonts w:ascii="Times New Roman" w:hAnsi="Times New Roman" w:eastAsia="仿宋_GB2312"/>
          <w:sz w:val="24"/>
          <w:szCs w:val="24"/>
        </w:rPr>
        <w:t>60</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_Toc26096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11土地复垦方案编制成果</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_Toc26096 \h </w:instrText>
      </w:r>
      <w:r>
        <w:rPr>
          <w:rFonts w:ascii="Times New Roman" w:hAnsi="Times New Roman" w:eastAsia="仿宋_GB2312"/>
          <w:sz w:val="24"/>
          <w:szCs w:val="24"/>
        </w:rPr>
        <w:fldChar w:fldCharType="separate"/>
      </w:r>
      <w:r>
        <w:rPr>
          <w:rFonts w:ascii="Times New Roman" w:hAnsi="Times New Roman" w:eastAsia="仿宋_GB2312"/>
          <w:sz w:val="24"/>
          <w:szCs w:val="24"/>
        </w:rPr>
        <w:t>62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_Toc8882 </w:instrText>
      </w:r>
      <w:r>
        <w:rPr>
          <w:rFonts w:ascii="Times New Roman" w:hAnsi="Times New Roman" w:eastAsia="仿宋_GB2312"/>
          <w:sz w:val="24"/>
          <w:szCs w:val="24"/>
        </w:rPr>
        <w:fldChar w:fldCharType="separate"/>
      </w:r>
      <w:r>
        <w:rPr>
          <w:rFonts w:ascii="Times New Roman" w:hAnsi="Times New Roman" w:eastAsia="仿宋_GB2312"/>
          <w:kern w:val="0"/>
          <w:sz w:val="24"/>
          <w:szCs w:val="24"/>
        </w:rPr>
        <w:t>11.1报告</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_Toc8882 \h </w:instrText>
      </w:r>
      <w:r>
        <w:rPr>
          <w:rFonts w:ascii="Times New Roman" w:hAnsi="Times New Roman" w:eastAsia="仿宋_GB2312"/>
          <w:sz w:val="24"/>
          <w:szCs w:val="24"/>
        </w:rPr>
        <w:fldChar w:fldCharType="separate"/>
      </w:r>
      <w:r>
        <w:rPr>
          <w:rFonts w:ascii="Times New Roman" w:hAnsi="Times New Roman" w:eastAsia="仿宋_GB2312"/>
          <w:sz w:val="24"/>
          <w:szCs w:val="24"/>
        </w:rPr>
        <w:t>62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_Toc5277 </w:instrText>
      </w:r>
      <w:r>
        <w:rPr>
          <w:rFonts w:ascii="Times New Roman" w:hAnsi="Times New Roman" w:eastAsia="仿宋_GB2312"/>
          <w:sz w:val="24"/>
          <w:szCs w:val="24"/>
        </w:rPr>
        <w:fldChar w:fldCharType="separate"/>
      </w:r>
      <w:r>
        <w:rPr>
          <w:rFonts w:ascii="Times New Roman" w:hAnsi="Times New Roman" w:eastAsia="仿宋_GB2312"/>
          <w:sz w:val="24"/>
          <w:szCs w:val="24"/>
        </w:rPr>
        <w:t>11.2附表</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_Toc5277 \h </w:instrText>
      </w:r>
      <w:r>
        <w:rPr>
          <w:rFonts w:ascii="Times New Roman" w:hAnsi="Times New Roman" w:eastAsia="仿宋_GB2312"/>
          <w:sz w:val="24"/>
          <w:szCs w:val="24"/>
        </w:rPr>
        <w:fldChar w:fldCharType="separate"/>
      </w:r>
      <w:r>
        <w:rPr>
          <w:rFonts w:ascii="Times New Roman" w:hAnsi="Times New Roman" w:eastAsia="仿宋_GB2312"/>
          <w:sz w:val="24"/>
          <w:szCs w:val="24"/>
        </w:rPr>
        <w:t>62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_Toc953 </w:instrText>
      </w:r>
      <w:r>
        <w:rPr>
          <w:rFonts w:ascii="Times New Roman" w:hAnsi="Times New Roman" w:eastAsia="仿宋_GB2312"/>
          <w:sz w:val="24"/>
          <w:szCs w:val="24"/>
        </w:rPr>
        <w:fldChar w:fldCharType="separate"/>
      </w:r>
      <w:r>
        <w:rPr>
          <w:rFonts w:ascii="Times New Roman" w:hAnsi="Times New Roman" w:eastAsia="仿宋_GB2312"/>
          <w:sz w:val="24"/>
          <w:szCs w:val="24"/>
        </w:rPr>
        <w:t>11.3附件</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_Toc953 \h </w:instrText>
      </w:r>
      <w:r>
        <w:rPr>
          <w:rFonts w:ascii="Times New Roman" w:hAnsi="Times New Roman" w:eastAsia="仿宋_GB2312"/>
          <w:sz w:val="24"/>
          <w:szCs w:val="24"/>
        </w:rPr>
        <w:fldChar w:fldCharType="separate"/>
      </w:r>
      <w:r>
        <w:rPr>
          <w:rFonts w:ascii="Times New Roman" w:hAnsi="Times New Roman" w:eastAsia="仿宋_GB2312"/>
          <w:sz w:val="24"/>
          <w:szCs w:val="24"/>
        </w:rPr>
        <w:t>62</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22"/>
        <w:tabs>
          <w:tab w:val="right" w:leader="dot" w:pos="8306"/>
        </w:tabs>
        <w:spacing w:line="336" w:lineRule="auto"/>
        <w:ind w:firstLine="0" w:firstLineChars="0"/>
        <w:rPr>
          <w:rFonts w:ascii="Times New Roman" w:hAnsi="Times New Roman" w:eastAsia="仿宋_GB2312"/>
          <w:sz w:val="24"/>
          <w:szCs w:val="24"/>
        </w:rPr>
      </w:pPr>
      <w:r>
        <w:rPr>
          <w:rFonts w:ascii="Times New Roman" w:hAnsi="Times New Roman" w:eastAsia="仿宋_GB2312"/>
          <w:color w:val="000000"/>
          <w:sz w:val="24"/>
          <w:szCs w:val="24"/>
        </w:rPr>
        <w:fldChar w:fldCharType="begin"/>
      </w:r>
      <w:r>
        <w:rPr>
          <w:rFonts w:ascii="Times New Roman" w:hAnsi="Times New Roman" w:eastAsia="仿宋_GB2312"/>
          <w:sz w:val="24"/>
          <w:szCs w:val="24"/>
        </w:rPr>
        <w:instrText xml:space="preserve"> HYPERLINK \l _Toc28539 </w:instrText>
      </w:r>
      <w:r>
        <w:rPr>
          <w:rFonts w:ascii="Times New Roman" w:hAnsi="Times New Roman" w:eastAsia="仿宋_GB2312"/>
          <w:sz w:val="24"/>
          <w:szCs w:val="24"/>
        </w:rPr>
        <w:fldChar w:fldCharType="separate"/>
      </w:r>
      <w:r>
        <w:rPr>
          <w:rFonts w:ascii="Times New Roman" w:hAnsi="Times New Roman" w:eastAsia="仿宋_GB2312"/>
          <w:sz w:val="24"/>
          <w:szCs w:val="24"/>
        </w:rPr>
        <w:t>11.4附图</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_Toc28539 \h </w:instrText>
      </w:r>
      <w:r>
        <w:rPr>
          <w:rFonts w:ascii="Times New Roman" w:hAnsi="Times New Roman" w:eastAsia="仿宋_GB2312"/>
          <w:sz w:val="24"/>
          <w:szCs w:val="24"/>
        </w:rPr>
        <w:fldChar w:fldCharType="separate"/>
      </w:r>
      <w:r>
        <w:rPr>
          <w:rFonts w:ascii="Times New Roman" w:hAnsi="Times New Roman" w:eastAsia="仿宋_GB2312"/>
          <w:sz w:val="24"/>
          <w:szCs w:val="24"/>
        </w:rPr>
        <w:t>63</w:t>
      </w:r>
      <w:r>
        <w:rPr>
          <w:rFonts w:ascii="Times New Roman" w:hAnsi="Times New Roman" w:eastAsia="仿宋_GB2312"/>
          <w:sz w:val="24"/>
          <w:szCs w:val="24"/>
        </w:rPr>
        <w:fldChar w:fldCharType="end"/>
      </w:r>
      <w:r>
        <w:rPr>
          <w:rFonts w:ascii="Times New Roman" w:hAnsi="Times New Roman" w:eastAsia="仿宋_GB2312"/>
          <w:color w:val="000000"/>
          <w:sz w:val="24"/>
          <w:szCs w:val="24"/>
        </w:rPr>
        <w:fldChar w:fldCharType="end"/>
      </w:r>
    </w:p>
    <w:p>
      <w:pPr>
        <w:pStyle w:val="19"/>
        <w:spacing w:before="0" w:after="0" w:line="336" w:lineRule="auto"/>
        <w:ind w:firstLine="0" w:firstLineChars="0"/>
        <w:rPr>
          <w:rFonts w:ascii="Times New Roman" w:hAnsi="Times New Roman" w:eastAsia="仿宋_GB2312"/>
          <w:color w:val="000000"/>
          <w:sz w:val="24"/>
          <w:szCs w:val="24"/>
          <w:highlight w:val="yellow"/>
        </w:rPr>
        <w:sectPr>
          <w:pgSz w:w="11906" w:h="16838"/>
          <w:pgMar w:top="1440" w:right="1800" w:bottom="1440" w:left="1800" w:header="851" w:footer="992" w:gutter="0"/>
          <w:pgNumType w:fmt="upperRoman" w:start="1"/>
          <w:cols w:space="720" w:num="1"/>
          <w:docGrid w:type="lines" w:linePitch="312" w:charSpace="0"/>
        </w:sectPr>
      </w:pPr>
      <w:r>
        <w:rPr>
          <w:rFonts w:ascii="Times New Roman" w:hAnsi="Times New Roman" w:eastAsia="仿宋_GB2312"/>
          <w:color w:val="000000"/>
          <w:sz w:val="24"/>
          <w:szCs w:val="24"/>
        </w:rPr>
        <w:fldChar w:fldCharType="end"/>
      </w:r>
    </w:p>
    <w:p>
      <w:pPr>
        <w:pStyle w:val="3"/>
        <w:spacing w:before="0" w:after="0"/>
        <w:ind w:firstLine="0" w:firstLineChars="0"/>
        <w:jc w:val="both"/>
        <w:rPr>
          <w:color w:val="000000"/>
          <w:kern w:val="0"/>
          <w:szCs w:val="32"/>
        </w:rPr>
      </w:pPr>
      <w:bookmarkStart w:id="3" w:name="_Toc19951"/>
      <w:bookmarkStart w:id="4" w:name="_Toc35614657"/>
      <w:r>
        <w:rPr>
          <w:color w:val="000000"/>
          <w:kern w:val="0"/>
          <w:szCs w:val="32"/>
        </w:rPr>
        <w:t>1</w:t>
      </w:r>
      <w:bookmarkEnd w:id="0"/>
      <w:bookmarkEnd w:id="1"/>
      <w:r>
        <w:rPr>
          <w:color w:val="000000"/>
          <w:kern w:val="0"/>
          <w:szCs w:val="32"/>
        </w:rPr>
        <w:t>前言</w:t>
      </w:r>
      <w:bookmarkEnd w:id="3"/>
      <w:bookmarkEnd w:id="4"/>
    </w:p>
    <w:p>
      <w:pPr>
        <w:pStyle w:val="4"/>
        <w:spacing w:before="0" w:after="0"/>
        <w:ind w:firstLine="0" w:firstLineChars="0"/>
        <w:rPr>
          <w:bCs w:val="0"/>
          <w:color w:val="000000"/>
          <w:kern w:val="0"/>
          <w:szCs w:val="30"/>
        </w:rPr>
      </w:pPr>
      <w:bookmarkStart w:id="5" w:name="_Toc306711826"/>
      <w:bookmarkStart w:id="6" w:name="_Toc35614658"/>
      <w:bookmarkStart w:id="7" w:name="_Toc306711687"/>
      <w:bookmarkStart w:id="8" w:name="_Toc306711642"/>
      <w:bookmarkStart w:id="9" w:name="_Toc304205550"/>
      <w:bookmarkStart w:id="10" w:name="_Toc306711222"/>
      <w:bookmarkStart w:id="11" w:name="_Toc19193"/>
      <w:bookmarkStart w:id="12" w:name="_Toc308595782"/>
      <w:r>
        <w:rPr>
          <w:bCs w:val="0"/>
          <w:color w:val="000000"/>
          <w:kern w:val="0"/>
          <w:szCs w:val="30"/>
        </w:rPr>
        <w:t>1.1编制背景及过程</w:t>
      </w:r>
      <w:bookmarkEnd w:id="5"/>
      <w:bookmarkEnd w:id="6"/>
      <w:bookmarkEnd w:id="7"/>
      <w:bookmarkEnd w:id="8"/>
      <w:bookmarkEnd w:id="9"/>
      <w:bookmarkEnd w:id="10"/>
      <w:bookmarkEnd w:id="11"/>
      <w:bookmarkEnd w:id="12"/>
    </w:p>
    <w:p>
      <w:pPr>
        <w:overflowPunct w:val="0"/>
        <w:adjustRightInd w:val="0"/>
        <w:snapToGrid w:val="0"/>
        <w:ind w:firstLine="528"/>
        <w:rPr>
          <w:rFonts w:hint="eastAsia"/>
          <w:color w:val="000000"/>
          <w:spacing w:val="12"/>
          <w:szCs w:val="24"/>
        </w:rPr>
      </w:pPr>
      <w:r>
        <w:rPr>
          <w:rFonts w:hint="eastAsia"/>
          <w:color w:val="000000"/>
          <w:spacing w:val="12"/>
          <w:szCs w:val="24"/>
        </w:rPr>
        <w:t>西畴至富宁高速公路位于云南省东南部文山州境内，路线自西向东途经文山州西畴县、麻栗坡县、富宁县。是《云南省道网规划修编（2016-2030年）》（云政办发</w:t>
      </w:r>
      <w:r>
        <w:rPr>
          <w:color w:val="000000"/>
          <w:spacing w:val="12"/>
          <w:szCs w:val="24"/>
        </w:rPr>
        <w:t>〔20</w:t>
      </w:r>
      <w:r>
        <w:rPr>
          <w:rFonts w:hint="eastAsia"/>
          <w:color w:val="000000"/>
          <w:spacing w:val="12"/>
          <w:szCs w:val="24"/>
        </w:rPr>
        <w:t>17</w:t>
      </w:r>
      <w:r>
        <w:rPr>
          <w:color w:val="000000"/>
          <w:spacing w:val="12"/>
          <w:szCs w:val="24"/>
        </w:rPr>
        <w:t>〕</w:t>
      </w:r>
      <w:r>
        <w:rPr>
          <w:rFonts w:hint="eastAsia"/>
          <w:color w:val="000000"/>
          <w:spacing w:val="12"/>
          <w:szCs w:val="24"/>
        </w:rPr>
        <w:t>61号）云南省高速公路网规划布局“五纵五横一边两环二十联”中“一边”中的一段。“一边”即为沿边高速公路，主要控制点为泸水—腾冲—梁河—盈江—陇川—瑞丽—畹町—龙镇桥—镇康—清水河—耿马—沧源—西盟—孟连—勐海—景洪—勐醒—江城—绿春—元阳—蔓耗—河口—马关—西畴—富宁，规划总里程1784km。其中，已建陇川至瑞丽26km、瑞丽至芒市91km、曼耗至河口80km，共计197km，“十三五”期间开工建设腾冲至陇川、芒市至孟连、景洪至勐海、勐醒至绿春、绿春至元阳等项目，共计991km，剩余路段596km，本项目为未建设中的西畴至富宁段。</w:t>
      </w:r>
    </w:p>
    <w:p>
      <w:pPr>
        <w:overflowPunct w:val="0"/>
        <w:adjustRightInd w:val="0"/>
        <w:snapToGrid w:val="0"/>
        <w:ind w:firstLine="528"/>
        <w:rPr>
          <w:rFonts w:hint="eastAsia"/>
          <w:color w:val="000000"/>
          <w:spacing w:val="12"/>
          <w:szCs w:val="24"/>
        </w:rPr>
      </w:pPr>
      <w:r>
        <w:rPr>
          <w:rFonts w:hint="eastAsia"/>
          <w:color w:val="000000"/>
          <w:spacing w:val="12"/>
          <w:szCs w:val="24"/>
        </w:rPr>
        <w:t>本项目同时是《云南省县域高速公路“互联互通”工程实施方案》（云办通</w:t>
      </w:r>
      <w:r>
        <w:rPr>
          <w:color w:val="000000"/>
          <w:spacing w:val="12"/>
          <w:szCs w:val="24"/>
        </w:rPr>
        <w:t>〔</w:t>
      </w:r>
      <w:r>
        <w:rPr>
          <w:rFonts w:hint="eastAsia"/>
          <w:color w:val="000000"/>
          <w:spacing w:val="12"/>
          <w:szCs w:val="24"/>
        </w:rPr>
        <w:t>2020</w:t>
      </w:r>
      <w:r>
        <w:rPr>
          <w:color w:val="000000"/>
          <w:spacing w:val="12"/>
          <w:szCs w:val="24"/>
        </w:rPr>
        <w:t>〕</w:t>
      </w:r>
      <w:r>
        <w:rPr>
          <w:rFonts w:hint="eastAsia"/>
          <w:color w:val="000000"/>
          <w:spacing w:val="12"/>
          <w:szCs w:val="24"/>
        </w:rPr>
        <w:t>19号）第57条西畴至富宁段。工程实施方案主要为推进滇中城市群高速公路全面成网，着力解决延边地区公路等级总体偏低、连接不畅等问题，提升互联互通水平。本项目的建设将推动人流物流高效顺畅，充分发挥滇中城市群引擎辐射带动作用，推动延边开放经济带发展，进一步巩固国防安全和维护边疆稳定。</w:t>
      </w:r>
    </w:p>
    <w:p>
      <w:pPr>
        <w:overflowPunct w:val="0"/>
        <w:adjustRightInd w:val="0"/>
        <w:snapToGrid w:val="0"/>
        <w:ind w:firstLine="528"/>
        <w:rPr>
          <w:rFonts w:hint="eastAsia"/>
          <w:color w:val="000000"/>
          <w:spacing w:val="12"/>
          <w:szCs w:val="24"/>
        </w:rPr>
      </w:pPr>
      <w:r>
        <w:rPr>
          <w:rFonts w:hint="eastAsia"/>
          <w:color w:val="000000"/>
          <w:spacing w:val="12"/>
          <w:szCs w:val="24"/>
        </w:rPr>
        <w:t>项目起点位于西畴县南侧龙潭村，设A型单喇叭枢纽互通与那洒至兴街高速公路衔接。项目止点位于富宁县板仑乡，衔接富宁至那坡高速公路。路线全长118.869km，建设里程118.372km。通过项目起点衔接那兴高速，与那兴高速共线13.154km后接上沿边高速马关至西畴段。</w:t>
      </w:r>
    </w:p>
    <w:p>
      <w:pPr>
        <w:overflowPunct w:val="0"/>
        <w:adjustRightInd w:val="0"/>
        <w:snapToGrid w:val="0"/>
        <w:ind w:firstLine="528"/>
        <w:rPr>
          <w:rFonts w:hint="eastAsia"/>
          <w:color w:val="000000"/>
          <w:spacing w:val="12"/>
          <w:szCs w:val="24"/>
        </w:rPr>
      </w:pPr>
      <w:r>
        <w:rPr>
          <w:rFonts w:hint="eastAsia"/>
          <w:color w:val="000000"/>
          <w:spacing w:val="12"/>
          <w:szCs w:val="24"/>
        </w:rPr>
        <w:t>2022年12月，建设单位委托昆明麦普空间科技有限公司开展《西畴至富宁高速公路建设项目（西畴段）第一期临时用地土地复垦方案》编制工作，我公司在接受委托后，成立了项目小组，选派专业人员进行现场踏勘调查，收集相关资料，完成该高速公路工程项目的土地复垦方案的编制工作，并送交相关部门审查。</w:t>
      </w:r>
    </w:p>
    <w:p>
      <w:pPr>
        <w:pStyle w:val="4"/>
        <w:spacing w:before="0" w:after="0"/>
        <w:ind w:firstLine="0" w:firstLineChars="0"/>
        <w:rPr>
          <w:color w:val="000000"/>
          <w:kern w:val="0"/>
          <w:szCs w:val="30"/>
        </w:rPr>
      </w:pPr>
      <w:bookmarkStart w:id="13" w:name="_Toc35614659"/>
      <w:bookmarkStart w:id="14" w:name="_Toc6827"/>
      <w:r>
        <w:rPr>
          <w:color w:val="000000"/>
          <w:kern w:val="0"/>
          <w:szCs w:val="30"/>
        </w:rPr>
        <w:t>1.2复垦方案摘要</w:t>
      </w:r>
      <w:bookmarkEnd w:id="13"/>
      <w:bookmarkEnd w:id="14"/>
    </w:p>
    <w:p>
      <w:pPr>
        <w:overflowPunct w:val="0"/>
        <w:adjustRightInd w:val="0"/>
        <w:snapToGrid w:val="0"/>
        <w:ind w:firstLine="528"/>
        <w:rPr>
          <w:color w:val="000000"/>
          <w:spacing w:val="12"/>
          <w:szCs w:val="24"/>
        </w:rPr>
      </w:pPr>
      <w:r>
        <w:rPr>
          <w:rFonts w:hint="eastAsia"/>
          <w:color w:val="000000"/>
          <w:spacing w:val="12"/>
          <w:szCs w:val="24"/>
        </w:rPr>
        <w:t>考虑土地利用现状、土地损毁环节与时序以及土地的损毁方式等因素，本复</w:t>
      </w:r>
      <w:r>
        <w:rPr>
          <w:color w:val="000000"/>
          <w:spacing w:val="12"/>
          <w:szCs w:val="24"/>
        </w:rPr>
        <w:t>垦方案将</w:t>
      </w:r>
      <w:r>
        <w:rPr>
          <w:rFonts w:hint="eastAsia"/>
          <w:color w:val="000000"/>
          <w:spacing w:val="12"/>
          <w:szCs w:val="24"/>
        </w:rPr>
        <w:t>2</w:t>
      </w:r>
      <w:r>
        <w:rPr>
          <w:color w:val="000000"/>
          <w:spacing w:val="12"/>
          <w:szCs w:val="24"/>
        </w:rPr>
        <w:t>个临时用地</w:t>
      </w:r>
      <w:r>
        <w:rPr>
          <w:rFonts w:hint="eastAsia"/>
          <w:color w:val="000000"/>
          <w:spacing w:val="12"/>
          <w:szCs w:val="24"/>
        </w:rPr>
        <w:t>地块</w:t>
      </w:r>
      <w:r>
        <w:rPr>
          <w:color w:val="000000"/>
          <w:spacing w:val="12"/>
          <w:szCs w:val="24"/>
        </w:rPr>
        <w:t>划分为</w:t>
      </w:r>
      <w:r>
        <w:rPr>
          <w:rFonts w:hint="eastAsia"/>
          <w:color w:val="000000"/>
          <w:spacing w:val="12"/>
          <w:szCs w:val="24"/>
        </w:rPr>
        <w:t>2</w:t>
      </w:r>
      <w:r>
        <w:rPr>
          <w:color w:val="000000"/>
          <w:spacing w:val="12"/>
          <w:szCs w:val="24"/>
        </w:rPr>
        <w:t>个评价单元：</w:t>
      </w:r>
      <w:r>
        <w:rPr>
          <w:rFonts w:hint="eastAsia"/>
          <w:color w:val="000000"/>
          <w:spacing w:val="12"/>
          <w:szCs w:val="24"/>
        </w:rPr>
        <w:t>弃土场、拌合站</w:t>
      </w:r>
      <w:r>
        <w:rPr>
          <w:color w:val="000000"/>
          <w:spacing w:val="12"/>
          <w:szCs w:val="24"/>
        </w:rPr>
        <w:t>。</w:t>
      </w:r>
    </w:p>
    <w:p>
      <w:pPr>
        <w:overflowPunct w:val="0"/>
        <w:adjustRightInd w:val="0"/>
        <w:snapToGrid w:val="0"/>
        <w:ind w:firstLine="528"/>
        <w:rPr>
          <w:color w:val="000000"/>
          <w:spacing w:val="12"/>
          <w:szCs w:val="24"/>
          <w:highlight w:val="yellow"/>
        </w:rPr>
      </w:pPr>
      <w:r>
        <w:rPr>
          <w:color w:val="000000"/>
          <w:spacing w:val="12"/>
          <w:szCs w:val="24"/>
        </w:rPr>
        <w:t>——</w:t>
      </w:r>
      <w:r>
        <w:rPr>
          <w:rFonts w:hint="eastAsia"/>
          <w:color w:val="000000"/>
          <w:spacing w:val="12"/>
          <w:szCs w:val="24"/>
        </w:rPr>
        <w:t>临时用地使用</w:t>
      </w:r>
      <w:r>
        <w:rPr>
          <w:color w:val="000000"/>
          <w:spacing w:val="12"/>
          <w:szCs w:val="24"/>
        </w:rPr>
        <w:t>年限为202</w:t>
      </w:r>
      <w:r>
        <w:rPr>
          <w:rFonts w:hint="eastAsia"/>
          <w:color w:val="000000"/>
          <w:spacing w:val="12"/>
          <w:szCs w:val="24"/>
        </w:rPr>
        <w:t>2</w:t>
      </w:r>
      <w:r>
        <w:rPr>
          <w:color w:val="000000"/>
          <w:spacing w:val="12"/>
          <w:szCs w:val="24"/>
        </w:rPr>
        <w:t>年</w:t>
      </w:r>
      <w:r>
        <w:rPr>
          <w:rFonts w:hint="eastAsia"/>
          <w:color w:val="000000"/>
          <w:spacing w:val="12"/>
          <w:szCs w:val="24"/>
        </w:rPr>
        <w:t>12</w:t>
      </w:r>
      <w:r>
        <w:rPr>
          <w:color w:val="000000"/>
          <w:spacing w:val="12"/>
          <w:szCs w:val="24"/>
        </w:rPr>
        <w:t>月-202</w:t>
      </w:r>
      <w:r>
        <w:rPr>
          <w:rFonts w:hint="eastAsia"/>
          <w:color w:val="000000"/>
          <w:spacing w:val="12"/>
          <w:szCs w:val="24"/>
        </w:rPr>
        <w:t>6</w:t>
      </w:r>
      <w:r>
        <w:rPr>
          <w:color w:val="000000"/>
          <w:spacing w:val="12"/>
          <w:szCs w:val="24"/>
        </w:rPr>
        <w:t>年</w:t>
      </w:r>
      <w:r>
        <w:rPr>
          <w:rFonts w:hint="eastAsia"/>
          <w:color w:val="000000"/>
          <w:spacing w:val="12"/>
          <w:szCs w:val="24"/>
        </w:rPr>
        <w:t>6</w:t>
      </w:r>
      <w:r>
        <w:rPr>
          <w:color w:val="000000"/>
          <w:spacing w:val="12"/>
          <w:szCs w:val="24"/>
        </w:rPr>
        <w:t>月，本复垦方案服务年限为202</w:t>
      </w:r>
      <w:r>
        <w:rPr>
          <w:rFonts w:hint="eastAsia"/>
          <w:color w:val="000000"/>
          <w:spacing w:val="12"/>
          <w:szCs w:val="24"/>
        </w:rPr>
        <w:t>2</w:t>
      </w:r>
      <w:r>
        <w:rPr>
          <w:color w:val="000000"/>
          <w:spacing w:val="12"/>
          <w:szCs w:val="24"/>
        </w:rPr>
        <w:t>年</w:t>
      </w:r>
      <w:r>
        <w:rPr>
          <w:rFonts w:hint="eastAsia"/>
          <w:color w:val="000000"/>
          <w:spacing w:val="12"/>
          <w:szCs w:val="24"/>
        </w:rPr>
        <w:t>12</w:t>
      </w:r>
      <w:r>
        <w:rPr>
          <w:color w:val="000000"/>
          <w:spacing w:val="12"/>
          <w:szCs w:val="24"/>
        </w:rPr>
        <w:t>月-202</w:t>
      </w:r>
      <w:r>
        <w:rPr>
          <w:rFonts w:hint="eastAsia"/>
          <w:color w:val="000000"/>
          <w:spacing w:val="12"/>
          <w:szCs w:val="24"/>
        </w:rPr>
        <w:t>6</w:t>
      </w:r>
      <w:r>
        <w:rPr>
          <w:color w:val="000000"/>
          <w:spacing w:val="12"/>
          <w:szCs w:val="24"/>
        </w:rPr>
        <w:t>年</w:t>
      </w:r>
      <w:r>
        <w:rPr>
          <w:rFonts w:hint="eastAsia"/>
          <w:color w:val="000000"/>
          <w:spacing w:val="12"/>
          <w:szCs w:val="24"/>
        </w:rPr>
        <w:t>11</w:t>
      </w:r>
      <w:r>
        <w:rPr>
          <w:color w:val="000000"/>
          <w:spacing w:val="12"/>
          <w:szCs w:val="24"/>
        </w:rPr>
        <w:t>月。</w:t>
      </w:r>
    </w:p>
    <w:p>
      <w:pPr>
        <w:overflowPunct w:val="0"/>
        <w:adjustRightInd w:val="0"/>
        <w:snapToGrid w:val="0"/>
        <w:ind w:firstLine="528"/>
        <w:rPr>
          <w:color w:val="000000"/>
          <w:spacing w:val="12"/>
          <w:szCs w:val="24"/>
        </w:rPr>
      </w:pPr>
      <w:r>
        <w:rPr>
          <w:color w:val="000000"/>
          <w:spacing w:val="12"/>
          <w:szCs w:val="24"/>
        </w:rPr>
        <w:t>——本项目的项目区总面积为</w:t>
      </w:r>
      <w:r>
        <w:rPr>
          <w:rFonts w:hint="eastAsia"/>
          <w:color w:val="000000"/>
          <w:spacing w:val="12"/>
          <w:szCs w:val="24"/>
        </w:rPr>
        <w:t>186.3006</w:t>
      </w:r>
      <w:r>
        <w:rPr>
          <w:color w:val="000000"/>
          <w:spacing w:val="12"/>
          <w:szCs w:val="24"/>
        </w:rPr>
        <w:t>hm²；复垦责任范围为</w:t>
      </w:r>
      <w:r>
        <w:rPr>
          <w:rFonts w:hint="eastAsia"/>
          <w:color w:val="000000"/>
          <w:spacing w:val="12"/>
          <w:szCs w:val="24"/>
        </w:rPr>
        <w:t>4.1706</w:t>
      </w:r>
      <w:r>
        <w:rPr>
          <w:color w:val="000000"/>
          <w:spacing w:val="12"/>
          <w:szCs w:val="24"/>
        </w:rPr>
        <w:t>hm²，复垦土地面积为</w:t>
      </w:r>
      <w:r>
        <w:rPr>
          <w:rFonts w:hint="eastAsia"/>
          <w:color w:val="000000"/>
          <w:spacing w:val="12"/>
          <w:szCs w:val="24"/>
        </w:rPr>
        <w:t>4.1706</w:t>
      </w:r>
      <w:r>
        <w:rPr>
          <w:color w:val="000000"/>
          <w:spacing w:val="12"/>
          <w:szCs w:val="24"/>
        </w:rPr>
        <w:t>hm²。</w:t>
      </w:r>
    </w:p>
    <w:p>
      <w:pPr>
        <w:overflowPunct w:val="0"/>
        <w:adjustRightInd w:val="0"/>
        <w:snapToGrid w:val="0"/>
        <w:ind w:firstLine="528"/>
        <w:rPr>
          <w:color w:val="000000"/>
          <w:spacing w:val="12"/>
          <w:szCs w:val="24"/>
        </w:rPr>
      </w:pPr>
      <w:r>
        <w:rPr>
          <w:color w:val="000000"/>
          <w:spacing w:val="12"/>
          <w:szCs w:val="24"/>
        </w:rPr>
        <w:t>——</w:t>
      </w:r>
      <w:r>
        <w:rPr>
          <w:spacing w:val="11"/>
          <w:szCs w:val="24"/>
        </w:rPr>
        <w:t>在本复垦方案服务期内，</w:t>
      </w:r>
      <w:r>
        <w:rPr>
          <w:rFonts w:hint="eastAsia"/>
          <w:spacing w:val="11"/>
          <w:szCs w:val="24"/>
        </w:rPr>
        <w:t>拟</w:t>
      </w:r>
      <w:r>
        <w:rPr>
          <w:spacing w:val="11"/>
          <w:szCs w:val="24"/>
        </w:rPr>
        <w:t>损毁土地面积为</w:t>
      </w:r>
      <w:r>
        <w:rPr>
          <w:rFonts w:hint="eastAsia"/>
          <w:spacing w:val="11"/>
          <w:szCs w:val="24"/>
        </w:rPr>
        <w:t>4</w:t>
      </w:r>
      <w:r>
        <w:rPr>
          <w:rFonts w:hint="eastAsia"/>
          <w:color w:val="000000"/>
          <w:spacing w:val="12"/>
          <w:szCs w:val="24"/>
        </w:rPr>
        <w:t>.1706</w:t>
      </w:r>
      <w:r>
        <w:rPr>
          <w:spacing w:val="11"/>
          <w:szCs w:val="24"/>
        </w:rPr>
        <w:t>hm²，损毁</w:t>
      </w:r>
      <w:r>
        <w:rPr>
          <w:rFonts w:hint="eastAsia"/>
          <w:spacing w:val="11"/>
          <w:szCs w:val="24"/>
        </w:rPr>
        <w:t>方式</w:t>
      </w:r>
      <w:r>
        <w:rPr>
          <w:spacing w:val="11"/>
          <w:szCs w:val="24"/>
        </w:rPr>
        <w:t>为压占</w:t>
      </w:r>
      <w:r>
        <w:rPr>
          <w:rFonts w:hint="eastAsia"/>
          <w:spacing w:val="11"/>
          <w:szCs w:val="24"/>
        </w:rPr>
        <w:t>。</w:t>
      </w:r>
    </w:p>
    <w:p>
      <w:pPr>
        <w:overflowPunct w:val="0"/>
        <w:adjustRightInd w:val="0"/>
        <w:snapToGrid w:val="0"/>
        <w:ind w:firstLine="528"/>
        <w:rPr>
          <w:rFonts w:hint="eastAsia"/>
          <w:color w:val="000000"/>
          <w:spacing w:val="12"/>
          <w:szCs w:val="24"/>
        </w:rPr>
      </w:pPr>
      <w:r>
        <w:rPr>
          <w:color w:val="000000"/>
          <w:spacing w:val="12"/>
          <w:szCs w:val="24"/>
        </w:rPr>
        <w:t>——本项目复垦静态总投资为</w:t>
      </w:r>
      <w:r>
        <w:rPr>
          <w:rFonts w:hint="eastAsia"/>
          <w:color w:val="000000"/>
          <w:spacing w:val="12"/>
          <w:szCs w:val="24"/>
        </w:rPr>
        <w:t>164.5101</w:t>
      </w:r>
      <w:r>
        <w:rPr>
          <w:color w:val="000000"/>
          <w:spacing w:val="12"/>
          <w:szCs w:val="24"/>
        </w:rPr>
        <w:t>万元，动态总投资为</w:t>
      </w:r>
      <w:r>
        <w:rPr>
          <w:rFonts w:hint="eastAsia"/>
          <w:color w:val="000000"/>
          <w:spacing w:val="12"/>
          <w:szCs w:val="24"/>
        </w:rPr>
        <w:t>210.0265</w:t>
      </w:r>
      <w:r>
        <w:rPr>
          <w:color w:val="000000"/>
          <w:spacing w:val="12"/>
          <w:szCs w:val="24"/>
        </w:rPr>
        <w:t>万元，本方案复垦土地面积为</w:t>
      </w:r>
      <w:r>
        <w:rPr>
          <w:rFonts w:hint="eastAsia"/>
          <w:color w:val="000000"/>
          <w:spacing w:val="12"/>
          <w:szCs w:val="24"/>
        </w:rPr>
        <w:t>4.1706</w:t>
      </w:r>
      <w:r>
        <w:rPr>
          <w:color w:val="000000"/>
          <w:spacing w:val="12"/>
          <w:szCs w:val="24"/>
        </w:rPr>
        <w:t>hm²，</w:t>
      </w:r>
      <w:r>
        <w:rPr>
          <w:rFonts w:hint="eastAsia"/>
          <w:color w:val="000000"/>
          <w:spacing w:val="12"/>
          <w:szCs w:val="24"/>
        </w:rPr>
        <w:t>项目静态投资为39.4452万元/公顷（26296.79元/亩），动态投资为50.3588万元/公顷（33572.55元/亩）。</w:t>
      </w:r>
    </w:p>
    <w:p>
      <w:pPr>
        <w:overflowPunct w:val="0"/>
        <w:adjustRightInd w:val="0"/>
        <w:snapToGrid w:val="0"/>
        <w:ind w:firstLine="528"/>
        <w:rPr>
          <w:color w:val="000000"/>
          <w:spacing w:val="12"/>
          <w:szCs w:val="24"/>
        </w:rPr>
      </w:pPr>
      <w:r>
        <w:rPr>
          <w:rFonts w:hint="eastAsia"/>
          <w:color w:val="000000"/>
          <w:spacing w:val="12"/>
          <w:szCs w:val="24"/>
        </w:rPr>
        <w:t>本项目工程施工费120.7772万元，占静态总投资的73.42%；其他费用29.7629万元，占静态总投资的18.09%；基本预备费9.0300万元，占静态总投资的5.49%，风险金4.9400万元，占静态总投资的3.00%，项目静态总投资164.5101万元，价差预备费45.5164万元，占静态总投资的27.67%；项目动态总投资210.0265万元。</w:t>
      </w:r>
    </w:p>
    <w:p>
      <w:pPr>
        <w:overflowPunct w:val="0"/>
        <w:adjustRightInd w:val="0"/>
        <w:snapToGrid w:val="0"/>
        <w:ind w:firstLine="528"/>
        <w:rPr>
          <w:rFonts w:hint="eastAsia"/>
          <w:color w:val="000000"/>
          <w:spacing w:val="12"/>
          <w:szCs w:val="24"/>
        </w:rPr>
        <w:sectPr>
          <w:pgSz w:w="11906" w:h="16838"/>
          <w:pgMar w:top="1440" w:right="1797" w:bottom="1440" w:left="1797" w:header="851" w:footer="992" w:gutter="0"/>
          <w:pgNumType w:start="1"/>
          <w:cols w:space="720" w:num="1"/>
          <w:docGrid w:type="lines" w:linePitch="312" w:charSpace="0"/>
        </w:sectPr>
      </w:pPr>
    </w:p>
    <w:p>
      <w:pPr>
        <w:pStyle w:val="3"/>
        <w:spacing w:before="0" w:after="0"/>
        <w:ind w:firstLine="0" w:firstLineChars="0"/>
        <w:jc w:val="both"/>
        <w:rPr>
          <w:color w:val="000000"/>
          <w:kern w:val="0"/>
          <w:szCs w:val="32"/>
        </w:rPr>
      </w:pPr>
      <w:bookmarkStart w:id="15" w:name="_Toc35614660"/>
      <w:bookmarkStart w:id="16" w:name="_Toc21972"/>
      <w:r>
        <w:rPr>
          <w:color w:val="000000"/>
          <w:kern w:val="0"/>
          <w:szCs w:val="32"/>
        </w:rPr>
        <w:t>2编制总则</w:t>
      </w:r>
      <w:bookmarkEnd w:id="15"/>
      <w:bookmarkEnd w:id="16"/>
    </w:p>
    <w:p>
      <w:pPr>
        <w:pStyle w:val="4"/>
        <w:spacing w:before="0" w:after="0"/>
        <w:ind w:firstLine="0" w:firstLineChars="0"/>
        <w:rPr>
          <w:color w:val="000000"/>
          <w:kern w:val="0"/>
          <w:szCs w:val="30"/>
        </w:rPr>
      </w:pPr>
      <w:bookmarkStart w:id="17" w:name="_Toc35614661"/>
      <w:bookmarkStart w:id="18" w:name="_Toc27019"/>
      <w:r>
        <w:rPr>
          <w:color w:val="000000"/>
          <w:kern w:val="0"/>
          <w:szCs w:val="30"/>
        </w:rPr>
        <w:t>2.1编制目的</w:t>
      </w:r>
      <w:bookmarkEnd w:id="17"/>
      <w:bookmarkEnd w:id="18"/>
    </w:p>
    <w:p>
      <w:pPr>
        <w:overflowPunct w:val="0"/>
        <w:adjustRightInd w:val="0"/>
        <w:snapToGrid w:val="0"/>
        <w:ind w:firstLine="528"/>
        <w:rPr>
          <w:color w:val="000000"/>
          <w:spacing w:val="12"/>
          <w:szCs w:val="24"/>
        </w:rPr>
      </w:pPr>
      <w:r>
        <w:rPr>
          <w:color w:val="000000"/>
          <w:spacing w:val="12"/>
          <w:szCs w:val="24"/>
        </w:rPr>
        <w:t>编制《</w:t>
      </w:r>
      <w:r>
        <w:rPr>
          <w:rFonts w:hint="eastAsia"/>
          <w:color w:val="000000"/>
          <w:spacing w:val="12"/>
          <w:szCs w:val="24"/>
        </w:rPr>
        <w:t>西畴至富宁高速公路建设项目（西畴段）第一期临时用地土地复垦方案</w:t>
      </w:r>
      <w:r>
        <w:rPr>
          <w:color w:val="000000"/>
          <w:spacing w:val="12"/>
          <w:szCs w:val="24"/>
        </w:rPr>
        <w:t>》的目的在于认真履行</w:t>
      </w:r>
      <w:r>
        <w:rPr>
          <w:rFonts w:hint="eastAsia"/>
          <w:color w:val="000000"/>
          <w:spacing w:val="12"/>
          <w:szCs w:val="24"/>
          <w:lang w:eastAsia="zh-CN"/>
        </w:rPr>
        <w:t>《中华人民共和国土地管理法》</w:t>
      </w:r>
      <w:r>
        <w:rPr>
          <w:color w:val="000000"/>
          <w:spacing w:val="12"/>
          <w:szCs w:val="24"/>
        </w:rPr>
        <w:t>及《土地复垦条例》等相关法律法规。通过对</w:t>
      </w:r>
      <w:r>
        <w:rPr>
          <w:rFonts w:hint="eastAsia"/>
          <w:color w:val="000000"/>
          <w:spacing w:val="12"/>
          <w:szCs w:val="24"/>
        </w:rPr>
        <w:t>西富</w:t>
      </w:r>
      <w:r>
        <w:rPr>
          <w:color w:val="000000"/>
          <w:spacing w:val="12"/>
          <w:szCs w:val="24"/>
        </w:rPr>
        <w:t>高速公路工程项目所涉及的土地利用现状的调查论证，对其“在生产建设过程中，因挖损、塌陷、压占和污染等造成损毁的土地，采取整治措施，使其恢复到可供利用状态”；按照“谁损毁、谁复垦”的原则，制订建设单位土地复垦的目标、任务、措施和计划，保证珍惜和合理利用每一寸土地，改善生态环境，实现土地资源可持续利用，促进经济、社会和环境的和谐发展，为指导和规范工程建设及土地复垦等后续工作提供依据。</w:t>
      </w:r>
    </w:p>
    <w:p>
      <w:pPr>
        <w:overflowPunct w:val="0"/>
        <w:adjustRightInd w:val="0"/>
        <w:snapToGrid w:val="0"/>
        <w:ind w:firstLine="528"/>
        <w:rPr>
          <w:color w:val="000000"/>
          <w:spacing w:val="12"/>
          <w:szCs w:val="24"/>
        </w:rPr>
      </w:pPr>
      <w:r>
        <w:rPr>
          <w:color w:val="000000"/>
          <w:spacing w:val="12"/>
          <w:szCs w:val="24"/>
        </w:rPr>
        <w:t>根据本项目所在地区的自然环境与社会发展情况，全面考虑高速公路项目对土地资源的影响，针对工程实施过程中可能产生的对土地的损毁做出预测，提出相应的治理措施，保护并合理利用土地资源，改善工程区及周边地区生态环境，为高速公路项目的建设和使用创造条件，保障当地社会经济持续发展。</w:t>
      </w:r>
    </w:p>
    <w:p>
      <w:pPr>
        <w:pStyle w:val="4"/>
        <w:spacing w:before="0" w:after="0"/>
        <w:ind w:firstLine="0" w:firstLineChars="0"/>
        <w:rPr>
          <w:color w:val="000000"/>
          <w:kern w:val="0"/>
          <w:szCs w:val="30"/>
        </w:rPr>
      </w:pPr>
      <w:bookmarkStart w:id="19" w:name="_Toc35614662"/>
      <w:bookmarkStart w:id="20" w:name="_Toc21255"/>
      <w:r>
        <w:rPr>
          <w:color w:val="000000"/>
          <w:kern w:val="0"/>
          <w:szCs w:val="30"/>
        </w:rPr>
        <w:t>2.2编制原则</w:t>
      </w:r>
      <w:bookmarkEnd w:id="19"/>
      <w:bookmarkEnd w:id="20"/>
    </w:p>
    <w:p>
      <w:pPr>
        <w:overflowPunct w:val="0"/>
        <w:adjustRightInd w:val="0"/>
        <w:snapToGrid w:val="0"/>
        <w:ind w:firstLine="528"/>
        <w:rPr>
          <w:rFonts w:hint="eastAsia"/>
          <w:color w:val="000000"/>
          <w:spacing w:val="12"/>
          <w:szCs w:val="24"/>
        </w:rPr>
      </w:pPr>
      <w:r>
        <w:rPr>
          <w:rFonts w:hint="eastAsia"/>
          <w:color w:val="000000"/>
          <w:spacing w:val="12"/>
          <w:szCs w:val="24"/>
        </w:rPr>
        <w:t>根据项目区自然环境与社会经济发展情况，按照经济合理、技术可行、综合效益最佳和便于操作的要求，结合高速公路工程特征和实际情况，体现以下复垦原则：</w:t>
      </w:r>
    </w:p>
    <w:p>
      <w:pPr>
        <w:overflowPunct w:val="0"/>
        <w:adjustRightInd w:val="0"/>
        <w:snapToGrid w:val="0"/>
        <w:ind w:firstLine="528"/>
        <w:rPr>
          <w:rFonts w:hint="eastAsia"/>
          <w:color w:val="000000"/>
          <w:spacing w:val="12"/>
          <w:szCs w:val="24"/>
        </w:rPr>
      </w:pPr>
      <w:r>
        <w:rPr>
          <w:rFonts w:hint="eastAsia"/>
          <w:color w:val="000000"/>
          <w:spacing w:val="12"/>
          <w:szCs w:val="24"/>
        </w:rPr>
        <w:t>a）谁损毁，谁复垦。</w:t>
      </w:r>
    </w:p>
    <w:p>
      <w:pPr>
        <w:overflowPunct w:val="0"/>
        <w:adjustRightInd w:val="0"/>
        <w:snapToGrid w:val="0"/>
        <w:ind w:firstLine="528"/>
        <w:rPr>
          <w:rFonts w:hint="eastAsia"/>
          <w:color w:val="000000"/>
          <w:spacing w:val="12"/>
          <w:szCs w:val="24"/>
        </w:rPr>
      </w:pPr>
      <w:r>
        <w:rPr>
          <w:rFonts w:hint="eastAsia"/>
          <w:color w:val="000000"/>
          <w:spacing w:val="12"/>
          <w:szCs w:val="24"/>
        </w:rPr>
        <w:t>b）因地制宜，切实可行。</w:t>
      </w:r>
    </w:p>
    <w:p>
      <w:pPr>
        <w:overflowPunct w:val="0"/>
        <w:adjustRightInd w:val="0"/>
        <w:snapToGrid w:val="0"/>
        <w:ind w:firstLine="528"/>
        <w:rPr>
          <w:rFonts w:hint="eastAsia"/>
          <w:color w:val="000000"/>
          <w:spacing w:val="12"/>
          <w:szCs w:val="24"/>
        </w:rPr>
      </w:pPr>
      <w:r>
        <w:rPr>
          <w:rFonts w:hint="eastAsia"/>
          <w:color w:val="000000"/>
          <w:spacing w:val="12"/>
          <w:szCs w:val="24"/>
        </w:rPr>
        <w:t>c）源头控制、预防与复垦相结合，优化施工布置、尽量减少施工占地。</w:t>
      </w:r>
    </w:p>
    <w:p>
      <w:pPr>
        <w:overflowPunct w:val="0"/>
        <w:adjustRightInd w:val="0"/>
        <w:snapToGrid w:val="0"/>
        <w:ind w:firstLine="528"/>
        <w:rPr>
          <w:rFonts w:hint="eastAsia"/>
          <w:color w:val="000000"/>
          <w:spacing w:val="12"/>
          <w:szCs w:val="24"/>
        </w:rPr>
      </w:pPr>
      <w:r>
        <w:rPr>
          <w:rFonts w:hint="eastAsia"/>
          <w:color w:val="000000"/>
          <w:spacing w:val="12"/>
          <w:szCs w:val="24"/>
        </w:rPr>
        <w:t>建设项目在初步设计阶段已经对环境影响、土地利用、水土保持等方面作了全面细致的专项论证并提出了治理方案和措施。在工程建设和生产过程中，力求最大程度控制对土地产生的不利影响，针对工程施工导致的挖损、压占等损毁土地，在工程建设结束时、及时开展土地复垦工作。</w:t>
      </w:r>
    </w:p>
    <w:p>
      <w:pPr>
        <w:overflowPunct w:val="0"/>
        <w:adjustRightInd w:val="0"/>
        <w:snapToGrid w:val="0"/>
        <w:ind w:firstLine="528"/>
        <w:rPr>
          <w:rFonts w:hint="eastAsia"/>
          <w:color w:val="000000"/>
          <w:spacing w:val="12"/>
          <w:szCs w:val="24"/>
        </w:rPr>
      </w:pPr>
      <w:r>
        <w:rPr>
          <w:rFonts w:hint="eastAsia"/>
          <w:color w:val="000000"/>
          <w:spacing w:val="12"/>
          <w:szCs w:val="24"/>
        </w:rPr>
        <w:t>d）统一规划，统筹安排。</w:t>
      </w:r>
    </w:p>
    <w:p>
      <w:pPr>
        <w:overflowPunct w:val="0"/>
        <w:adjustRightInd w:val="0"/>
        <w:snapToGrid w:val="0"/>
        <w:ind w:firstLine="528"/>
        <w:rPr>
          <w:rFonts w:hint="eastAsia"/>
          <w:color w:val="000000"/>
          <w:spacing w:val="12"/>
          <w:szCs w:val="24"/>
        </w:rPr>
      </w:pPr>
      <w:r>
        <w:rPr>
          <w:rFonts w:hint="eastAsia"/>
          <w:color w:val="000000"/>
          <w:spacing w:val="12"/>
          <w:szCs w:val="24"/>
        </w:rPr>
        <w:t>把土地复垦指标纳入项目开发利用计划，在土地复垦设计和实施过程中，结合国家政策、省及当地行政主管部门土地规划，并充分考虑工程施工特点，合理确定土地复垦用途，统筹安排复垦计划。</w:t>
      </w:r>
    </w:p>
    <w:p>
      <w:pPr>
        <w:overflowPunct w:val="0"/>
        <w:adjustRightInd w:val="0"/>
        <w:snapToGrid w:val="0"/>
        <w:ind w:firstLine="528"/>
        <w:rPr>
          <w:rFonts w:hint="eastAsia"/>
          <w:color w:val="000000"/>
          <w:spacing w:val="12"/>
          <w:szCs w:val="24"/>
        </w:rPr>
      </w:pPr>
      <w:r>
        <w:rPr>
          <w:rFonts w:hint="eastAsia"/>
          <w:color w:val="000000"/>
          <w:spacing w:val="12"/>
          <w:szCs w:val="24"/>
        </w:rPr>
        <w:t>e）因地制宜，合理确定土地复垦方向。</w:t>
      </w:r>
    </w:p>
    <w:p>
      <w:pPr>
        <w:overflowPunct w:val="0"/>
        <w:adjustRightInd w:val="0"/>
        <w:snapToGrid w:val="0"/>
        <w:ind w:firstLine="528"/>
        <w:rPr>
          <w:color w:val="000000"/>
          <w:spacing w:val="12"/>
          <w:szCs w:val="24"/>
        </w:rPr>
      </w:pPr>
      <w:r>
        <w:rPr>
          <w:rFonts w:hint="eastAsia"/>
          <w:color w:val="000000"/>
          <w:spacing w:val="12"/>
          <w:szCs w:val="24"/>
        </w:rPr>
        <w:t>依据生产项目所在地区的气候、水文地质、地形地貌、土壤及植被等自然环境条件，并考虑当地社会经济发展状况，复垦后的土地根据适宜性评价，突出耕地优先，“宜耕则耕”、“宜林则林”的原则。</w:t>
      </w:r>
    </w:p>
    <w:p>
      <w:pPr>
        <w:pStyle w:val="4"/>
        <w:spacing w:before="0" w:after="0"/>
        <w:ind w:firstLine="0" w:firstLineChars="0"/>
        <w:rPr>
          <w:color w:val="000000"/>
          <w:kern w:val="0"/>
          <w:szCs w:val="30"/>
        </w:rPr>
      </w:pPr>
      <w:bookmarkStart w:id="21" w:name="_Toc3099"/>
      <w:bookmarkStart w:id="22" w:name="_Toc35614663"/>
      <w:r>
        <w:rPr>
          <w:color w:val="000000"/>
          <w:kern w:val="0"/>
          <w:szCs w:val="30"/>
        </w:rPr>
        <w:t>2.3编制依据</w:t>
      </w:r>
      <w:bookmarkEnd w:id="21"/>
      <w:bookmarkEnd w:id="22"/>
    </w:p>
    <w:p>
      <w:pPr>
        <w:pStyle w:val="5"/>
        <w:adjustRightInd w:val="0"/>
        <w:snapToGrid w:val="0"/>
        <w:spacing w:before="0" w:after="0" w:line="360" w:lineRule="auto"/>
        <w:ind w:left="101" w:hanging="100" w:hangingChars="36"/>
        <w:rPr>
          <w:bCs w:val="0"/>
          <w:color w:val="000000"/>
          <w:szCs w:val="28"/>
        </w:rPr>
      </w:pPr>
      <w:bookmarkStart w:id="23" w:name="_Toc232219810"/>
      <w:bookmarkStart w:id="24" w:name="_Toc259295685"/>
      <w:bookmarkStart w:id="25" w:name="_Toc259295687"/>
      <w:bookmarkStart w:id="26" w:name="_Toc232219812"/>
      <w:r>
        <w:rPr>
          <w:bCs w:val="0"/>
          <w:color w:val="000000"/>
          <w:szCs w:val="28"/>
        </w:rPr>
        <w:t>2.3.1法律法规</w:t>
      </w:r>
      <w:bookmarkEnd w:id="23"/>
      <w:bookmarkEnd w:id="24"/>
    </w:p>
    <w:p>
      <w:pPr>
        <w:overflowPunct w:val="0"/>
        <w:adjustRightInd w:val="0"/>
        <w:snapToGrid w:val="0"/>
        <w:ind w:firstLine="528"/>
        <w:rPr>
          <w:color w:val="000000"/>
          <w:spacing w:val="12"/>
          <w:szCs w:val="24"/>
        </w:rPr>
      </w:pPr>
      <w:bookmarkStart w:id="27" w:name="_Toc232219811"/>
      <w:bookmarkStart w:id="28" w:name="_Toc259295686"/>
      <w:r>
        <w:rPr>
          <w:color w:val="000000"/>
          <w:spacing w:val="12"/>
          <w:szCs w:val="24"/>
        </w:rPr>
        <w:t>a）《中华人民共和国土地管理法》，</w:t>
      </w:r>
      <w:r>
        <w:rPr>
          <w:rFonts w:hint="eastAsia"/>
          <w:color w:val="000000"/>
          <w:spacing w:val="12"/>
          <w:szCs w:val="24"/>
        </w:rPr>
        <w:t>2019</w:t>
      </w:r>
      <w:r>
        <w:rPr>
          <w:color w:val="000000"/>
          <w:spacing w:val="12"/>
          <w:szCs w:val="24"/>
        </w:rPr>
        <w:t>年8月</w:t>
      </w:r>
      <w:r>
        <w:rPr>
          <w:rFonts w:hint="eastAsia"/>
          <w:color w:val="000000"/>
          <w:spacing w:val="12"/>
          <w:szCs w:val="24"/>
        </w:rPr>
        <w:t>26日</w:t>
      </w:r>
      <w:r>
        <w:rPr>
          <w:color w:val="000000"/>
          <w:spacing w:val="12"/>
          <w:szCs w:val="24"/>
        </w:rPr>
        <w:t>；</w:t>
      </w:r>
    </w:p>
    <w:p>
      <w:pPr>
        <w:overflowPunct w:val="0"/>
        <w:adjustRightInd w:val="0"/>
        <w:snapToGrid w:val="0"/>
        <w:ind w:firstLine="528"/>
        <w:rPr>
          <w:color w:val="000000"/>
          <w:spacing w:val="12"/>
          <w:szCs w:val="24"/>
        </w:rPr>
      </w:pPr>
      <w:r>
        <w:rPr>
          <w:color w:val="000000"/>
          <w:spacing w:val="12"/>
          <w:szCs w:val="24"/>
        </w:rPr>
        <w:t>b)《中华人民共和国土地管理法实施条例》，</w:t>
      </w:r>
      <w:r>
        <w:rPr>
          <w:rFonts w:hint="eastAsia"/>
          <w:color w:val="000000"/>
          <w:spacing w:val="12"/>
          <w:szCs w:val="24"/>
        </w:rPr>
        <w:t>20</w:t>
      </w:r>
      <w:r>
        <w:rPr>
          <w:color w:val="000000"/>
          <w:spacing w:val="12"/>
          <w:szCs w:val="24"/>
        </w:rPr>
        <w:t>21年9月1</w:t>
      </w:r>
      <w:r>
        <w:rPr>
          <w:rFonts w:hint="eastAsia"/>
          <w:color w:val="000000"/>
          <w:spacing w:val="12"/>
          <w:szCs w:val="24"/>
        </w:rPr>
        <w:t>日</w:t>
      </w:r>
      <w:r>
        <w:rPr>
          <w:color w:val="000000"/>
          <w:spacing w:val="12"/>
          <w:szCs w:val="24"/>
        </w:rPr>
        <w:t>；</w:t>
      </w:r>
    </w:p>
    <w:p>
      <w:pPr>
        <w:overflowPunct w:val="0"/>
        <w:adjustRightInd w:val="0"/>
        <w:snapToGrid w:val="0"/>
        <w:ind w:firstLine="528"/>
        <w:rPr>
          <w:color w:val="000000"/>
          <w:spacing w:val="12"/>
          <w:szCs w:val="24"/>
        </w:rPr>
      </w:pPr>
      <w:r>
        <w:rPr>
          <w:color w:val="000000"/>
          <w:spacing w:val="12"/>
          <w:szCs w:val="24"/>
        </w:rPr>
        <w:t>c)《基本农田保护条例》，1999年1月；</w:t>
      </w:r>
    </w:p>
    <w:p>
      <w:pPr>
        <w:overflowPunct w:val="0"/>
        <w:adjustRightInd w:val="0"/>
        <w:snapToGrid w:val="0"/>
        <w:ind w:firstLine="528"/>
        <w:rPr>
          <w:color w:val="000000"/>
          <w:spacing w:val="12"/>
          <w:szCs w:val="24"/>
        </w:rPr>
      </w:pPr>
      <w:r>
        <w:rPr>
          <w:color w:val="000000"/>
          <w:spacing w:val="12"/>
          <w:szCs w:val="24"/>
        </w:rPr>
        <w:t>d)《中华人民共和国环境保护法》，201</w:t>
      </w:r>
      <w:r>
        <w:rPr>
          <w:rFonts w:hint="eastAsia"/>
          <w:color w:val="000000"/>
          <w:spacing w:val="12"/>
          <w:szCs w:val="24"/>
        </w:rPr>
        <w:t>4</w:t>
      </w:r>
      <w:r>
        <w:rPr>
          <w:color w:val="000000"/>
          <w:spacing w:val="12"/>
          <w:szCs w:val="24"/>
        </w:rPr>
        <w:t>年</w:t>
      </w:r>
      <w:r>
        <w:rPr>
          <w:rFonts w:hint="eastAsia"/>
          <w:color w:val="000000"/>
          <w:spacing w:val="12"/>
          <w:szCs w:val="24"/>
        </w:rPr>
        <w:t>4月24日</w:t>
      </w:r>
      <w:r>
        <w:rPr>
          <w:color w:val="000000"/>
          <w:spacing w:val="12"/>
          <w:szCs w:val="24"/>
        </w:rPr>
        <w:t>；</w:t>
      </w:r>
    </w:p>
    <w:p>
      <w:pPr>
        <w:overflowPunct w:val="0"/>
        <w:adjustRightInd w:val="0"/>
        <w:snapToGrid w:val="0"/>
        <w:ind w:firstLine="528"/>
        <w:rPr>
          <w:color w:val="000000"/>
          <w:spacing w:val="12"/>
          <w:szCs w:val="24"/>
        </w:rPr>
      </w:pPr>
      <w:r>
        <w:rPr>
          <w:color w:val="000000"/>
          <w:spacing w:val="12"/>
          <w:szCs w:val="24"/>
        </w:rPr>
        <w:t>e)《中华人民共和国城乡规划法》，20</w:t>
      </w:r>
      <w:r>
        <w:rPr>
          <w:rFonts w:hint="eastAsia"/>
          <w:color w:val="000000"/>
          <w:spacing w:val="12"/>
          <w:szCs w:val="24"/>
        </w:rPr>
        <w:t>19</w:t>
      </w:r>
      <w:r>
        <w:rPr>
          <w:color w:val="000000"/>
          <w:spacing w:val="12"/>
          <w:szCs w:val="24"/>
        </w:rPr>
        <w:t>年</w:t>
      </w:r>
      <w:r>
        <w:rPr>
          <w:rFonts w:hint="eastAsia"/>
          <w:color w:val="000000"/>
          <w:spacing w:val="12"/>
          <w:szCs w:val="24"/>
        </w:rPr>
        <w:t>4</w:t>
      </w:r>
      <w:r>
        <w:rPr>
          <w:color w:val="000000"/>
          <w:spacing w:val="12"/>
          <w:szCs w:val="24"/>
        </w:rPr>
        <w:t>月</w:t>
      </w:r>
      <w:r>
        <w:rPr>
          <w:rFonts w:hint="eastAsia"/>
          <w:color w:val="000000"/>
          <w:spacing w:val="12"/>
          <w:szCs w:val="24"/>
        </w:rPr>
        <w:t>23日</w:t>
      </w:r>
      <w:r>
        <w:rPr>
          <w:color w:val="000000"/>
          <w:spacing w:val="12"/>
          <w:szCs w:val="24"/>
        </w:rPr>
        <w:t>；</w:t>
      </w:r>
    </w:p>
    <w:p>
      <w:pPr>
        <w:overflowPunct w:val="0"/>
        <w:adjustRightInd w:val="0"/>
        <w:snapToGrid w:val="0"/>
        <w:ind w:firstLine="528"/>
        <w:rPr>
          <w:color w:val="000000"/>
          <w:spacing w:val="12"/>
          <w:szCs w:val="24"/>
        </w:rPr>
      </w:pPr>
      <w:r>
        <w:rPr>
          <w:color w:val="000000"/>
          <w:spacing w:val="12"/>
          <w:szCs w:val="24"/>
        </w:rPr>
        <w:t>f)《中华人民共和国水土保持法》，2010年12月；</w:t>
      </w:r>
    </w:p>
    <w:p>
      <w:pPr>
        <w:overflowPunct w:val="0"/>
        <w:adjustRightInd w:val="0"/>
        <w:snapToGrid w:val="0"/>
        <w:ind w:firstLine="528"/>
        <w:rPr>
          <w:color w:val="000000"/>
          <w:spacing w:val="12"/>
          <w:szCs w:val="24"/>
        </w:rPr>
      </w:pPr>
      <w:r>
        <w:rPr>
          <w:color w:val="000000"/>
          <w:spacing w:val="12"/>
          <w:szCs w:val="24"/>
        </w:rPr>
        <w:t>g）《中华人民共和国农业法》，2012年12月；</w:t>
      </w:r>
    </w:p>
    <w:p>
      <w:pPr>
        <w:overflowPunct w:val="0"/>
        <w:adjustRightInd w:val="0"/>
        <w:snapToGrid w:val="0"/>
        <w:ind w:firstLine="528"/>
        <w:rPr>
          <w:rFonts w:hint="eastAsia"/>
          <w:color w:val="000000"/>
          <w:spacing w:val="12"/>
          <w:szCs w:val="24"/>
        </w:rPr>
      </w:pPr>
      <w:r>
        <w:rPr>
          <w:color w:val="000000"/>
          <w:spacing w:val="12"/>
          <w:szCs w:val="24"/>
        </w:rPr>
        <w:t>h）《中华人民共和国</w:t>
      </w:r>
      <w:r>
        <w:rPr>
          <w:rFonts w:hint="eastAsia"/>
          <w:color w:val="000000"/>
          <w:spacing w:val="12"/>
          <w:szCs w:val="24"/>
        </w:rPr>
        <w:t>森林</w:t>
      </w:r>
      <w:r>
        <w:rPr>
          <w:color w:val="000000"/>
          <w:spacing w:val="12"/>
          <w:szCs w:val="24"/>
        </w:rPr>
        <w:t>法》，2019年12月；</w:t>
      </w:r>
    </w:p>
    <w:p>
      <w:pPr>
        <w:overflowPunct w:val="0"/>
        <w:adjustRightInd w:val="0"/>
        <w:snapToGrid w:val="0"/>
        <w:ind w:firstLine="528"/>
        <w:rPr>
          <w:rFonts w:hint="eastAsia"/>
          <w:color w:val="000000"/>
          <w:spacing w:val="12"/>
          <w:szCs w:val="24"/>
        </w:rPr>
      </w:pPr>
      <w:r>
        <w:rPr>
          <w:color w:val="000000"/>
          <w:spacing w:val="12"/>
          <w:szCs w:val="24"/>
        </w:rPr>
        <w:t>i）《</w:t>
      </w:r>
      <w:r>
        <w:rPr>
          <w:rFonts w:hint="eastAsia"/>
          <w:color w:val="000000"/>
          <w:spacing w:val="12"/>
          <w:szCs w:val="24"/>
        </w:rPr>
        <w:t>土地复垦条例</w:t>
      </w:r>
      <w:r>
        <w:rPr>
          <w:color w:val="000000"/>
          <w:spacing w:val="12"/>
          <w:szCs w:val="24"/>
        </w:rPr>
        <w:t>》</w:t>
      </w:r>
      <w:r>
        <w:rPr>
          <w:rFonts w:hint="eastAsia"/>
          <w:color w:val="000000"/>
          <w:spacing w:val="12"/>
          <w:szCs w:val="24"/>
        </w:rPr>
        <w:t>（国务院令第5</w:t>
      </w:r>
      <w:r>
        <w:rPr>
          <w:color w:val="000000"/>
          <w:spacing w:val="12"/>
          <w:szCs w:val="24"/>
        </w:rPr>
        <w:t>92</w:t>
      </w:r>
      <w:r>
        <w:rPr>
          <w:rFonts w:hint="eastAsia"/>
          <w:color w:val="000000"/>
          <w:spacing w:val="12"/>
          <w:szCs w:val="24"/>
        </w:rPr>
        <w:t>号）</w:t>
      </w:r>
      <w:r>
        <w:rPr>
          <w:color w:val="000000"/>
          <w:spacing w:val="12"/>
          <w:szCs w:val="24"/>
        </w:rPr>
        <w:t>，2011年2月；</w:t>
      </w:r>
    </w:p>
    <w:p>
      <w:pPr>
        <w:overflowPunct w:val="0"/>
        <w:adjustRightInd w:val="0"/>
        <w:snapToGrid w:val="0"/>
        <w:ind w:firstLine="528"/>
        <w:rPr>
          <w:rFonts w:hint="eastAsia"/>
          <w:color w:val="000000"/>
          <w:spacing w:val="12"/>
          <w:szCs w:val="24"/>
        </w:rPr>
      </w:pPr>
      <w:r>
        <w:rPr>
          <w:color w:val="000000"/>
          <w:spacing w:val="12"/>
          <w:szCs w:val="24"/>
        </w:rPr>
        <w:t>j）《</w:t>
      </w:r>
      <w:r>
        <w:rPr>
          <w:rFonts w:hint="eastAsia"/>
          <w:color w:val="000000"/>
          <w:spacing w:val="12"/>
          <w:szCs w:val="24"/>
        </w:rPr>
        <w:t>土地复垦条例实施办法</w:t>
      </w:r>
      <w:r>
        <w:rPr>
          <w:color w:val="000000"/>
          <w:spacing w:val="12"/>
          <w:szCs w:val="24"/>
        </w:rPr>
        <w:t>》，2019年7月；</w:t>
      </w:r>
    </w:p>
    <w:p>
      <w:pPr>
        <w:overflowPunct w:val="0"/>
        <w:adjustRightInd w:val="0"/>
        <w:snapToGrid w:val="0"/>
        <w:ind w:firstLine="528"/>
        <w:rPr>
          <w:color w:val="000000"/>
          <w:spacing w:val="12"/>
          <w:szCs w:val="24"/>
        </w:rPr>
      </w:pPr>
      <w:r>
        <w:rPr>
          <w:color w:val="000000"/>
          <w:spacing w:val="12"/>
          <w:szCs w:val="24"/>
        </w:rPr>
        <w:t>k）《关于做好土地开发整理权属管理工作的意见》（国土资发〔2003〕287号）；</w:t>
      </w:r>
    </w:p>
    <w:p>
      <w:pPr>
        <w:overflowPunct w:val="0"/>
        <w:adjustRightInd w:val="0"/>
        <w:snapToGrid w:val="0"/>
        <w:ind w:firstLine="528"/>
        <w:rPr>
          <w:color w:val="000000"/>
          <w:spacing w:val="12"/>
          <w:szCs w:val="24"/>
        </w:rPr>
      </w:pPr>
      <w:r>
        <w:rPr>
          <w:color w:val="000000"/>
          <w:spacing w:val="12"/>
          <w:szCs w:val="24"/>
        </w:rPr>
        <w:t>l)《关于进一步加强土地整理复垦开发工作的通知》（国土资发〔2008〕176号）；</w:t>
      </w:r>
    </w:p>
    <w:p>
      <w:pPr>
        <w:overflowPunct w:val="0"/>
        <w:adjustRightInd w:val="0"/>
        <w:snapToGrid w:val="0"/>
        <w:ind w:firstLine="528"/>
        <w:rPr>
          <w:color w:val="000000"/>
          <w:spacing w:val="12"/>
          <w:szCs w:val="24"/>
        </w:rPr>
      </w:pPr>
      <w:r>
        <w:rPr>
          <w:color w:val="000000"/>
          <w:spacing w:val="12"/>
          <w:szCs w:val="24"/>
        </w:rPr>
        <w:t>m）《云南省国土资源厅转发国土资源部关于进一步加强土地整理复垦开发工作的通知》（云国土资耕〔2008〕218号）；</w:t>
      </w:r>
    </w:p>
    <w:p>
      <w:pPr>
        <w:overflowPunct w:val="0"/>
        <w:adjustRightInd w:val="0"/>
        <w:snapToGrid w:val="0"/>
        <w:ind w:firstLine="528"/>
        <w:rPr>
          <w:color w:val="000000"/>
          <w:spacing w:val="12"/>
          <w:szCs w:val="24"/>
        </w:rPr>
      </w:pPr>
      <w:r>
        <w:rPr>
          <w:color w:val="000000"/>
          <w:spacing w:val="12"/>
          <w:szCs w:val="24"/>
        </w:rPr>
        <w:t>n）《云南省国土资源厅关于进一步加强土地整治项目管理工作的意见》（云国土资〔2011〕225号）；</w:t>
      </w:r>
    </w:p>
    <w:p>
      <w:pPr>
        <w:overflowPunct w:val="0"/>
        <w:adjustRightInd w:val="0"/>
        <w:snapToGrid w:val="0"/>
        <w:ind w:firstLine="528"/>
        <w:rPr>
          <w:color w:val="000000"/>
          <w:spacing w:val="12"/>
          <w:szCs w:val="24"/>
        </w:rPr>
      </w:pPr>
      <w:r>
        <w:rPr>
          <w:color w:val="000000"/>
          <w:spacing w:val="12"/>
          <w:szCs w:val="24"/>
        </w:rPr>
        <w:t>o）</w:t>
      </w:r>
      <w:r>
        <w:rPr>
          <w:rFonts w:hint="eastAsia"/>
          <w:color w:val="000000"/>
          <w:spacing w:val="12"/>
          <w:szCs w:val="24"/>
        </w:rPr>
        <w:t>《云南省国土资源厅关于规范临时用地管理的通知》</w:t>
      </w:r>
      <w:r>
        <w:rPr>
          <w:color w:val="000000"/>
          <w:spacing w:val="12"/>
          <w:szCs w:val="24"/>
        </w:rPr>
        <w:t>（国资发〔2012〕99号）；</w:t>
      </w:r>
    </w:p>
    <w:p>
      <w:pPr>
        <w:overflowPunct w:val="0"/>
        <w:adjustRightInd w:val="0"/>
        <w:snapToGrid w:val="0"/>
        <w:ind w:firstLine="528"/>
        <w:rPr>
          <w:color w:val="000000"/>
          <w:spacing w:val="12"/>
          <w:szCs w:val="24"/>
        </w:rPr>
      </w:pPr>
      <w:r>
        <w:rPr>
          <w:color w:val="000000"/>
          <w:spacing w:val="12"/>
          <w:szCs w:val="24"/>
        </w:rPr>
        <w:t>p）《国土资源部关于加强农村土地整治权属管理的通知》（</w:t>
      </w:r>
      <w:r>
        <w:rPr>
          <w:rFonts w:hint="eastAsia"/>
          <w:color w:val="000000"/>
          <w:spacing w:val="12"/>
          <w:szCs w:val="24"/>
        </w:rPr>
        <w:t>云</w:t>
      </w:r>
      <w:r>
        <w:rPr>
          <w:color w:val="000000"/>
          <w:spacing w:val="12"/>
          <w:szCs w:val="24"/>
        </w:rPr>
        <w:t>国</w:t>
      </w:r>
      <w:r>
        <w:rPr>
          <w:rFonts w:hint="eastAsia"/>
          <w:color w:val="000000"/>
          <w:spacing w:val="12"/>
          <w:szCs w:val="24"/>
        </w:rPr>
        <w:t>土</w:t>
      </w:r>
      <w:r>
        <w:rPr>
          <w:color w:val="000000"/>
          <w:spacing w:val="12"/>
          <w:szCs w:val="24"/>
        </w:rPr>
        <w:t>资〔2012〕313号）；</w:t>
      </w:r>
    </w:p>
    <w:p>
      <w:pPr>
        <w:overflowPunct w:val="0"/>
        <w:adjustRightInd w:val="0"/>
        <w:snapToGrid w:val="0"/>
        <w:ind w:firstLine="528"/>
        <w:rPr>
          <w:color w:val="000000"/>
          <w:spacing w:val="12"/>
          <w:szCs w:val="24"/>
        </w:rPr>
      </w:pPr>
      <w:r>
        <w:rPr>
          <w:color w:val="000000"/>
          <w:spacing w:val="12"/>
          <w:szCs w:val="24"/>
        </w:rPr>
        <w:t>q）《国土资源部关于补足耕地数量与提升耕地质量相结合落实占补平衡的指导意见》（国土资规〔2016〕8号）；</w:t>
      </w:r>
    </w:p>
    <w:p>
      <w:pPr>
        <w:overflowPunct w:val="0"/>
        <w:adjustRightInd w:val="0"/>
        <w:snapToGrid w:val="0"/>
        <w:ind w:firstLine="528"/>
        <w:rPr>
          <w:color w:val="000000"/>
          <w:spacing w:val="12"/>
          <w:szCs w:val="24"/>
        </w:rPr>
      </w:pPr>
      <w:r>
        <w:rPr>
          <w:color w:val="000000"/>
          <w:spacing w:val="12"/>
          <w:szCs w:val="24"/>
        </w:rPr>
        <w:t>r）《中共中央国务院关于加强耕地保护和改进占补平衡的意见》（中发〔2017〕4号）；</w:t>
      </w:r>
    </w:p>
    <w:p>
      <w:pPr>
        <w:overflowPunct w:val="0"/>
        <w:adjustRightInd w:val="0"/>
        <w:snapToGrid w:val="0"/>
        <w:ind w:firstLine="528"/>
        <w:rPr>
          <w:color w:val="000000"/>
          <w:spacing w:val="12"/>
          <w:szCs w:val="24"/>
        </w:rPr>
      </w:pPr>
      <w:r>
        <w:rPr>
          <w:color w:val="000000"/>
          <w:spacing w:val="12"/>
          <w:szCs w:val="24"/>
        </w:rPr>
        <w:t>s）《国土资源部关于改进管理方式切实落实耕地占补平衡的通知》（国土资规〔2017〕13号）；</w:t>
      </w:r>
    </w:p>
    <w:p>
      <w:pPr>
        <w:overflowPunct w:val="0"/>
        <w:adjustRightInd w:val="0"/>
        <w:snapToGrid w:val="0"/>
        <w:ind w:firstLine="528"/>
        <w:rPr>
          <w:color w:val="000000"/>
          <w:spacing w:val="12"/>
          <w:szCs w:val="24"/>
        </w:rPr>
      </w:pPr>
      <w:r>
        <w:rPr>
          <w:color w:val="000000"/>
          <w:spacing w:val="12"/>
          <w:szCs w:val="24"/>
        </w:rPr>
        <w:t>t）《云南省国土资源厅云南省财政厅关于土地整治工程营业税改征增值税计价依据调整过渡实施方案的通知》（云国土资〔2017〕232号）；</w:t>
      </w:r>
    </w:p>
    <w:p>
      <w:pPr>
        <w:overflowPunct w:val="0"/>
        <w:adjustRightInd w:val="0"/>
        <w:snapToGrid w:val="0"/>
        <w:ind w:firstLine="528"/>
        <w:rPr>
          <w:color w:val="000000"/>
          <w:spacing w:val="12"/>
          <w:szCs w:val="24"/>
        </w:rPr>
      </w:pPr>
      <w:r>
        <w:rPr>
          <w:color w:val="000000"/>
          <w:spacing w:val="12"/>
          <w:szCs w:val="24"/>
        </w:rPr>
        <w:t>u）《中共云南省委云南省人民政府关于加强耕地保护和改进占补平衡的实施意见》（云发〔2018〕11号）；</w:t>
      </w:r>
    </w:p>
    <w:p>
      <w:pPr>
        <w:overflowPunct w:val="0"/>
        <w:adjustRightInd w:val="0"/>
        <w:snapToGrid w:val="0"/>
        <w:ind w:firstLine="528"/>
        <w:rPr>
          <w:color w:val="000000"/>
          <w:spacing w:val="12"/>
          <w:szCs w:val="24"/>
        </w:rPr>
      </w:pPr>
      <w:r>
        <w:rPr>
          <w:color w:val="000000"/>
          <w:spacing w:val="12"/>
          <w:szCs w:val="24"/>
        </w:rPr>
        <w:t>v）《财政部税务总局海关总署关于深化增值税改革有关政策的公告》（财政部税务总局海关总署公告2019年第39号）；</w:t>
      </w:r>
    </w:p>
    <w:p>
      <w:pPr>
        <w:overflowPunct w:val="0"/>
        <w:adjustRightInd w:val="0"/>
        <w:snapToGrid w:val="0"/>
        <w:ind w:firstLine="528"/>
        <w:rPr>
          <w:color w:val="000000"/>
          <w:spacing w:val="12"/>
          <w:szCs w:val="24"/>
        </w:rPr>
      </w:pPr>
      <w:r>
        <w:rPr>
          <w:color w:val="000000"/>
          <w:spacing w:val="12"/>
          <w:szCs w:val="24"/>
        </w:rPr>
        <w:t>w）</w:t>
      </w:r>
      <w:r>
        <w:rPr>
          <w:rFonts w:hint="eastAsia"/>
          <w:color w:val="000000"/>
          <w:spacing w:val="12"/>
          <w:szCs w:val="24"/>
        </w:rPr>
        <w:t>《云南省自然资源厅云南省农业农村厅关于进一步加强和改进永久基本农田保护有关工作的通知》（云自然资〔2019〕165号）。</w:t>
      </w:r>
    </w:p>
    <w:p>
      <w:pPr>
        <w:pStyle w:val="5"/>
        <w:adjustRightInd w:val="0"/>
        <w:snapToGrid w:val="0"/>
        <w:spacing w:before="0" w:after="0" w:line="360" w:lineRule="auto"/>
        <w:ind w:left="101" w:hanging="100" w:hangingChars="36"/>
        <w:rPr>
          <w:color w:val="000000"/>
          <w:szCs w:val="28"/>
        </w:rPr>
      </w:pPr>
      <w:r>
        <w:rPr>
          <w:color w:val="000000"/>
          <w:szCs w:val="28"/>
        </w:rPr>
        <w:t>2.3.2技术标准与规范</w:t>
      </w:r>
      <w:bookmarkEnd w:id="27"/>
      <w:bookmarkEnd w:id="28"/>
    </w:p>
    <w:p>
      <w:pPr>
        <w:overflowPunct w:val="0"/>
        <w:adjustRightInd w:val="0"/>
        <w:snapToGrid w:val="0"/>
        <w:ind w:firstLine="528"/>
        <w:rPr>
          <w:rFonts w:hint="eastAsia"/>
          <w:color w:val="000000"/>
          <w:spacing w:val="12"/>
          <w:szCs w:val="24"/>
        </w:rPr>
      </w:pPr>
      <w:r>
        <w:rPr>
          <w:rFonts w:hint="eastAsia"/>
          <w:color w:val="000000"/>
          <w:spacing w:val="12"/>
          <w:szCs w:val="24"/>
        </w:rPr>
        <w:t>a）《土地开整理标准》（TD/T1011-1013-2000）；</w:t>
      </w:r>
    </w:p>
    <w:p>
      <w:pPr>
        <w:overflowPunct w:val="0"/>
        <w:adjustRightInd w:val="0"/>
        <w:snapToGrid w:val="0"/>
        <w:ind w:firstLine="528"/>
        <w:rPr>
          <w:rFonts w:hint="eastAsia"/>
          <w:color w:val="000000"/>
          <w:spacing w:val="12"/>
          <w:szCs w:val="24"/>
        </w:rPr>
      </w:pPr>
      <w:r>
        <w:rPr>
          <w:rFonts w:hint="eastAsia"/>
          <w:color w:val="000000"/>
          <w:spacing w:val="12"/>
          <w:szCs w:val="24"/>
        </w:rPr>
        <w:t>b）《土地开发整理项目规划设计规范》（TD/T1012-2000）；</w:t>
      </w:r>
    </w:p>
    <w:p>
      <w:pPr>
        <w:overflowPunct w:val="0"/>
        <w:adjustRightInd w:val="0"/>
        <w:snapToGrid w:val="0"/>
        <w:ind w:firstLine="528"/>
        <w:rPr>
          <w:rFonts w:hint="eastAsia"/>
          <w:color w:val="000000"/>
          <w:spacing w:val="12"/>
          <w:szCs w:val="24"/>
        </w:rPr>
      </w:pPr>
      <w:r>
        <w:rPr>
          <w:rFonts w:hint="eastAsia"/>
          <w:color w:val="000000"/>
          <w:spacing w:val="12"/>
          <w:szCs w:val="24"/>
        </w:rPr>
        <w:t>c）《土地开发整理项目验收规程》（TD/T1013-2000）；</w:t>
      </w:r>
    </w:p>
    <w:p>
      <w:pPr>
        <w:overflowPunct w:val="0"/>
        <w:adjustRightInd w:val="0"/>
        <w:snapToGrid w:val="0"/>
        <w:ind w:firstLine="528"/>
        <w:rPr>
          <w:rFonts w:hint="eastAsia"/>
          <w:color w:val="000000"/>
          <w:spacing w:val="12"/>
          <w:szCs w:val="24"/>
        </w:rPr>
      </w:pPr>
      <w:r>
        <w:rPr>
          <w:rFonts w:hint="eastAsia"/>
          <w:color w:val="000000"/>
          <w:spacing w:val="12"/>
          <w:szCs w:val="24"/>
        </w:rPr>
        <w:t>d）《水利建设项目经济评价规范》（SL72-94）；</w:t>
      </w:r>
    </w:p>
    <w:p>
      <w:pPr>
        <w:overflowPunct w:val="0"/>
        <w:adjustRightInd w:val="0"/>
        <w:snapToGrid w:val="0"/>
        <w:ind w:firstLine="528"/>
        <w:rPr>
          <w:rFonts w:hint="eastAsia"/>
          <w:color w:val="000000"/>
          <w:spacing w:val="12"/>
          <w:szCs w:val="24"/>
        </w:rPr>
      </w:pPr>
      <w:r>
        <w:rPr>
          <w:rFonts w:hint="eastAsia"/>
          <w:color w:val="000000"/>
          <w:spacing w:val="12"/>
          <w:szCs w:val="24"/>
        </w:rPr>
        <w:t>e）《灌溉与排水工程设计规范》（GB/50288-99）；</w:t>
      </w:r>
    </w:p>
    <w:p>
      <w:pPr>
        <w:overflowPunct w:val="0"/>
        <w:adjustRightInd w:val="0"/>
        <w:snapToGrid w:val="0"/>
        <w:ind w:firstLine="528"/>
        <w:rPr>
          <w:rFonts w:hint="eastAsia"/>
          <w:color w:val="000000"/>
          <w:spacing w:val="12"/>
          <w:szCs w:val="24"/>
        </w:rPr>
      </w:pPr>
      <w:r>
        <w:rPr>
          <w:rFonts w:hint="eastAsia"/>
          <w:color w:val="000000"/>
          <w:spacing w:val="12"/>
          <w:szCs w:val="24"/>
        </w:rPr>
        <w:t>f）《节水灌溉技术规范》（SL207-98）；</w:t>
      </w:r>
    </w:p>
    <w:p>
      <w:pPr>
        <w:overflowPunct w:val="0"/>
        <w:adjustRightInd w:val="0"/>
        <w:snapToGrid w:val="0"/>
        <w:ind w:firstLine="528"/>
        <w:rPr>
          <w:rFonts w:hint="eastAsia"/>
          <w:color w:val="000000"/>
          <w:spacing w:val="12"/>
          <w:szCs w:val="24"/>
        </w:rPr>
      </w:pPr>
      <w:r>
        <w:rPr>
          <w:rFonts w:hint="eastAsia"/>
          <w:color w:val="000000"/>
          <w:spacing w:val="12"/>
          <w:szCs w:val="24"/>
        </w:rPr>
        <w:t>g）《水土保持综治理技术规范》（GB/T16453.1-16453.6-1996）；</w:t>
      </w:r>
    </w:p>
    <w:p>
      <w:pPr>
        <w:overflowPunct w:val="0"/>
        <w:adjustRightInd w:val="0"/>
        <w:snapToGrid w:val="0"/>
        <w:ind w:firstLine="528"/>
        <w:rPr>
          <w:rFonts w:hint="eastAsia"/>
          <w:color w:val="000000"/>
          <w:spacing w:val="12"/>
          <w:szCs w:val="24"/>
        </w:rPr>
      </w:pPr>
      <w:r>
        <w:rPr>
          <w:rFonts w:hint="eastAsia"/>
          <w:color w:val="000000"/>
          <w:spacing w:val="12"/>
          <w:szCs w:val="24"/>
        </w:rPr>
        <w:t>h）《农田排水工程技术规范》（SL/T4-1999）；</w:t>
      </w:r>
    </w:p>
    <w:p>
      <w:pPr>
        <w:overflowPunct w:val="0"/>
        <w:adjustRightInd w:val="0"/>
        <w:snapToGrid w:val="0"/>
        <w:ind w:firstLine="528"/>
        <w:rPr>
          <w:rFonts w:hint="eastAsia"/>
          <w:color w:val="000000"/>
          <w:spacing w:val="12"/>
          <w:szCs w:val="24"/>
        </w:rPr>
      </w:pPr>
      <w:r>
        <w:rPr>
          <w:rFonts w:hint="eastAsia"/>
          <w:color w:val="000000"/>
          <w:spacing w:val="12"/>
          <w:szCs w:val="24"/>
        </w:rPr>
        <w:t>i）《土地开发整理工程建设标准（试行）》（云南省国土资源行业标准）；</w:t>
      </w:r>
    </w:p>
    <w:p>
      <w:pPr>
        <w:overflowPunct w:val="0"/>
        <w:adjustRightInd w:val="0"/>
        <w:snapToGrid w:val="0"/>
        <w:ind w:firstLine="528"/>
        <w:rPr>
          <w:rFonts w:hint="eastAsia"/>
          <w:color w:val="000000"/>
          <w:spacing w:val="12"/>
          <w:szCs w:val="24"/>
        </w:rPr>
      </w:pPr>
      <w:r>
        <w:rPr>
          <w:rFonts w:hint="eastAsia"/>
          <w:color w:val="000000"/>
          <w:spacing w:val="12"/>
          <w:szCs w:val="24"/>
        </w:rPr>
        <w:t>j）财政部国土资源部《土地开发整理项目预算定额标准》（中国财政经济出版社，2012.3）；</w:t>
      </w:r>
    </w:p>
    <w:p>
      <w:pPr>
        <w:overflowPunct w:val="0"/>
        <w:adjustRightInd w:val="0"/>
        <w:snapToGrid w:val="0"/>
        <w:ind w:firstLine="528"/>
        <w:rPr>
          <w:rFonts w:hint="eastAsia"/>
          <w:color w:val="000000"/>
          <w:spacing w:val="12"/>
          <w:szCs w:val="24"/>
        </w:rPr>
      </w:pPr>
      <w:r>
        <w:rPr>
          <w:rFonts w:hint="eastAsia"/>
          <w:color w:val="000000"/>
          <w:spacing w:val="12"/>
          <w:szCs w:val="24"/>
        </w:rPr>
        <w:t>k）《云南省土地整治项目可行性研究报告编制规程（试行）》（云南省国土资源厅，2011年）；</w:t>
      </w:r>
    </w:p>
    <w:p>
      <w:pPr>
        <w:overflowPunct w:val="0"/>
        <w:adjustRightInd w:val="0"/>
        <w:snapToGrid w:val="0"/>
        <w:ind w:firstLine="528"/>
        <w:rPr>
          <w:rFonts w:hint="eastAsia"/>
          <w:color w:val="000000"/>
          <w:spacing w:val="12"/>
          <w:szCs w:val="24"/>
        </w:rPr>
      </w:pPr>
      <w:r>
        <w:rPr>
          <w:rFonts w:hint="eastAsia"/>
          <w:color w:val="000000"/>
          <w:spacing w:val="12"/>
          <w:szCs w:val="24"/>
        </w:rPr>
        <w:t>l）《云南省土地整治项目制图标准（试行）》（云南省国土资源厅，2011年）；</w:t>
      </w:r>
    </w:p>
    <w:p>
      <w:pPr>
        <w:overflowPunct w:val="0"/>
        <w:adjustRightInd w:val="0"/>
        <w:snapToGrid w:val="0"/>
        <w:ind w:firstLine="528"/>
        <w:rPr>
          <w:rFonts w:hint="eastAsia"/>
          <w:color w:val="000000"/>
          <w:spacing w:val="12"/>
          <w:szCs w:val="24"/>
        </w:rPr>
      </w:pPr>
      <w:r>
        <w:rPr>
          <w:rFonts w:hint="eastAsia"/>
          <w:color w:val="000000"/>
          <w:spacing w:val="12"/>
          <w:szCs w:val="24"/>
        </w:rPr>
        <w:t>m）</w:t>
      </w:r>
      <w:bookmarkStart w:id="29" w:name="OLE_LINK5"/>
      <w:r>
        <w:rPr>
          <w:rFonts w:hint="eastAsia"/>
          <w:color w:val="000000"/>
          <w:spacing w:val="12"/>
          <w:szCs w:val="24"/>
        </w:rPr>
        <w:t>《农用地质量分等规程》（GB/T28407-2012）</w:t>
      </w:r>
      <w:bookmarkEnd w:id="29"/>
      <w:r>
        <w:rPr>
          <w:rFonts w:hint="eastAsia"/>
          <w:color w:val="000000"/>
          <w:spacing w:val="12"/>
          <w:szCs w:val="24"/>
        </w:rPr>
        <w:t>；</w:t>
      </w:r>
    </w:p>
    <w:p>
      <w:pPr>
        <w:overflowPunct w:val="0"/>
        <w:adjustRightInd w:val="0"/>
        <w:snapToGrid w:val="0"/>
        <w:ind w:firstLine="528"/>
        <w:rPr>
          <w:rFonts w:hint="eastAsia"/>
          <w:color w:val="000000"/>
          <w:spacing w:val="12"/>
          <w:szCs w:val="24"/>
        </w:rPr>
      </w:pPr>
      <w:r>
        <w:rPr>
          <w:rFonts w:hint="eastAsia"/>
          <w:color w:val="000000"/>
          <w:spacing w:val="12"/>
          <w:szCs w:val="24"/>
        </w:rPr>
        <w:t>n）《农用地分等数据库标准》；</w:t>
      </w:r>
    </w:p>
    <w:p>
      <w:pPr>
        <w:overflowPunct w:val="0"/>
        <w:adjustRightInd w:val="0"/>
        <w:snapToGrid w:val="0"/>
        <w:ind w:firstLine="528"/>
        <w:rPr>
          <w:rFonts w:hint="eastAsia"/>
          <w:color w:val="000000"/>
          <w:spacing w:val="12"/>
          <w:szCs w:val="24"/>
        </w:rPr>
      </w:pPr>
      <w:r>
        <w:rPr>
          <w:rFonts w:hint="eastAsia"/>
          <w:color w:val="000000"/>
          <w:spacing w:val="12"/>
          <w:szCs w:val="24"/>
        </w:rPr>
        <w:t>o）《农用地分等成果要求细则》；</w:t>
      </w:r>
    </w:p>
    <w:p>
      <w:pPr>
        <w:overflowPunct w:val="0"/>
        <w:adjustRightInd w:val="0"/>
        <w:snapToGrid w:val="0"/>
        <w:ind w:firstLine="528"/>
        <w:rPr>
          <w:rFonts w:hint="eastAsia"/>
          <w:color w:val="000000"/>
          <w:spacing w:val="12"/>
          <w:szCs w:val="24"/>
        </w:rPr>
      </w:pPr>
      <w:r>
        <w:rPr>
          <w:rFonts w:hint="eastAsia"/>
          <w:color w:val="000000"/>
          <w:spacing w:val="12"/>
          <w:szCs w:val="24"/>
        </w:rPr>
        <w:t>p）《耕地质量等级成果完善数据要求》（国土资源部土地整治中心）；</w:t>
      </w:r>
    </w:p>
    <w:p>
      <w:pPr>
        <w:overflowPunct w:val="0"/>
        <w:adjustRightInd w:val="0"/>
        <w:snapToGrid w:val="0"/>
        <w:ind w:firstLine="528"/>
        <w:rPr>
          <w:rFonts w:hint="eastAsia"/>
          <w:color w:val="000000"/>
          <w:spacing w:val="12"/>
          <w:szCs w:val="24"/>
        </w:rPr>
      </w:pPr>
      <w:r>
        <w:rPr>
          <w:rFonts w:hint="eastAsia"/>
          <w:color w:val="000000"/>
          <w:spacing w:val="12"/>
          <w:szCs w:val="24"/>
        </w:rPr>
        <w:t>q）《农用地分等定级估价技术简报》（国土资源部土地整理中心）；</w:t>
      </w:r>
    </w:p>
    <w:p>
      <w:pPr>
        <w:overflowPunct w:val="0"/>
        <w:adjustRightInd w:val="0"/>
        <w:snapToGrid w:val="0"/>
        <w:ind w:firstLine="528"/>
        <w:rPr>
          <w:rFonts w:hint="eastAsia"/>
          <w:color w:val="000000"/>
          <w:spacing w:val="12"/>
          <w:szCs w:val="24"/>
        </w:rPr>
      </w:pPr>
      <w:r>
        <w:rPr>
          <w:rFonts w:hint="eastAsia"/>
          <w:color w:val="000000"/>
          <w:spacing w:val="12"/>
          <w:szCs w:val="24"/>
        </w:rPr>
        <w:t>r）《云南省农用地分等技术方案》。</w:t>
      </w:r>
    </w:p>
    <w:p>
      <w:pPr>
        <w:overflowPunct w:val="0"/>
        <w:adjustRightInd w:val="0"/>
        <w:snapToGrid w:val="0"/>
        <w:ind w:firstLine="528"/>
        <w:rPr>
          <w:rFonts w:hint="eastAsia"/>
          <w:color w:val="000000"/>
          <w:spacing w:val="12"/>
          <w:szCs w:val="24"/>
        </w:rPr>
      </w:pPr>
      <w:r>
        <w:rPr>
          <w:rFonts w:hint="eastAsia"/>
          <w:color w:val="000000"/>
          <w:spacing w:val="12"/>
          <w:szCs w:val="24"/>
        </w:rPr>
        <w:t>s）</w:t>
      </w:r>
      <w:r>
        <w:rPr>
          <w:color w:val="000000"/>
          <w:spacing w:val="12"/>
          <w:szCs w:val="24"/>
        </w:rPr>
        <w:t>《土地复垦方案编制规程》（TD/T1031-2011）</w:t>
      </w:r>
    </w:p>
    <w:p>
      <w:pPr>
        <w:pStyle w:val="5"/>
        <w:adjustRightInd w:val="0"/>
        <w:snapToGrid w:val="0"/>
        <w:spacing w:before="0" w:after="0" w:line="360" w:lineRule="auto"/>
        <w:ind w:left="101" w:hanging="100" w:hangingChars="36"/>
        <w:rPr>
          <w:color w:val="000000"/>
          <w:szCs w:val="28"/>
        </w:rPr>
      </w:pPr>
      <w:r>
        <w:rPr>
          <w:color w:val="000000"/>
          <w:szCs w:val="28"/>
        </w:rPr>
        <w:t>2.3.3有关技术文件及资料</w:t>
      </w:r>
      <w:bookmarkEnd w:id="25"/>
      <w:bookmarkEnd w:id="26"/>
    </w:p>
    <w:p>
      <w:pPr>
        <w:overflowPunct w:val="0"/>
        <w:adjustRightInd w:val="0"/>
        <w:snapToGrid w:val="0"/>
        <w:ind w:firstLine="528"/>
        <w:rPr>
          <w:rFonts w:hint="eastAsia"/>
          <w:color w:val="000000"/>
          <w:spacing w:val="12"/>
          <w:szCs w:val="24"/>
        </w:rPr>
      </w:pPr>
      <w:r>
        <w:rPr>
          <w:rFonts w:hint="eastAsia"/>
          <w:color w:val="000000"/>
          <w:spacing w:val="12"/>
          <w:szCs w:val="24"/>
        </w:rPr>
        <w:t>a)《西畴至富宁高速公路工程可行性研究报告》，简称《可研》；</w:t>
      </w:r>
    </w:p>
    <w:p>
      <w:pPr>
        <w:overflowPunct w:val="0"/>
        <w:adjustRightInd w:val="0"/>
        <w:snapToGrid w:val="0"/>
        <w:ind w:firstLine="528"/>
        <w:rPr>
          <w:rFonts w:hint="eastAsia"/>
          <w:color w:val="000000"/>
          <w:spacing w:val="12"/>
          <w:szCs w:val="24"/>
        </w:rPr>
      </w:pPr>
      <w:r>
        <w:rPr>
          <w:rFonts w:hint="eastAsia"/>
          <w:color w:val="000000"/>
          <w:spacing w:val="12"/>
          <w:szCs w:val="24"/>
        </w:rPr>
        <w:t>b</w:t>
      </w:r>
      <w:r>
        <w:rPr>
          <w:color w:val="000000"/>
          <w:spacing w:val="12"/>
          <w:szCs w:val="24"/>
        </w:rPr>
        <w:t>)《</w:t>
      </w:r>
      <w:r>
        <w:rPr>
          <w:rFonts w:hint="eastAsia"/>
          <w:color w:val="000000"/>
          <w:spacing w:val="12"/>
          <w:szCs w:val="24"/>
        </w:rPr>
        <w:t>西畴至富宁高速公路初步设计</w:t>
      </w:r>
      <w:r>
        <w:rPr>
          <w:color w:val="000000"/>
          <w:spacing w:val="12"/>
          <w:szCs w:val="24"/>
        </w:rPr>
        <w:t>报告》，简称《</w:t>
      </w:r>
      <w:r>
        <w:rPr>
          <w:rFonts w:hint="eastAsia"/>
          <w:color w:val="000000"/>
          <w:spacing w:val="12"/>
          <w:szCs w:val="24"/>
        </w:rPr>
        <w:t>初设</w:t>
      </w:r>
      <w:r>
        <w:rPr>
          <w:color w:val="000000"/>
          <w:spacing w:val="12"/>
          <w:szCs w:val="24"/>
        </w:rPr>
        <w:t>》；</w:t>
      </w:r>
    </w:p>
    <w:p>
      <w:pPr>
        <w:overflowPunct w:val="0"/>
        <w:adjustRightInd w:val="0"/>
        <w:snapToGrid w:val="0"/>
        <w:ind w:firstLine="528"/>
        <w:rPr>
          <w:rFonts w:hint="eastAsia"/>
          <w:color w:val="000000"/>
          <w:spacing w:val="12"/>
          <w:szCs w:val="24"/>
        </w:rPr>
      </w:pPr>
      <w:r>
        <w:rPr>
          <w:rFonts w:hint="eastAsia"/>
          <w:color w:val="000000"/>
          <w:spacing w:val="12"/>
          <w:szCs w:val="24"/>
        </w:rPr>
        <w:t>c)《西畴至富宁高速公路工程水土保持方案报告书》简称《水保》；</w:t>
      </w:r>
    </w:p>
    <w:p>
      <w:pPr>
        <w:overflowPunct w:val="0"/>
        <w:adjustRightInd w:val="0"/>
        <w:snapToGrid w:val="0"/>
        <w:ind w:firstLine="528"/>
        <w:rPr>
          <w:rFonts w:hint="eastAsia"/>
          <w:color w:val="000000"/>
          <w:spacing w:val="12"/>
          <w:szCs w:val="24"/>
        </w:rPr>
      </w:pPr>
      <w:r>
        <w:rPr>
          <w:rFonts w:hint="eastAsia"/>
          <w:color w:val="000000"/>
          <w:spacing w:val="12"/>
          <w:szCs w:val="24"/>
        </w:rPr>
        <w:t>d)《西畴至富宁高速公路工程建设项目地质灾害危险性评估报告》，简称《地灾》；</w:t>
      </w:r>
    </w:p>
    <w:p>
      <w:pPr>
        <w:overflowPunct w:val="0"/>
        <w:adjustRightInd w:val="0"/>
        <w:snapToGrid w:val="0"/>
        <w:ind w:firstLine="528"/>
        <w:rPr>
          <w:rFonts w:hint="eastAsia"/>
          <w:color w:val="000000"/>
          <w:spacing w:val="12"/>
          <w:szCs w:val="24"/>
        </w:rPr>
      </w:pPr>
      <w:r>
        <w:rPr>
          <w:rFonts w:hint="eastAsia"/>
          <w:color w:val="000000"/>
          <w:spacing w:val="12"/>
          <w:szCs w:val="24"/>
        </w:rPr>
        <w:t>e)《西畴至富宁高速公路工程建设项目环境影响报告书》，简称《环评》；</w:t>
      </w:r>
    </w:p>
    <w:p>
      <w:pPr>
        <w:overflowPunct w:val="0"/>
        <w:adjustRightInd w:val="0"/>
        <w:snapToGrid w:val="0"/>
        <w:ind w:firstLine="528"/>
        <w:rPr>
          <w:rFonts w:hint="eastAsia"/>
          <w:color w:val="000000"/>
          <w:spacing w:val="12"/>
          <w:szCs w:val="24"/>
        </w:rPr>
      </w:pPr>
      <w:r>
        <w:rPr>
          <w:rFonts w:hint="eastAsia"/>
          <w:color w:val="000000"/>
          <w:spacing w:val="12"/>
          <w:szCs w:val="24"/>
        </w:rPr>
        <w:t>f)《西畴县土地利用现状图》；</w:t>
      </w:r>
    </w:p>
    <w:p>
      <w:pPr>
        <w:overflowPunct w:val="0"/>
        <w:adjustRightInd w:val="0"/>
        <w:snapToGrid w:val="0"/>
        <w:ind w:firstLine="528"/>
        <w:rPr>
          <w:rFonts w:hint="eastAsia"/>
          <w:color w:val="000000"/>
          <w:spacing w:val="12"/>
          <w:szCs w:val="24"/>
        </w:rPr>
      </w:pPr>
      <w:r>
        <w:rPr>
          <w:rFonts w:hint="eastAsia"/>
          <w:color w:val="000000"/>
          <w:spacing w:val="12"/>
          <w:szCs w:val="24"/>
        </w:rPr>
        <w:t>g)《云南省自然资源厅办公室关于以“三调”成果为基础做好各类用地审查报批地类认定的通知》；</w:t>
      </w:r>
    </w:p>
    <w:p>
      <w:pPr>
        <w:overflowPunct w:val="0"/>
        <w:adjustRightInd w:val="0"/>
        <w:snapToGrid w:val="0"/>
        <w:ind w:firstLine="528"/>
        <w:rPr>
          <w:rFonts w:hint="eastAsia"/>
          <w:color w:val="000000"/>
          <w:spacing w:val="12"/>
          <w:szCs w:val="24"/>
        </w:rPr>
      </w:pPr>
      <w:r>
        <w:rPr>
          <w:rFonts w:hint="eastAsia"/>
          <w:color w:val="000000"/>
          <w:spacing w:val="12"/>
          <w:szCs w:val="24"/>
        </w:rPr>
        <w:t>h)《西畴县2019年耕地质量等别年度变更成果》；</w:t>
      </w:r>
    </w:p>
    <w:p>
      <w:pPr>
        <w:overflowPunct w:val="0"/>
        <w:adjustRightInd w:val="0"/>
        <w:snapToGrid w:val="0"/>
        <w:ind w:firstLine="528"/>
        <w:rPr>
          <w:rFonts w:hint="eastAsia"/>
          <w:color w:val="000000"/>
          <w:spacing w:val="12"/>
          <w:szCs w:val="24"/>
        </w:rPr>
      </w:pPr>
      <w:r>
        <w:rPr>
          <w:rFonts w:hint="eastAsia"/>
          <w:color w:val="000000"/>
          <w:spacing w:val="12"/>
          <w:szCs w:val="24"/>
        </w:rPr>
        <w:t>i)《西畴县三区三线划定成果》；</w:t>
      </w:r>
    </w:p>
    <w:p>
      <w:pPr>
        <w:overflowPunct w:val="0"/>
        <w:adjustRightInd w:val="0"/>
        <w:snapToGrid w:val="0"/>
        <w:ind w:firstLine="528"/>
        <w:rPr>
          <w:rFonts w:hint="eastAsia"/>
          <w:color w:val="000000"/>
          <w:spacing w:val="12"/>
          <w:szCs w:val="24"/>
        </w:rPr>
      </w:pPr>
      <w:r>
        <w:rPr>
          <w:rFonts w:hint="eastAsia"/>
          <w:color w:val="000000"/>
          <w:spacing w:val="12"/>
          <w:szCs w:val="24"/>
        </w:rPr>
        <w:t>j)</w:t>
      </w:r>
      <w:r>
        <w:rPr>
          <w:color w:val="000000"/>
          <w:spacing w:val="12"/>
          <w:szCs w:val="24"/>
        </w:rPr>
        <w:t>《</w:t>
      </w:r>
      <w:r>
        <w:rPr>
          <w:rFonts w:hint="eastAsia"/>
          <w:color w:val="000000"/>
          <w:spacing w:val="12"/>
          <w:szCs w:val="24"/>
        </w:rPr>
        <w:t>西畴</w:t>
      </w:r>
      <w:r>
        <w:rPr>
          <w:color w:val="000000"/>
          <w:spacing w:val="12"/>
          <w:szCs w:val="24"/>
        </w:rPr>
        <w:t>县林地保护利用规划图册》</w:t>
      </w:r>
      <w:r>
        <w:rPr>
          <w:rFonts w:hint="eastAsia"/>
          <w:color w:val="000000"/>
          <w:spacing w:val="12"/>
          <w:szCs w:val="24"/>
        </w:rPr>
        <w:t>；</w:t>
      </w:r>
    </w:p>
    <w:p>
      <w:pPr>
        <w:overflowPunct w:val="0"/>
        <w:adjustRightInd w:val="0"/>
        <w:snapToGrid w:val="0"/>
        <w:ind w:firstLine="528"/>
        <w:rPr>
          <w:rFonts w:hint="eastAsia"/>
          <w:color w:val="000000"/>
          <w:spacing w:val="12"/>
          <w:szCs w:val="24"/>
        </w:rPr>
      </w:pPr>
      <w:r>
        <w:rPr>
          <w:rFonts w:hint="eastAsia"/>
          <w:color w:val="000000"/>
          <w:spacing w:val="12"/>
          <w:szCs w:val="24"/>
        </w:rPr>
        <w:t>k)</w:t>
      </w:r>
      <w:r>
        <w:rPr>
          <w:color w:val="000000"/>
          <w:spacing w:val="12"/>
          <w:szCs w:val="24"/>
        </w:rPr>
        <w:t>《</w:t>
      </w:r>
      <w:r>
        <w:rPr>
          <w:rFonts w:hint="eastAsia"/>
          <w:color w:val="000000"/>
          <w:spacing w:val="12"/>
          <w:szCs w:val="24"/>
        </w:rPr>
        <w:t>西畴</w:t>
      </w:r>
      <w:r>
        <w:rPr>
          <w:color w:val="000000"/>
          <w:spacing w:val="12"/>
          <w:szCs w:val="24"/>
        </w:rPr>
        <w:t>县退耕还林规划图册》</w:t>
      </w:r>
      <w:r>
        <w:rPr>
          <w:rFonts w:hint="eastAsia"/>
          <w:color w:val="000000"/>
          <w:spacing w:val="12"/>
          <w:szCs w:val="24"/>
        </w:rPr>
        <w:t>；</w:t>
      </w:r>
    </w:p>
    <w:p>
      <w:pPr>
        <w:overflowPunct w:val="0"/>
        <w:adjustRightInd w:val="0"/>
        <w:snapToGrid w:val="0"/>
        <w:ind w:firstLine="528"/>
        <w:rPr>
          <w:color w:val="000000"/>
          <w:spacing w:val="12"/>
          <w:szCs w:val="24"/>
        </w:rPr>
      </w:pPr>
      <w:r>
        <w:rPr>
          <w:rFonts w:hint="eastAsia"/>
          <w:color w:val="000000"/>
          <w:spacing w:val="12"/>
          <w:szCs w:val="24"/>
        </w:rPr>
        <w:t>l)</w:t>
      </w:r>
      <w:r>
        <w:rPr>
          <w:color w:val="000000"/>
          <w:spacing w:val="12"/>
          <w:szCs w:val="24"/>
        </w:rPr>
        <w:t>《</w:t>
      </w:r>
      <w:r>
        <w:rPr>
          <w:rFonts w:hint="eastAsia"/>
          <w:color w:val="000000"/>
          <w:spacing w:val="12"/>
          <w:szCs w:val="24"/>
        </w:rPr>
        <w:t>西畴</w:t>
      </w:r>
      <w:r>
        <w:rPr>
          <w:color w:val="000000"/>
          <w:spacing w:val="12"/>
          <w:szCs w:val="24"/>
        </w:rPr>
        <w:t>县省级、国家级公益林区划图》</w:t>
      </w:r>
      <w:r>
        <w:rPr>
          <w:rFonts w:hint="eastAsia"/>
          <w:color w:val="000000"/>
          <w:spacing w:val="12"/>
          <w:szCs w:val="24"/>
        </w:rPr>
        <w:t>；</w:t>
      </w:r>
    </w:p>
    <w:p>
      <w:pPr>
        <w:overflowPunct w:val="0"/>
        <w:adjustRightInd w:val="0"/>
        <w:snapToGrid w:val="0"/>
        <w:ind w:firstLine="528"/>
        <w:rPr>
          <w:rFonts w:hint="eastAsia"/>
          <w:color w:val="000000"/>
          <w:spacing w:val="12"/>
          <w:szCs w:val="24"/>
        </w:rPr>
      </w:pPr>
      <w:r>
        <w:rPr>
          <w:rFonts w:hint="eastAsia"/>
          <w:color w:val="000000"/>
          <w:spacing w:val="12"/>
          <w:szCs w:val="24"/>
        </w:rPr>
        <w:t>m</w:t>
      </w:r>
      <w:r>
        <w:rPr>
          <w:color w:val="000000"/>
          <w:spacing w:val="12"/>
          <w:szCs w:val="24"/>
        </w:rPr>
        <w:t>)</w:t>
      </w:r>
      <w:r>
        <w:rPr>
          <w:rFonts w:hint="eastAsia"/>
          <w:color w:val="000000"/>
          <w:spacing w:val="12"/>
          <w:szCs w:val="24"/>
        </w:rPr>
        <w:t>《2021年西畴县社会经济发展统计年鉴》。</w:t>
      </w:r>
      <w:bookmarkStart w:id="30" w:name="_Toc232219815"/>
      <w:bookmarkStart w:id="31" w:name="_Toc35614664"/>
      <w:bookmarkStart w:id="32" w:name="_Toc259295690"/>
    </w:p>
    <w:p>
      <w:pPr>
        <w:pStyle w:val="4"/>
        <w:spacing w:before="0" w:after="0"/>
        <w:ind w:firstLine="0" w:firstLineChars="0"/>
        <w:rPr>
          <w:color w:val="000000"/>
          <w:kern w:val="0"/>
          <w:szCs w:val="30"/>
        </w:rPr>
      </w:pPr>
      <w:bookmarkStart w:id="33" w:name="_Toc5619"/>
      <w:r>
        <w:rPr>
          <w:color w:val="000000"/>
          <w:kern w:val="0"/>
          <w:szCs w:val="30"/>
        </w:rPr>
        <w:t>2.4主要计量单位</w:t>
      </w:r>
      <w:bookmarkEnd w:id="30"/>
      <w:bookmarkEnd w:id="31"/>
      <w:bookmarkEnd w:id="32"/>
      <w:bookmarkEnd w:id="33"/>
    </w:p>
    <w:p>
      <w:pPr>
        <w:tabs>
          <w:tab w:val="left" w:pos="3544"/>
          <w:tab w:val="left" w:pos="3686"/>
        </w:tabs>
        <w:ind w:right="210" w:firstLine="0" w:firstLineChars="0"/>
        <w:jc w:val="center"/>
        <w:rPr>
          <w:rFonts w:eastAsia="黑体"/>
          <w:color w:val="000000"/>
          <w:sz w:val="21"/>
          <w:szCs w:val="21"/>
        </w:rPr>
      </w:pPr>
      <w:r>
        <w:rPr>
          <w:rFonts w:eastAsia="黑体"/>
          <w:color w:val="000000"/>
          <w:sz w:val="21"/>
          <w:szCs w:val="21"/>
        </w:rPr>
        <w:t>表2</w:t>
      </w:r>
      <w:r>
        <w:rPr>
          <w:rFonts w:hint="eastAsia" w:eastAsia="黑体"/>
          <w:color w:val="000000"/>
          <w:sz w:val="21"/>
          <w:szCs w:val="21"/>
        </w:rPr>
        <w:t>-1</w:t>
      </w:r>
      <w:r>
        <w:rPr>
          <w:rFonts w:eastAsia="黑体"/>
          <w:color w:val="000000"/>
          <w:sz w:val="21"/>
          <w:szCs w:val="21"/>
        </w:rPr>
        <w:t>主要计量单位表</w:t>
      </w:r>
    </w:p>
    <w:tbl>
      <w:tblPr>
        <w:tblStyle w:val="25"/>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832"/>
        <w:gridCol w:w="3815"/>
        <w:gridCol w:w="3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序号</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名称</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计量名称</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计量符号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面积</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公顷；平方千米；亩</w:t>
            </w:r>
          </w:p>
        </w:tc>
        <w:tc>
          <w:tcPr>
            <w:tcW w:w="3049" w:type="dxa"/>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hm</w:t>
            </w:r>
            <w:r>
              <w:rPr>
                <w:color w:val="000000"/>
                <w:kern w:val="0"/>
                <w:sz w:val="21"/>
                <w:szCs w:val="21"/>
              </w:rPr>
              <w:t>²；km²；—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数量</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株；千克</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3</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长度</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米；千米</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m；km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体积</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立方米</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5</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产量</w:t>
            </w:r>
          </w:p>
        </w:tc>
        <w:tc>
          <w:tcPr>
            <w:tcW w:w="3815" w:type="dxa"/>
            <w:noWrap/>
            <w:vAlign w:val="center"/>
          </w:tcPr>
          <w:p>
            <w:pPr>
              <w:widowControl/>
              <w:spacing w:line="240" w:lineRule="auto"/>
              <w:ind w:firstLine="0" w:firstLineChars="0"/>
              <w:jc w:val="center"/>
              <w:rPr>
                <w:rFonts w:hint="eastAsia"/>
                <w:color w:val="000000"/>
                <w:kern w:val="0"/>
                <w:sz w:val="21"/>
                <w:szCs w:val="21"/>
              </w:rPr>
            </w:pPr>
            <w:r>
              <w:rPr>
                <w:color w:val="000000"/>
                <w:kern w:val="0"/>
                <w:sz w:val="21"/>
                <w:szCs w:val="21"/>
              </w:rPr>
              <w:t>吨；万吨；</w:t>
            </w:r>
            <w:r>
              <w:rPr>
                <w:rFonts w:hint="eastAsia"/>
                <w:color w:val="000000"/>
                <w:kern w:val="0"/>
                <w:sz w:val="21"/>
                <w:szCs w:val="21"/>
              </w:rPr>
              <w:t>千克</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t；万t；kg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单价</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万元/公顷；元/吨；元/立方米</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万元/</w:t>
            </w:r>
            <w:r>
              <w:rPr>
                <w:rFonts w:hint="eastAsia"/>
                <w:color w:val="000000"/>
                <w:kern w:val="0"/>
                <w:sz w:val="21"/>
                <w:szCs w:val="21"/>
              </w:rPr>
              <w:t>hm</w:t>
            </w:r>
            <w:r>
              <w:rPr>
                <w:color w:val="000000"/>
                <w:kern w:val="0"/>
                <w:sz w:val="21"/>
                <w:szCs w:val="21"/>
              </w:rPr>
              <w:t>²；元/t；元/m³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7</w:t>
            </w:r>
          </w:p>
        </w:tc>
        <w:tc>
          <w:tcPr>
            <w:tcW w:w="832"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金额</w:t>
            </w:r>
          </w:p>
        </w:tc>
        <w:tc>
          <w:tcPr>
            <w:tcW w:w="3815"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万元：元</w:t>
            </w:r>
          </w:p>
        </w:tc>
        <w:tc>
          <w:tcPr>
            <w:tcW w:w="3049" w:type="dxa"/>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r>
    </w:tbl>
    <w:p>
      <w:pPr>
        <w:pStyle w:val="3"/>
        <w:ind w:firstLine="0" w:firstLineChars="0"/>
        <w:jc w:val="both"/>
        <w:rPr>
          <w:color w:val="000000"/>
          <w:szCs w:val="32"/>
          <w:highlight w:val="yellow"/>
        </w:rPr>
        <w:sectPr>
          <w:pgSz w:w="11906" w:h="16838"/>
          <w:pgMar w:top="1440" w:right="1797" w:bottom="1440" w:left="1797" w:header="851" w:footer="992" w:gutter="0"/>
          <w:cols w:space="720" w:num="1"/>
          <w:docGrid w:type="lines" w:linePitch="312" w:charSpace="0"/>
        </w:sectPr>
      </w:pPr>
    </w:p>
    <w:p>
      <w:pPr>
        <w:pStyle w:val="3"/>
        <w:spacing w:before="0" w:after="0"/>
        <w:ind w:firstLine="0" w:firstLineChars="0"/>
        <w:jc w:val="both"/>
        <w:rPr>
          <w:color w:val="000000"/>
          <w:kern w:val="0"/>
          <w:szCs w:val="32"/>
        </w:rPr>
      </w:pPr>
      <w:bookmarkStart w:id="34" w:name="_Toc22563"/>
      <w:bookmarkStart w:id="35" w:name="_Toc35614665"/>
      <w:r>
        <w:rPr>
          <w:color w:val="000000"/>
          <w:kern w:val="0"/>
          <w:szCs w:val="32"/>
        </w:rPr>
        <w:t>3项目概况</w:t>
      </w:r>
      <w:bookmarkEnd w:id="34"/>
      <w:bookmarkEnd w:id="35"/>
    </w:p>
    <w:p>
      <w:pPr>
        <w:pStyle w:val="4"/>
        <w:spacing w:before="0" w:after="0"/>
        <w:ind w:firstLine="0" w:firstLineChars="0"/>
        <w:rPr>
          <w:color w:val="000000"/>
          <w:kern w:val="0"/>
          <w:szCs w:val="30"/>
        </w:rPr>
      </w:pPr>
      <w:bookmarkStart w:id="36" w:name="_Toc35614666"/>
      <w:bookmarkStart w:id="37" w:name="_Toc13725"/>
      <w:r>
        <w:rPr>
          <w:color w:val="000000"/>
          <w:kern w:val="0"/>
          <w:szCs w:val="30"/>
        </w:rPr>
        <w:t>3.1项目简介</w:t>
      </w:r>
      <w:bookmarkEnd w:id="36"/>
      <w:bookmarkEnd w:id="37"/>
    </w:p>
    <w:p>
      <w:pPr>
        <w:pStyle w:val="5"/>
        <w:adjustRightInd w:val="0"/>
        <w:snapToGrid w:val="0"/>
        <w:spacing w:before="0" w:after="0" w:line="360" w:lineRule="auto"/>
        <w:ind w:left="101" w:hanging="100" w:hangingChars="36"/>
        <w:rPr>
          <w:color w:val="000000"/>
          <w:szCs w:val="28"/>
        </w:rPr>
      </w:pPr>
      <w:bookmarkStart w:id="38" w:name="_Toc232219818"/>
      <w:bookmarkStart w:id="39" w:name="_Toc259295693"/>
      <w:r>
        <w:rPr>
          <w:color w:val="000000"/>
          <w:szCs w:val="28"/>
        </w:rPr>
        <w:t>3.1.1项目名称、性质及隶属关系</w:t>
      </w:r>
      <w:bookmarkEnd w:id="38"/>
      <w:bookmarkEnd w:id="39"/>
    </w:p>
    <w:p>
      <w:pPr>
        <w:overflowPunct w:val="0"/>
        <w:adjustRightInd w:val="0"/>
        <w:snapToGrid w:val="0"/>
        <w:ind w:firstLine="528"/>
        <w:rPr>
          <w:color w:val="000000"/>
          <w:spacing w:val="12"/>
          <w:szCs w:val="24"/>
        </w:rPr>
      </w:pPr>
      <w:r>
        <w:rPr>
          <w:color w:val="000000"/>
          <w:spacing w:val="12"/>
          <w:szCs w:val="24"/>
        </w:rPr>
        <w:t>项目名称：</w:t>
      </w:r>
      <w:r>
        <w:rPr>
          <w:rFonts w:hint="eastAsia"/>
          <w:color w:val="000000"/>
          <w:spacing w:val="12"/>
          <w:szCs w:val="24"/>
        </w:rPr>
        <w:t>西畴至富宁高速公路</w:t>
      </w:r>
      <w:r>
        <w:rPr>
          <w:color w:val="000000"/>
          <w:spacing w:val="12"/>
          <w:szCs w:val="24"/>
        </w:rPr>
        <w:t>建设项目。</w:t>
      </w:r>
    </w:p>
    <w:p>
      <w:pPr>
        <w:overflowPunct w:val="0"/>
        <w:adjustRightInd w:val="0"/>
        <w:snapToGrid w:val="0"/>
        <w:ind w:firstLine="528"/>
        <w:rPr>
          <w:color w:val="000000"/>
          <w:spacing w:val="12"/>
          <w:szCs w:val="24"/>
        </w:rPr>
      </w:pPr>
      <w:r>
        <w:rPr>
          <w:color w:val="000000"/>
          <w:spacing w:val="12"/>
          <w:szCs w:val="24"/>
        </w:rPr>
        <w:t>项目性质：新建建设项目。</w:t>
      </w:r>
    </w:p>
    <w:p>
      <w:pPr>
        <w:overflowPunct w:val="0"/>
        <w:adjustRightInd w:val="0"/>
        <w:snapToGrid w:val="0"/>
        <w:ind w:firstLine="528"/>
        <w:rPr>
          <w:color w:val="000000"/>
          <w:spacing w:val="12"/>
          <w:szCs w:val="24"/>
        </w:rPr>
      </w:pPr>
      <w:r>
        <w:rPr>
          <w:color w:val="000000"/>
          <w:spacing w:val="12"/>
          <w:szCs w:val="24"/>
        </w:rPr>
        <w:t>隶属关系：</w:t>
      </w:r>
      <w:r>
        <w:rPr>
          <w:rFonts w:hint="eastAsia"/>
          <w:color w:val="000000"/>
          <w:spacing w:val="12"/>
          <w:szCs w:val="24"/>
          <w:lang w:eastAsia="zh-CN"/>
        </w:rPr>
        <w:t>云南</w:t>
      </w:r>
      <w:r>
        <w:rPr>
          <w:rFonts w:hint="eastAsia"/>
          <w:color w:val="000000"/>
          <w:spacing w:val="12"/>
          <w:szCs w:val="24"/>
          <w:lang w:val="en-US" w:eastAsia="zh-CN"/>
        </w:rPr>
        <w:t>西富高速公路</w:t>
      </w:r>
      <w:r>
        <w:rPr>
          <w:rFonts w:hint="eastAsia"/>
          <w:color w:val="000000"/>
          <w:spacing w:val="12"/>
          <w:szCs w:val="24"/>
          <w:lang w:eastAsia="zh-CN"/>
        </w:rPr>
        <w:t>有限公司</w:t>
      </w:r>
      <w:r>
        <w:rPr>
          <w:color w:val="000000"/>
          <w:spacing w:val="12"/>
          <w:szCs w:val="24"/>
        </w:rPr>
        <w:t>投资建设。</w:t>
      </w:r>
    </w:p>
    <w:p>
      <w:pPr>
        <w:overflowPunct w:val="0"/>
        <w:adjustRightInd w:val="0"/>
        <w:snapToGrid w:val="0"/>
        <w:ind w:firstLine="528"/>
        <w:rPr>
          <w:rFonts w:hint="eastAsia"/>
          <w:color w:val="000000"/>
          <w:spacing w:val="12"/>
          <w:szCs w:val="24"/>
        </w:rPr>
      </w:pPr>
      <w:r>
        <w:rPr>
          <w:rFonts w:hint="eastAsia"/>
          <w:color w:val="000000"/>
          <w:spacing w:val="12"/>
          <w:szCs w:val="24"/>
        </w:rPr>
        <w:t>施工单位：</w:t>
      </w:r>
      <w:r>
        <w:rPr>
          <w:rFonts w:hint="eastAsia"/>
          <w:color w:val="000000"/>
          <w:spacing w:val="12"/>
          <w:szCs w:val="24"/>
          <w:lang w:eastAsia="zh-CN"/>
        </w:rPr>
        <w:t>云南云岭路面工程有限公司</w:t>
      </w:r>
      <w:r>
        <w:rPr>
          <w:rFonts w:hint="eastAsia"/>
          <w:color w:val="000000"/>
          <w:spacing w:val="12"/>
          <w:szCs w:val="24"/>
        </w:rPr>
        <w:t>。</w:t>
      </w:r>
    </w:p>
    <w:p>
      <w:pPr>
        <w:overflowPunct w:val="0"/>
        <w:adjustRightInd w:val="0"/>
        <w:snapToGrid w:val="0"/>
        <w:ind w:firstLine="528"/>
        <w:rPr>
          <w:color w:val="000000"/>
          <w:spacing w:val="12"/>
          <w:szCs w:val="24"/>
        </w:rPr>
      </w:pPr>
      <w:r>
        <w:rPr>
          <w:rFonts w:hint="eastAsia"/>
          <w:color w:val="000000"/>
          <w:spacing w:val="12"/>
          <w:szCs w:val="24"/>
        </w:rPr>
        <w:t>建设工期：计划于</w:t>
      </w:r>
      <w:r>
        <w:rPr>
          <w:color w:val="000000"/>
          <w:spacing w:val="12"/>
          <w:szCs w:val="24"/>
        </w:rPr>
        <w:t>2023</w:t>
      </w:r>
      <w:r>
        <w:rPr>
          <w:rFonts w:hint="eastAsia"/>
          <w:color w:val="000000"/>
          <w:spacing w:val="12"/>
          <w:szCs w:val="24"/>
        </w:rPr>
        <w:t>年</w:t>
      </w:r>
      <w:r>
        <w:rPr>
          <w:color w:val="000000"/>
          <w:spacing w:val="12"/>
          <w:szCs w:val="24"/>
        </w:rPr>
        <w:t>1</w:t>
      </w:r>
      <w:r>
        <w:rPr>
          <w:rFonts w:hint="eastAsia"/>
          <w:color w:val="000000"/>
          <w:spacing w:val="12"/>
          <w:szCs w:val="24"/>
        </w:rPr>
        <w:t>月开工，预计于</w:t>
      </w:r>
      <w:r>
        <w:rPr>
          <w:color w:val="000000"/>
          <w:spacing w:val="12"/>
          <w:szCs w:val="24"/>
        </w:rPr>
        <w:t>2026</w:t>
      </w:r>
      <w:r>
        <w:rPr>
          <w:rFonts w:hint="eastAsia"/>
          <w:color w:val="000000"/>
          <w:spacing w:val="12"/>
          <w:szCs w:val="24"/>
        </w:rPr>
        <w:t>年</w:t>
      </w:r>
      <w:r>
        <w:rPr>
          <w:color w:val="000000"/>
          <w:spacing w:val="12"/>
          <w:szCs w:val="24"/>
        </w:rPr>
        <w:t>12</w:t>
      </w:r>
      <w:r>
        <w:rPr>
          <w:rFonts w:hint="eastAsia"/>
          <w:color w:val="000000"/>
          <w:spacing w:val="12"/>
          <w:szCs w:val="24"/>
        </w:rPr>
        <w:t>月完工，工期4年。</w:t>
      </w:r>
    </w:p>
    <w:p>
      <w:pPr>
        <w:overflowPunct w:val="0"/>
        <w:adjustRightInd w:val="0"/>
        <w:snapToGrid w:val="0"/>
        <w:ind w:firstLine="528"/>
        <w:rPr>
          <w:color w:val="000000"/>
          <w:spacing w:val="12"/>
          <w:szCs w:val="24"/>
        </w:rPr>
      </w:pPr>
      <w:r>
        <w:rPr>
          <w:color w:val="000000"/>
          <w:spacing w:val="12"/>
          <w:szCs w:val="24"/>
        </w:rPr>
        <w:t>工程总投资：项目总投资2</w:t>
      </w:r>
      <w:r>
        <w:rPr>
          <w:rFonts w:hint="eastAsia"/>
          <w:color w:val="000000"/>
          <w:spacing w:val="12"/>
          <w:szCs w:val="24"/>
        </w:rPr>
        <w:t>84.45</w:t>
      </w:r>
      <w:r>
        <w:rPr>
          <w:color w:val="000000"/>
          <w:spacing w:val="12"/>
          <w:szCs w:val="24"/>
        </w:rPr>
        <w:t>亿元。</w:t>
      </w:r>
    </w:p>
    <w:p>
      <w:pPr>
        <w:pStyle w:val="5"/>
        <w:adjustRightInd w:val="0"/>
        <w:snapToGrid w:val="0"/>
        <w:spacing w:before="0" w:after="0" w:line="360" w:lineRule="auto"/>
        <w:ind w:left="101" w:hanging="100" w:hangingChars="36"/>
        <w:rPr>
          <w:rFonts w:hint="eastAsia"/>
          <w:color w:val="000000"/>
          <w:szCs w:val="28"/>
        </w:rPr>
      </w:pPr>
      <w:r>
        <w:rPr>
          <w:color w:val="000000"/>
          <w:szCs w:val="28"/>
        </w:rPr>
        <w:t>3.1.</w:t>
      </w:r>
      <w:r>
        <w:rPr>
          <w:rFonts w:hint="eastAsia"/>
          <w:color w:val="000000"/>
          <w:szCs w:val="28"/>
        </w:rPr>
        <w:t>2</w:t>
      </w:r>
      <w:r>
        <w:rPr>
          <w:color w:val="000000"/>
          <w:szCs w:val="28"/>
        </w:rPr>
        <w:t>项目</w:t>
      </w:r>
      <w:r>
        <w:rPr>
          <w:rFonts w:hint="eastAsia"/>
          <w:color w:val="000000"/>
          <w:szCs w:val="28"/>
        </w:rPr>
        <w:t>位置、建设内容</w:t>
      </w:r>
    </w:p>
    <w:p>
      <w:pPr>
        <w:overflowPunct w:val="0"/>
        <w:adjustRightInd w:val="0"/>
        <w:snapToGrid w:val="0"/>
        <w:ind w:firstLine="528"/>
        <w:rPr>
          <w:rFonts w:hint="eastAsia"/>
          <w:color w:val="000000"/>
          <w:spacing w:val="12"/>
          <w:szCs w:val="24"/>
        </w:rPr>
      </w:pPr>
      <w:r>
        <w:rPr>
          <w:rFonts w:hint="eastAsia"/>
          <w:color w:val="000000"/>
          <w:spacing w:val="12"/>
          <w:szCs w:val="24"/>
        </w:rPr>
        <w:t>西畴至富宁高速公路位于云南省东南部文山州境内，路线自西向东途经文山州西畴县、麻栗坡县、富宁县。项目起点位于西畴县西南侧石坝村，坐标为东经104°38′7.02″，北纬23°23′43.72″，设A型单喇叭枢纽互通与那洒至兴街高速公路衔接，项目止点位于富宁县板仑乡，坐标为东经105°42′5.38″，北纬23°32′49.67″，接富宁至那坡高速公路。</w:t>
      </w:r>
    </w:p>
    <w:p>
      <w:pPr>
        <w:overflowPunct w:val="0"/>
        <w:adjustRightInd w:val="0"/>
        <w:snapToGrid w:val="0"/>
        <w:ind w:firstLine="528"/>
        <w:rPr>
          <w:rFonts w:hint="eastAsia"/>
          <w:color w:val="000000"/>
          <w:spacing w:val="12"/>
          <w:szCs w:val="24"/>
        </w:rPr>
      </w:pPr>
      <w:r>
        <w:rPr>
          <w:rFonts w:hint="eastAsia"/>
          <w:color w:val="000000"/>
          <w:spacing w:val="12"/>
          <w:szCs w:val="24"/>
        </w:rPr>
        <w:t>西畴至富宁高速公路为新建建设类项目，包含主线、支线、连接线，路线全长176.519km。其中：①主线长118.485km，设置桥梁43001.42m/111座，其中设特大桥6376.66m/6座，设大桥36215.68m/100座，中桥409.58m/5座，涵洞242m/56道；设置隧道34302m/24座，其中特长隧道12202m/3座，长隧道16582m/9座，中隧道2527m/3座，短隧道2991m/9座；按双向四车道高速公路，设计速度80km/h，路基宽度25.5m；主线工程桥隧总长77.303km（桥梁43.001km、隧道34.302km），桥隧比为65.24%。设西畴枢纽、西畴东、法斗、董马、马街、新寨、普阳、木央枢纽、鸟王山、玉沙、板仑枢纽11座互通立交，按双向四车道高速公路，设计速度80km/h，路基宽度25.5m标准建设。②田蓬支线路线长度15.014km，与主线一致，按双向四车道高速公路，设计速度80km/h，路基宽度25.5m标准建设，设大桥2714.75m/9座；涵洞90.75m/21道；设置分离式中隧道1024.5m/2座；田蓬支线工程桥隧总长3.740km（桥梁2.715km、隧道1.025km），桥隧比为24.91%。③项目共设置9条互通连接线，连接线全长43.020km，其中西畴东、玉沙互通连接线为一级公路标准，建设里程7.338km（西畴东连接线1.306km、玉沙连接线6.032km），设计时速60km/h、路基宽20m，其余法斗、董马、马街、新寨、普阳、木央、鸟王山7条互通连接线为二级公路标准，建设里程35.682km，设计时速40km/h，路基宽10m。连接线共设桥梁3941.78m/31座，其中大桥2801.24m/16座，中桥114.54m/15座，涵洞1926.80m/88道；设置隧道2912m/3座，其中：长隧道1932m/1座，中隧道685m/1座，短隧道295m/1座；连接线桥隧总长4.922km（桥梁3.942km、隧道0.980km），桥隧比为11.44%。</w:t>
      </w:r>
    </w:p>
    <w:p>
      <w:pPr>
        <w:pStyle w:val="5"/>
        <w:adjustRightInd w:val="0"/>
        <w:snapToGrid w:val="0"/>
        <w:spacing w:before="0" w:after="0" w:line="360" w:lineRule="auto"/>
        <w:ind w:left="101" w:hanging="100" w:hangingChars="36"/>
        <w:rPr>
          <w:color w:val="000000"/>
          <w:szCs w:val="28"/>
        </w:rPr>
      </w:pPr>
      <w:r>
        <w:rPr>
          <w:color w:val="000000"/>
          <w:szCs w:val="28"/>
        </w:rPr>
        <w:t>3.1.</w:t>
      </w:r>
      <w:r>
        <w:rPr>
          <w:rFonts w:hint="eastAsia"/>
          <w:color w:val="000000"/>
          <w:szCs w:val="28"/>
        </w:rPr>
        <w:t>3临时用地设置情况</w:t>
      </w:r>
    </w:p>
    <w:p>
      <w:pPr>
        <w:overflowPunct w:val="0"/>
        <w:adjustRightInd w:val="0"/>
        <w:snapToGrid w:val="0"/>
        <w:ind w:firstLine="528"/>
        <w:rPr>
          <w:rFonts w:hint="eastAsia"/>
          <w:color w:val="000000"/>
          <w:spacing w:val="12"/>
          <w:szCs w:val="24"/>
        </w:rPr>
      </w:pPr>
      <w:r>
        <w:rPr>
          <w:rFonts w:hint="eastAsia"/>
          <w:color w:val="000000"/>
          <w:spacing w:val="12"/>
          <w:szCs w:val="24"/>
        </w:rPr>
        <w:t>西畴至富宁高速公路建设项目（西畴段）第一期临时用地共涉及2个临时用地地块，其中弃土场1个、拌合站1个。</w:t>
      </w:r>
    </w:p>
    <w:p>
      <w:pPr>
        <w:overflowPunct w:val="0"/>
        <w:adjustRightInd w:val="0"/>
        <w:snapToGrid w:val="0"/>
        <w:ind w:firstLine="528"/>
        <w:rPr>
          <w:rFonts w:hint="eastAsia"/>
          <w:color w:val="000000"/>
          <w:spacing w:val="12"/>
          <w:szCs w:val="24"/>
        </w:rPr>
      </w:pPr>
      <w:r>
        <w:rPr>
          <w:rFonts w:hint="eastAsia"/>
          <w:color w:val="000000"/>
          <w:spacing w:val="12"/>
          <w:szCs w:val="24"/>
        </w:rPr>
        <w:t>本项目临时用地不涉及取土场、石料场，《初设》《水保》中已经明确从以下现有料场中取用：</w:t>
      </w:r>
    </w:p>
    <w:p>
      <w:pPr>
        <w:overflowPunct w:val="0"/>
        <w:adjustRightInd w:val="0"/>
        <w:snapToGrid w:val="0"/>
        <w:ind w:firstLine="528"/>
        <w:rPr>
          <w:rFonts w:hint="eastAsia"/>
          <w:color w:val="000000"/>
          <w:spacing w:val="12"/>
          <w:szCs w:val="24"/>
        </w:rPr>
      </w:pPr>
      <w:bookmarkStart w:id="40" w:name="_Toc35614667"/>
      <w:r>
        <w:rPr>
          <w:rFonts w:hint="eastAsia"/>
          <w:color w:val="000000"/>
          <w:spacing w:val="12"/>
          <w:szCs w:val="24"/>
        </w:rPr>
        <w:t>a)土料</w:t>
      </w:r>
    </w:p>
    <w:p>
      <w:pPr>
        <w:overflowPunct w:val="0"/>
        <w:adjustRightInd w:val="0"/>
        <w:snapToGrid w:val="0"/>
        <w:ind w:firstLine="528"/>
        <w:rPr>
          <w:rFonts w:hint="eastAsia"/>
          <w:color w:val="000000"/>
          <w:spacing w:val="12"/>
          <w:szCs w:val="24"/>
        </w:rPr>
      </w:pPr>
      <w:r>
        <w:rPr>
          <w:rFonts w:hint="eastAsia"/>
          <w:color w:val="000000"/>
          <w:spacing w:val="12"/>
          <w:szCs w:val="24"/>
        </w:rPr>
        <w:t>表土剥离在水保设计中已集中堆放，且能满足表土剥覆工程中的覆土量，在本方案中不再设计表土剥离量，所需土料已能满足。</w:t>
      </w:r>
    </w:p>
    <w:p>
      <w:pPr>
        <w:overflowPunct w:val="0"/>
        <w:adjustRightInd w:val="0"/>
        <w:snapToGrid w:val="0"/>
        <w:ind w:firstLine="528"/>
        <w:rPr>
          <w:rFonts w:hint="eastAsia"/>
          <w:color w:val="000000"/>
          <w:spacing w:val="12"/>
          <w:szCs w:val="24"/>
        </w:rPr>
      </w:pPr>
      <w:r>
        <w:rPr>
          <w:rFonts w:hint="eastAsia"/>
          <w:color w:val="000000"/>
          <w:spacing w:val="12"/>
          <w:szCs w:val="24"/>
        </w:rPr>
        <w:t>b）砂、石料</w:t>
      </w:r>
    </w:p>
    <w:p>
      <w:pPr>
        <w:overflowPunct w:val="0"/>
        <w:adjustRightInd w:val="0"/>
        <w:snapToGrid w:val="0"/>
        <w:ind w:firstLine="528"/>
        <w:rPr>
          <w:color w:val="000000"/>
          <w:spacing w:val="12"/>
          <w:szCs w:val="24"/>
        </w:rPr>
      </w:pPr>
      <w:r>
        <w:rPr>
          <w:rFonts w:hint="eastAsia"/>
          <w:color w:val="000000"/>
          <w:spacing w:val="12"/>
          <w:szCs w:val="24"/>
        </w:rPr>
        <w:t>石料：本项目不涉及取土（石、砂）场，从源头避免了因新增扰动地表而产生的水土流失，符合水土保持的相关要求。工程沿线砂石料场较多，本工程建设所需石料均采取外购方式解决，采石场的水土流失防治责任由采石场所有人负责。</w:t>
      </w:r>
    </w:p>
    <w:p>
      <w:pPr>
        <w:pStyle w:val="4"/>
        <w:spacing w:before="0" w:after="0"/>
        <w:ind w:firstLine="0" w:firstLineChars="0"/>
        <w:rPr>
          <w:color w:val="000000"/>
          <w:kern w:val="0"/>
          <w:szCs w:val="30"/>
        </w:rPr>
      </w:pPr>
      <w:bookmarkStart w:id="41" w:name="_Toc10111"/>
      <w:r>
        <w:rPr>
          <w:color w:val="000000"/>
          <w:kern w:val="0"/>
          <w:szCs w:val="30"/>
        </w:rPr>
        <w:t>3.2项目区自然概况</w:t>
      </w:r>
      <w:bookmarkEnd w:id="40"/>
      <w:bookmarkEnd w:id="41"/>
    </w:p>
    <w:p>
      <w:pPr>
        <w:pStyle w:val="5"/>
        <w:adjustRightInd w:val="0"/>
        <w:snapToGrid w:val="0"/>
        <w:spacing w:before="0" w:after="0" w:line="360" w:lineRule="auto"/>
        <w:ind w:left="101" w:hanging="100" w:hangingChars="36"/>
        <w:rPr>
          <w:rFonts w:hint="eastAsia"/>
          <w:color w:val="000000"/>
          <w:szCs w:val="28"/>
        </w:rPr>
      </w:pPr>
      <w:r>
        <w:rPr>
          <w:color w:val="000000"/>
          <w:szCs w:val="28"/>
        </w:rPr>
        <w:t>3.2.1地理位置</w:t>
      </w:r>
    </w:p>
    <w:p>
      <w:pPr>
        <w:overflowPunct w:val="0"/>
        <w:adjustRightInd w:val="0"/>
        <w:snapToGrid w:val="0"/>
        <w:ind w:firstLine="528"/>
        <w:rPr>
          <w:color w:val="000000"/>
          <w:spacing w:val="12"/>
          <w:szCs w:val="24"/>
        </w:rPr>
      </w:pPr>
      <w:r>
        <w:rPr>
          <w:rFonts w:hint="eastAsia"/>
          <w:color w:val="000000"/>
          <w:spacing w:val="12"/>
          <w:szCs w:val="24"/>
        </w:rPr>
        <w:t>西畴至富宁高速公路建设项目建设于云南省东南部文山州境内，路线自西向东途经文山州西畴县、麻栗坡县、富宁县。项目起点位于西畴县西南侧石坝村，坐标为东经104°38′7.02″，北纬23°23′43.72″，设A型单喇叭枢纽互通与那洒至兴街高速公路衔接，项目止点位于富宁县板仑乡，坐标为东经105°42′5.38″，北纬23°32′49.67″，接富宁至那坡高速公路。</w:t>
      </w:r>
    </w:p>
    <w:p>
      <w:pPr>
        <w:pStyle w:val="5"/>
        <w:adjustRightInd w:val="0"/>
        <w:snapToGrid w:val="0"/>
        <w:spacing w:before="0" w:after="0" w:line="360" w:lineRule="auto"/>
        <w:ind w:left="101" w:hanging="100" w:hangingChars="36"/>
        <w:rPr>
          <w:color w:val="000000"/>
          <w:szCs w:val="28"/>
        </w:rPr>
      </w:pPr>
      <w:r>
        <w:rPr>
          <w:color w:val="000000"/>
          <w:szCs w:val="28"/>
        </w:rPr>
        <w:t>3.2.2地貌</w:t>
      </w:r>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项目区地处云贵高原的南部边缘，地势北部和中部高，东南、西南低，境内山峦起伏，地形复杂。主要山脉呈现西北走向和西南走向。西北至东西走向的有铁厂山梁，位于境内中北部，西北至东南走向的有万家寨梁子，位于西畴县境西南部，西南至东南走向的有大花山，位于县境西南，偏南北走向的有上梁大山，位于境内西北部。西畴县总面积1506km</w:t>
      </w:r>
      <w:r>
        <w:rPr>
          <w:rFonts w:hint="eastAsia"/>
          <w:color w:val="000000"/>
          <w:spacing w:val="12"/>
          <w:szCs w:val="24"/>
          <w:vertAlign w:val="superscript"/>
        </w:rPr>
        <w:t>2</w:t>
      </w:r>
      <w:r>
        <w:rPr>
          <w:rFonts w:hint="eastAsia"/>
          <w:color w:val="000000"/>
          <w:spacing w:val="12"/>
          <w:szCs w:val="24"/>
        </w:rPr>
        <w:t>，其中裸露、半裸露岩溶面积1135km</w:t>
      </w:r>
      <w:r>
        <w:rPr>
          <w:rFonts w:hint="eastAsia"/>
          <w:color w:val="000000"/>
          <w:spacing w:val="12"/>
          <w:szCs w:val="24"/>
          <w:vertAlign w:val="superscript"/>
        </w:rPr>
        <w:t>2</w:t>
      </w:r>
      <w:r>
        <w:rPr>
          <w:rFonts w:hint="eastAsia"/>
          <w:color w:val="000000"/>
          <w:spacing w:val="12"/>
          <w:szCs w:val="24"/>
        </w:rPr>
        <w:t>，占西畴县总面积的75.4%。境内最高点海拔1962.9m，最低点海拔654m。</w:t>
      </w:r>
    </w:p>
    <w:p>
      <w:pPr>
        <w:pStyle w:val="5"/>
        <w:adjustRightInd w:val="0"/>
        <w:snapToGrid w:val="0"/>
        <w:spacing w:before="0" w:after="0" w:line="360" w:lineRule="auto"/>
        <w:ind w:left="101" w:hanging="100" w:hangingChars="36"/>
        <w:rPr>
          <w:color w:val="000000"/>
          <w:szCs w:val="28"/>
        </w:rPr>
      </w:pPr>
      <w:r>
        <w:rPr>
          <w:color w:val="000000"/>
          <w:szCs w:val="28"/>
        </w:rPr>
        <w:t>3.2.3气候</w:t>
      </w:r>
    </w:p>
    <w:p>
      <w:pPr>
        <w:overflowPunct w:val="0"/>
        <w:adjustRightInd w:val="0"/>
        <w:snapToGrid w:val="0"/>
        <w:ind w:firstLine="528"/>
        <w:rPr>
          <w:rFonts w:hint="eastAsia"/>
          <w:color w:val="000000"/>
          <w:spacing w:val="12"/>
          <w:szCs w:val="24"/>
        </w:rPr>
      </w:pPr>
      <w:r>
        <w:rPr>
          <w:rFonts w:hint="eastAsia"/>
          <w:color w:val="000000"/>
          <w:spacing w:val="12"/>
          <w:szCs w:val="24"/>
        </w:rPr>
        <w:t>项目地处低纬度，属亚热带季风气候。干雨季节分明，立体气候明显，年均气温15.9℃，年均无霜期340～362d，年均降雨量1294mm，年日照时数1500～1600h，年均相对湿度为82%。</w:t>
      </w:r>
    </w:p>
    <w:p>
      <w:pPr>
        <w:pStyle w:val="5"/>
        <w:adjustRightInd w:val="0"/>
        <w:snapToGrid w:val="0"/>
        <w:spacing w:before="0" w:after="0" w:line="360" w:lineRule="auto"/>
        <w:ind w:left="101" w:hanging="100" w:hangingChars="36"/>
        <w:rPr>
          <w:color w:val="000000"/>
          <w:szCs w:val="28"/>
        </w:rPr>
      </w:pPr>
      <w:r>
        <w:rPr>
          <w:color w:val="000000"/>
          <w:szCs w:val="28"/>
        </w:rPr>
        <w:t>3.2.4土壤</w:t>
      </w:r>
    </w:p>
    <w:p>
      <w:pPr>
        <w:overflowPunct w:val="0"/>
        <w:adjustRightInd w:val="0"/>
        <w:snapToGrid w:val="0"/>
        <w:ind w:firstLine="528"/>
        <w:rPr>
          <w:rFonts w:hint="eastAsia"/>
          <w:color w:val="000000"/>
          <w:spacing w:val="12"/>
          <w:szCs w:val="24"/>
        </w:rPr>
      </w:pPr>
      <w:r>
        <w:rPr>
          <w:rFonts w:hint="eastAsia"/>
          <w:color w:val="000000"/>
          <w:spacing w:val="12"/>
          <w:szCs w:val="24"/>
        </w:rPr>
        <w:t>项目区主要有红壤、黄壤、黄棕壤、紫色壤、赤红壤、石灰岩土、水稻土7大类，12个亚类，17个土属，40个土种。</w:t>
      </w:r>
    </w:p>
    <w:p>
      <w:pPr>
        <w:pStyle w:val="5"/>
        <w:adjustRightInd w:val="0"/>
        <w:snapToGrid w:val="0"/>
        <w:spacing w:before="0" w:after="0" w:line="360" w:lineRule="auto"/>
        <w:ind w:left="101" w:hanging="100" w:hangingChars="36"/>
        <w:rPr>
          <w:rFonts w:hint="eastAsia"/>
          <w:color w:val="000000"/>
          <w:szCs w:val="28"/>
        </w:rPr>
      </w:pPr>
      <w:r>
        <w:rPr>
          <w:color w:val="000000"/>
          <w:szCs w:val="28"/>
        </w:rPr>
        <w:t>3.2.5</w:t>
      </w:r>
      <w:r>
        <w:rPr>
          <w:rFonts w:hint="eastAsia"/>
          <w:color w:val="000000"/>
          <w:szCs w:val="28"/>
        </w:rPr>
        <w:t>生物资源</w:t>
      </w:r>
    </w:p>
    <w:p>
      <w:pPr>
        <w:overflowPunct w:val="0"/>
        <w:adjustRightInd w:val="0"/>
        <w:snapToGrid w:val="0"/>
        <w:ind w:firstLine="528"/>
        <w:rPr>
          <w:rFonts w:hint="eastAsia"/>
          <w:color w:val="000000"/>
          <w:spacing w:val="12"/>
          <w:szCs w:val="24"/>
        </w:rPr>
      </w:pPr>
      <w:r>
        <w:rPr>
          <w:rFonts w:hint="eastAsia"/>
          <w:color w:val="000000"/>
          <w:spacing w:val="12"/>
          <w:szCs w:val="24"/>
        </w:rPr>
        <w:t>a)植被</w:t>
      </w:r>
    </w:p>
    <w:p>
      <w:pPr>
        <w:overflowPunct w:val="0"/>
        <w:adjustRightInd w:val="0"/>
        <w:snapToGrid w:val="0"/>
        <w:ind w:firstLine="528"/>
        <w:rPr>
          <w:rFonts w:hint="eastAsia"/>
          <w:color w:val="000000"/>
          <w:spacing w:val="12"/>
          <w:szCs w:val="24"/>
        </w:rPr>
      </w:pPr>
      <w:r>
        <w:rPr>
          <w:rFonts w:hint="eastAsia"/>
          <w:color w:val="000000"/>
          <w:spacing w:val="12"/>
          <w:szCs w:val="24"/>
        </w:rPr>
        <w:t>项目区常见树种有93科269属753种，境内有国家二级保护植物华盖木和香木兰，有珍稀濒危树种香莲、桫椤、云南七叶树等20多种。境内小桥沟为省级国家自然保护区，建有占地面积为中国第一、树种排列全国第二的珍稀木兰园，共有11属47科200多种珍稀木兰树种。</w:t>
      </w:r>
    </w:p>
    <w:p>
      <w:pPr>
        <w:overflowPunct w:val="0"/>
        <w:adjustRightInd w:val="0"/>
        <w:snapToGrid w:val="0"/>
        <w:ind w:firstLine="528"/>
        <w:rPr>
          <w:rFonts w:hint="eastAsia"/>
          <w:color w:val="000000"/>
          <w:spacing w:val="12"/>
          <w:szCs w:val="24"/>
        </w:rPr>
      </w:pPr>
      <w:r>
        <w:rPr>
          <w:rFonts w:hint="eastAsia"/>
          <w:color w:val="000000"/>
          <w:spacing w:val="12"/>
          <w:szCs w:val="24"/>
        </w:rPr>
        <w:t>b)动物</w:t>
      </w:r>
    </w:p>
    <w:p>
      <w:pPr>
        <w:overflowPunct w:val="0"/>
        <w:adjustRightInd w:val="0"/>
        <w:snapToGrid w:val="0"/>
        <w:ind w:firstLine="528"/>
        <w:rPr>
          <w:color w:val="000000"/>
          <w:spacing w:val="12"/>
          <w:szCs w:val="24"/>
          <w:highlight w:val="yellow"/>
        </w:rPr>
      </w:pPr>
      <w:r>
        <w:rPr>
          <w:rFonts w:hint="eastAsia"/>
          <w:color w:val="000000"/>
          <w:spacing w:val="12"/>
          <w:szCs w:val="24"/>
        </w:rPr>
        <w:t>项目区动物资源主要有獐、熊、猴、野鸡、锦鸡、画眉、猫头鹰等</w:t>
      </w:r>
    </w:p>
    <w:p>
      <w:pPr>
        <w:pStyle w:val="5"/>
        <w:adjustRightInd w:val="0"/>
        <w:snapToGrid w:val="0"/>
        <w:spacing w:before="0" w:after="0" w:line="360" w:lineRule="auto"/>
        <w:ind w:left="101" w:hanging="100" w:hangingChars="36"/>
        <w:rPr>
          <w:color w:val="000000"/>
          <w:szCs w:val="28"/>
        </w:rPr>
      </w:pPr>
      <w:r>
        <w:rPr>
          <w:color w:val="000000"/>
          <w:szCs w:val="28"/>
        </w:rPr>
        <w:t>3.2.6水文</w:t>
      </w:r>
    </w:p>
    <w:p>
      <w:pPr>
        <w:overflowPunct w:val="0"/>
        <w:adjustRightInd w:val="0"/>
        <w:snapToGrid w:val="0"/>
        <w:ind w:firstLine="528"/>
        <w:rPr>
          <w:rFonts w:hint="eastAsia"/>
          <w:color w:val="000000"/>
          <w:spacing w:val="12"/>
          <w:szCs w:val="24"/>
        </w:rPr>
      </w:pPr>
      <w:bookmarkStart w:id="42" w:name="_Toc35614668"/>
      <w:r>
        <w:rPr>
          <w:rFonts w:hint="eastAsia"/>
          <w:color w:val="000000"/>
          <w:spacing w:val="12"/>
          <w:szCs w:val="24"/>
        </w:rPr>
        <w:t>项目区境内河流属红河流域泸江水系，汇归于南海北部湾海域。河流展布以中部岩溶山岩为分水岭，向东、西南经地表、地下蜿蜒伸展。境内发源的河流有畴阳河、八布河；流经县内的有鸡街河；界河有盘龙河、达马河。按地形和流向可概分为4个水系。北部水系：县境北部中山地区，以鸡街河、达马河为干流。西南部水系：县境西南部的莲花塘、新马街乡中山地区以盘龙河为主干流。南部水系：在中部、中南部岩溶峰丛地区，以畴阳河为主干流。东部水系：在县境东南部中低山地区，属八布河源流，主要河流有林安冲河、小湾河、石鹅河等。</w:t>
      </w:r>
    </w:p>
    <w:p>
      <w:pPr>
        <w:pStyle w:val="4"/>
        <w:spacing w:before="0" w:after="0"/>
        <w:ind w:firstLine="0" w:firstLineChars="0"/>
        <w:rPr>
          <w:color w:val="000000"/>
          <w:kern w:val="0"/>
          <w:szCs w:val="30"/>
        </w:rPr>
      </w:pPr>
      <w:bookmarkStart w:id="43" w:name="_Toc3993"/>
      <w:r>
        <w:rPr>
          <w:color w:val="000000"/>
          <w:kern w:val="0"/>
          <w:szCs w:val="30"/>
        </w:rPr>
        <w:t>3.3项目区社会经济概况</w:t>
      </w:r>
      <w:bookmarkEnd w:id="42"/>
      <w:bookmarkEnd w:id="43"/>
    </w:p>
    <w:p>
      <w:pPr>
        <w:overflowPunct w:val="0"/>
        <w:adjustRightInd w:val="0"/>
        <w:snapToGrid w:val="0"/>
        <w:ind w:firstLine="528"/>
        <w:rPr>
          <w:color w:val="000000"/>
          <w:spacing w:val="12"/>
          <w:szCs w:val="24"/>
          <w:highlight w:val="yellow"/>
        </w:rPr>
      </w:pPr>
      <w:bookmarkStart w:id="44" w:name="_Toc35614669"/>
      <w:r>
        <w:rPr>
          <w:rFonts w:hint="eastAsia"/>
          <w:color w:val="000000"/>
          <w:spacing w:val="12"/>
          <w:szCs w:val="24"/>
        </w:rPr>
        <w:t>全县辖7乡2镇，分别为西洒、兴街2个镇和蚌谷、莲花塘、新马街、柏林、法斗、董马、鸡街7个乡，全县共69个村民委3个社区1778个村民小组。东南接麻栗坡县，西南隔盘龙河与马关县相望，西靠文山、砚山两县，东北与广南县隔达马河相望。</w:t>
      </w:r>
      <w:r>
        <w:rPr>
          <w:color w:val="000000"/>
          <w:spacing w:val="12"/>
          <w:szCs w:val="24"/>
        </w:rPr>
        <w:t>2021年末全县总人口</w:t>
      </w:r>
      <w:r>
        <w:rPr>
          <w:rFonts w:hint="eastAsia"/>
          <w:color w:val="333333"/>
          <w:szCs w:val="24"/>
          <w:shd w:val="clear" w:color="auto" w:fill="FFFFFF"/>
        </w:rPr>
        <w:t>19.40</w:t>
      </w:r>
      <w:r>
        <w:rPr>
          <w:color w:val="000000"/>
          <w:spacing w:val="12"/>
          <w:szCs w:val="24"/>
        </w:rPr>
        <w:t>万人。</w:t>
      </w:r>
    </w:p>
    <w:p>
      <w:pPr>
        <w:overflowPunct w:val="0"/>
        <w:adjustRightInd w:val="0"/>
        <w:snapToGrid w:val="0"/>
        <w:ind w:firstLine="528"/>
        <w:rPr>
          <w:color w:val="000000"/>
          <w:spacing w:val="12"/>
          <w:szCs w:val="24"/>
          <w:highlight w:val="yellow"/>
        </w:rPr>
      </w:pPr>
      <w:r>
        <w:rPr>
          <w:color w:val="000000"/>
          <w:spacing w:val="12"/>
          <w:szCs w:val="24"/>
        </w:rPr>
        <w:t>2021年全县实现地区生产总值（GDP）</w:t>
      </w:r>
      <w:r>
        <w:rPr>
          <w:rFonts w:hint="eastAsia"/>
          <w:color w:val="000000"/>
          <w:spacing w:val="12"/>
          <w:szCs w:val="24"/>
        </w:rPr>
        <w:t>63.87</w:t>
      </w:r>
      <w:r>
        <w:rPr>
          <w:color w:val="000000"/>
          <w:spacing w:val="12"/>
          <w:szCs w:val="24"/>
        </w:rPr>
        <w:t>亿元，比上年增长13.</w:t>
      </w:r>
      <w:r>
        <w:rPr>
          <w:rFonts w:hint="eastAsia"/>
          <w:color w:val="000000"/>
          <w:spacing w:val="12"/>
          <w:szCs w:val="24"/>
        </w:rPr>
        <w:t>1</w:t>
      </w:r>
      <w:r>
        <w:rPr>
          <w:color w:val="000000"/>
          <w:spacing w:val="12"/>
          <w:szCs w:val="24"/>
        </w:rPr>
        <w:t>%，</w:t>
      </w:r>
      <w:r>
        <w:rPr>
          <w:rFonts w:hint="eastAsia"/>
          <w:color w:val="000000"/>
          <w:spacing w:val="12"/>
          <w:szCs w:val="24"/>
        </w:rPr>
        <w:t>两年平均增长9.6%。分产业看，第一产业增加值153102万元，同比增长6.3%，两年平均增长5.9%，拉动GDP增长1.8个百分点，对GDP的增长贡献率为13.4%；第二产业增加值191092万元，同比增长27.3%，两年平均增长17.3%，拉动GDP增长6.8个百分点，对GDP的增长贡献率为52.0%；第三产业增加值294464万元，同比增长9.6%，两年平均增长7.6%，拉动GDP增长4.5个百分点，对GDP的增长贡献率为34.6%。三次产业比重为24.0:29.9:46.1。人均GDP达到32126元，同比增长17.6%。非公有制经济增加值305135万元，较上年净增39369万元，占GDP的比重为47.8%。</w:t>
      </w:r>
    </w:p>
    <w:p>
      <w:pPr>
        <w:pStyle w:val="4"/>
        <w:spacing w:before="0" w:after="0"/>
        <w:ind w:firstLine="0" w:firstLineChars="0"/>
        <w:rPr>
          <w:color w:val="000000"/>
          <w:kern w:val="0"/>
          <w:szCs w:val="30"/>
        </w:rPr>
      </w:pPr>
      <w:bookmarkStart w:id="45" w:name="_Toc18423"/>
      <w:r>
        <w:rPr>
          <w:color w:val="000000"/>
          <w:kern w:val="0"/>
          <w:szCs w:val="30"/>
        </w:rPr>
        <w:t>3.4项目区土地利用状况</w:t>
      </w:r>
      <w:bookmarkEnd w:id="44"/>
      <w:bookmarkEnd w:id="45"/>
    </w:p>
    <w:p>
      <w:pPr>
        <w:overflowPunct w:val="0"/>
        <w:adjustRightInd w:val="0"/>
        <w:snapToGrid w:val="0"/>
        <w:ind w:firstLine="528"/>
        <w:rPr>
          <w:color w:val="000000"/>
          <w:spacing w:val="12"/>
          <w:szCs w:val="24"/>
        </w:rPr>
      </w:pPr>
      <w:r>
        <w:rPr>
          <w:rFonts w:hint="eastAsia"/>
          <w:color w:val="000000"/>
          <w:spacing w:val="12"/>
          <w:szCs w:val="24"/>
        </w:rPr>
        <w:t>西畴至富宁高速公路</w:t>
      </w:r>
      <w:r>
        <w:rPr>
          <w:color w:val="000000"/>
          <w:spacing w:val="12"/>
          <w:szCs w:val="24"/>
        </w:rPr>
        <w:t>建设项目</w:t>
      </w:r>
      <w:r>
        <w:rPr>
          <w:rFonts w:hint="eastAsia"/>
          <w:color w:val="000000"/>
          <w:spacing w:val="12"/>
          <w:szCs w:val="24"/>
        </w:rPr>
        <w:t>（西畴段）</w:t>
      </w:r>
      <w:r>
        <w:rPr>
          <w:color w:val="000000"/>
          <w:spacing w:val="12"/>
          <w:szCs w:val="24"/>
        </w:rPr>
        <w:t>包括永久用地和临时用地，本复垦方案仅针对不再留续使用的临时用地进行复垦。临时用地占地总面积为</w:t>
      </w:r>
      <w:r>
        <w:rPr>
          <w:rFonts w:hint="eastAsia"/>
          <w:color w:val="000000"/>
          <w:spacing w:val="12"/>
          <w:szCs w:val="24"/>
        </w:rPr>
        <w:t>4.1706</w:t>
      </w:r>
      <w:r>
        <w:rPr>
          <w:color w:val="000000"/>
          <w:spacing w:val="12"/>
          <w:szCs w:val="24"/>
        </w:rPr>
        <w:t>hm²，占用土地类型林地。</w:t>
      </w:r>
    </w:p>
    <w:p>
      <w:pPr>
        <w:overflowPunct w:val="0"/>
        <w:adjustRightInd w:val="0"/>
        <w:snapToGrid w:val="0"/>
        <w:ind w:firstLine="528"/>
        <w:rPr>
          <w:color w:val="000000"/>
          <w:spacing w:val="12"/>
          <w:szCs w:val="24"/>
          <w:highlight w:val="yellow"/>
        </w:rPr>
      </w:pPr>
      <w:r>
        <w:rPr>
          <w:rFonts w:hint="eastAsia"/>
          <w:color w:val="000000"/>
          <w:spacing w:val="12"/>
          <w:szCs w:val="24"/>
        </w:rPr>
        <w:t>项目区土壤主要以红壤、黄壤、黄棕壤、紫色壤、赤红壤、石灰岩土、水稻土7大类为主。</w:t>
      </w:r>
      <w:r>
        <w:rPr>
          <w:color w:val="000000"/>
          <w:spacing w:val="12"/>
          <w:szCs w:val="24"/>
        </w:rPr>
        <w:t>耕地以</w:t>
      </w:r>
      <w:r>
        <w:rPr>
          <w:rFonts w:hint="eastAsia"/>
          <w:color w:val="000000"/>
          <w:spacing w:val="12"/>
          <w:szCs w:val="24"/>
        </w:rPr>
        <w:t>水田、</w:t>
      </w:r>
      <w:r>
        <w:rPr>
          <w:color w:val="000000"/>
          <w:spacing w:val="12"/>
          <w:szCs w:val="24"/>
        </w:rPr>
        <w:t>旱地为主，有效土层厚度约为0.50m；种植园用地以果园、其他园地为主，有效土层厚度为0.</w:t>
      </w:r>
      <w:r>
        <w:rPr>
          <w:rFonts w:hint="eastAsia"/>
          <w:color w:val="000000"/>
          <w:spacing w:val="12"/>
          <w:szCs w:val="24"/>
        </w:rPr>
        <w:t>5</w:t>
      </w:r>
      <w:r>
        <w:rPr>
          <w:color w:val="000000"/>
          <w:spacing w:val="12"/>
          <w:szCs w:val="24"/>
        </w:rPr>
        <w:t>0m；林地以乔木林地、</w:t>
      </w:r>
      <w:r>
        <w:rPr>
          <w:rFonts w:hint="eastAsia"/>
          <w:color w:val="000000"/>
          <w:spacing w:val="12"/>
          <w:szCs w:val="24"/>
        </w:rPr>
        <w:t>竹林地、</w:t>
      </w:r>
      <w:r>
        <w:rPr>
          <w:color w:val="000000"/>
          <w:spacing w:val="12"/>
          <w:szCs w:val="24"/>
        </w:rPr>
        <w:t>灌木林地</w:t>
      </w:r>
      <w:r>
        <w:rPr>
          <w:rFonts w:hint="eastAsia"/>
          <w:color w:val="000000"/>
          <w:spacing w:val="12"/>
          <w:szCs w:val="24"/>
        </w:rPr>
        <w:t>、其他林地</w:t>
      </w:r>
      <w:r>
        <w:rPr>
          <w:color w:val="000000"/>
          <w:spacing w:val="12"/>
          <w:szCs w:val="24"/>
        </w:rPr>
        <w:t>为主，有效土层厚度为0.30m；地块交通条件较好，进场道路完备。</w:t>
      </w:r>
    </w:p>
    <w:p>
      <w:pPr>
        <w:overflowPunct w:val="0"/>
        <w:adjustRightInd w:val="0"/>
        <w:snapToGrid w:val="0"/>
        <w:ind w:firstLine="528"/>
        <w:rPr>
          <w:color w:val="000000"/>
          <w:spacing w:val="12"/>
          <w:szCs w:val="24"/>
          <w:highlight w:val="yellow"/>
        </w:rPr>
      </w:pPr>
      <w:r>
        <w:rPr>
          <w:color w:val="000000"/>
          <w:spacing w:val="12"/>
          <w:szCs w:val="24"/>
        </w:rPr>
        <w:t>项目区包括永久用地及临时用地组成，复垦区总占地面积为</w:t>
      </w:r>
      <w:r>
        <w:rPr>
          <w:rFonts w:hint="eastAsia"/>
          <w:color w:val="000000"/>
          <w:spacing w:val="12"/>
          <w:szCs w:val="24"/>
        </w:rPr>
        <w:t>186.3006</w:t>
      </w:r>
      <w:r>
        <w:rPr>
          <w:color w:val="000000"/>
          <w:spacing w:val="12"/>
          <w:szCs w:val="24"/>
        </w:rPr>
        <w:t>hm²，其中耕地</w:t>
      </w:r>
      <w:r>
        <w:rPr>
          <w:rFonts w:hint="eastAsia"/>
          <w:color w:val="000000"/>
          <w:spacing w:val="12"/>
          <w:szCs w:val="24"/>
        </w:rPr>
        <w:t>44.9826</w:t>
      </w:r>
      <w:r>
        <w:rPr>
          <w:color w:val="000000"/>
          <w:spacing w:val="12"/>
          <w:szCs w:val="24"/>
        </w:rPr>
        <w:t>hm²、种植园用地</w:t>
      </w:r>
      <w:r>
        <w:rPr>
          <w:rFonts w:hint="eastAsia"/>
          <w:color w:val="000000"/>
          <w:spacing w:val="12"/>
          <w:szCs w:val="24"/>
        </w:rPr>
        <w:t>0.9195</w:t>
      </w:r>
      <w:r>
        <w:rPr>
          <w:color w:val="000000"/>
          <w:spacing w:val="12"/>
          <w:szCs w:val="24"/>
        </w:rPr>
        <w:t>hm²、林地</w:t>
      </w:r>
      <w:r>
        <w:rPr>
          <w:rFonts w:hint="eastAsia"/>
          <w:color w:val="000000"/>
          <w:spacing w:val="12"/>
          <w:szCs w:val="24"/>
        </w:rPr>
        <w:t>114.6336</w:t>
      </w:r>
      <w:r>
        <w:rPr>
          <w:color w:val="000000"/>
          <w:spacing w:val="12"/>
          <w:szCs w:val="24"/>
        </w:rPr>
        <w:t>hm²、草地</w:t>
      </w:r>
      <w:r>
        <w:rPr>
          <w:rFonts w:hint="eastAsia"/>
          <w:color w:val="000000"/>
          <w:spacing w:val="12"/>
          <w:szCs w:val="24"/>
        </w:rPr>
        <w:t>0.7071</w:t>
      </w:r>
      <w:r>
        <w:rPr>
          <w:color w:val="000000"/>
          <w:spacing w:val="12"/>
          <w:szCs w:val="24"/>
        </w:rPr>
        <w:t>hm²、工矿用地</w:t>
      </w:r>
      <w:r>
        <w:rPr>
          <w:rFonts w:hint="eastAsia"/>
          <w:color w:val="000000"/>
          <w:spacing w:val="12"/>
          <w:szCs w:val="24"/>
        </w:rPr>
        <w:t>0.6963</w:t>
      </w:r>
      <w:r>
        <w:rPr>
          <w:color w:val="000000"/>
          <w:spacing w:val="12"/>
          <w:szCs w:val="24"/>
        </w:rPr>
        <w:t>hm²、住宅用地</w:t>
      </w:r>
      <w:r>
        <w:rPr>
          <w:rFonts w:hint="eastAsia"/>
          <w:color w:val="000000"/>
          <w:spacing w:val="12"/>
          <w:szCs w:val="24"/>
        </w:rPr>
        <w:t>0.7980</w:t>
      </w:r>
      <w:r>
        <w:rPr>
          <w:color w:val="000000"/>
          <w:spacing w:val="12"/>
          <w:szCs w:val="24"/>
        </w:rPr>
        <w:t>hm²、特殊用地0.</w:t>
      </w:r>
      <w:r>
        <w:rPr>
          <w:rFonts w:hint="eastAsia"/>
          <w:color w:val="000000"/>
          <w:spacing w:val="12"/>
          <w:szCs w:val="24"/>
        </w:rPr>
        <w:t>1933</w:t>
      </w:r>
      <w:r>
        <w:rPr>
          <w:color w:val="000000"/>
          <w:spacing w:val="12"/>
          <w:szCs w:val="24"/>
        </w:rPr>
        <w:t>hm²、交通运输用地</w:t>
      </w:r>
      <w:r>
        <w:rPr>
          <w:rFonts w:hint="eastAsia"/>
          <w:color w:val="000000"/>
          <w:spacing w:val="12"/>
          <w:szCs w:val="24"/>
        </w:rPr>
        <w:t>6.3008</w:t>
      </w:r>
      <w:r>
        <w:rPr>
          <w:color w:val="000000"/>
          <w:spacing w:val="12"/>
          <w:szCs w:val="24"/>
        </w:rPr>
        <w:t>hm²、水域及水利设施用地</w:t>
      </w:r>
      <w:r>
        <w:rPr>
          <w:rFonts w:hint="eastAsia"/>
          <w:color w:val="000000"/>
          <w:spacing w:val="12"/>
          <w:szCs w:val="24"/>
        </w:rPr>
        <w:t>0.2556</w:t>
      </w:r>
      <w:r>
        <w:rPr>
          <w:color w:val="000000"/>
          <w:spacing w:val="12"/>
          <w:szCs w:val="24"/>
        </w:rPr>
        <w:t>hm²、其他土地</w:t>
      </w:r>
      <w:r>
        <w:rPr>
          <w:rFonts w:hint="eastAsia"/>
          <w:color w:val="000000"/>
          <w:spacing w:val="12"/>
          <w:szCs w:val="24"/>
        </w:rPr>
        <w:t>12.6432</w:t>
      </w:r>
      <w:r>
        <w:rPr>
          <w:color w:val="000000"/>
          <w:spacing w:val="12"/>
          <w:szCs w:val="24"/>
        </w:rPr>
        <w:t>hm²。</w:t>
      </w:r>
    </w:p>
    <w:p>
      <w:pPr>
        <w:overflowPunct w:val="0"/>
        <w:adjustRightInd w:val="0"/>
        <w:snapToGrid w:val="0"/>
        <w:ind w:firstLine="468"/>
        <w:jc w:val="center"/>
        <w:rPr>
          <w:rFonts w:ascii="黑体" w:hAnsi="黑体" w:eastAsia="黑体"/>
          <w:color w:val="000000"/>
          <w:spacing w:val="12"/>
          <w:sz w:val="21"/>
          <w:szCs w:val="21"/>
        </w:rPr>
      </w:pPr>
      <w:r>
        <w:rPr>
          <w:rFonts w:hint="eastAsia" w:ascii="黑体" w:hAnsi="黑体" w:eastAsia="黑体"/>
          <w:color w:val="000000"/>
          <w:spacing w:val="12"/>
          <w:sz w:val="21"/>
          <w:szCs w:val="21"/>
        </w:rPr>
        <w:t>表</w:t>
      </w:r>
      <w:r>
        <w:rPr>
          <w:rFonts w:eastAsia="黑体"/>
          <w:color w:val="000000"/>
          <w:spacing w:val="12"/>
          <w:sz w:val="21"/>
          <w:szCs w:val="21"/>
        </w:rPr>
        <w:t>3-1</w:t>
      </w:r>
      <w:r>
        <w:rPr>
          <w:rFonts w:hint="eastAsia" w:ascii="黑体" w:eastAsia="黑体"/>
          <w:color w:val="000000"/>
          <w:spacing w:val="12"/>
          <w:sz w:val="21"/>
          <w:szCs w:val="21"/>
        </w:rPr>
        <w:t>项目区土地利用现状面积表（总表）</w:t>
      </w:r>
    </w:p>
    <w:tbl>
      <w:tblPr>
        <w:tblStyle w:val="25"/>
        <w:tblW w:w="85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245"/>
        <w:gridCol w:w="2204"/>
        <w:gridCol w:w="1675"/>
        <w:gridCol w:w="13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449"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类型（编码）</w:t>
            </w:r>
          </w:p>
        </w:tc>
        <w:tc>
          <w:tcPr>
            <w:tcW w:w="167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c>
          <w:tcPr>
            <w:tcW w:w="1396"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占总面积比例（%）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一级地类</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二级地类</w:t>
            </w:r>
          </w:p>
        </w:tc>
        <w:tc>
          <w:tcPr>
            <w:tcW w:w="1675" w:type="dxa"/>
            <w:vMerge w:val="continue"/>
            <w:noWrap w:val="0"/>
            <w:vAlign w:val="center"/>
          </w:tcPr>
          <w:p>
            <w:pPr>
              <w:widowControl/>
              <w:spacing w:line="240" w:lineRule="auto"/>
              <w:ind w:firstLine="0" w:firstLineChars="0"/>
              <w:jc w:val="center"/>
              <w:rPr>
                <w:color w:val="000000"/>
                <w:sz w:val="21"/>
                <w:szCs w:val="21"/>
              </w:rPr>
            </w:pPr>
          </w:p>
        </w:tc>
        <w:tc>
          <w:tcPr>
            <w:tcW w:w="1396"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耕地（01）</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水田（0101）</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旱地（0103）</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44.936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44.9826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种植园用地（02）</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果园（0201）</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0.0831</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其他园地（0204）</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0.8364</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0.9195</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乔木林地（0301）</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18.9885</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竹林地（0302）</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0.1301</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99.1012</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其他林地（0307）</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0.5844</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114.6336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61.53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草地（04）</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其他草地（0404）</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0.7071</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工矿用地（06）</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采矿用地（0602）</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0.6963</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住宅用地（07）</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农村宅基地（0702）</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0.798</w:t>
            </w:r>
            <w:r>
              <w:rPr>
                <w:rFonts w:hint="eastAsia"/>
                <w:color w:val="000000"/>
                <w:kern w:val="0"/>
                <w:sz w:val="21"/>
                <w:szCs w:val="21"/>
                <w:lang w:bidi="ar"/>
              </w:rPr>
              <w:t>0</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449"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特殊用地（09）</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0.1933</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交通运输用地（10）</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公路用地（1003）</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4.8076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农村道路（1006）</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1.4932</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noWrap/>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67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6.3008</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水域及水利设施用地（11）</w:t>
            </w:r>
          </w:p>
        </w:tc>
        <w:tc>
          <w:tcPr>
            <w:tcW w:w="2204"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沟渠（1107）</w:t>
            </w:r>
          </w:p>
        </w:tc>
        <w:tc>
          <w:tcPr>
            <w:tcW w:w="167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0.2556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restart"/>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其他土地（12）</w:t>
            </w:r>
          </w:p>
        </w:tc>
        <w:tc>
          <w:tcPr>
            <w:tcW w:w="2204"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田坎（1203）</w:t>
            </w:r>
          </w:p>
        </w:tc>
        <w:tc>
          <w:tcPr>
            <w:tcW w:w="167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11.0765</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shd w:val="clear" w:color="auto" w:fill="auto"/>
            <w:noWrap w:val="0"/>
            <w:vAlign w:val="center"/>
          </w:tcPr>
          <w:p>
            <w:pPr>
              <w:widowControl/>
              <w:spacing w:line="240" w:lineRule="auto"/>
              <w:ind w:firstLine="0" w:firstLineChars="0"/>
              <w:jc w:val="center"/>
              <w:rPr>
                <w:color w:val="000000"/>
                <w:sz w:val="21"/>
                <w:szCs w:val="21"/>
              </w:rPr>
            </w:pPr>
          </w:p>
        </w:tc>
        <w:tc>
          <w:tcPr>
            <w:tcW w:w="2204"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裸土地（1206）</w:t>
            </w:r>
          </w:p>
        </w:tc>
        <w:tc>
          <w:tcPr>
            <w:tcW w:w="167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1.2695</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shd w:val="clear" w:color="auto" w:fill="auto"/>
            <w:noWrap w:val="0"/>
            <w:vAlign w:val="center"/>
          </w:tcPr>
          <w:p>
            <w:pPr>
              <w:widowControl/>
              <w:spacing w:line="240" w:lineRule="auto"/>
              <w:ind w:firstLine="0" w:firstLineChars="0"/>
              <w:jc w:val="center"/>
              <w:rPr>
                <w:color w:val="000000"/>
                <w:sz w:val="21"/>
                <w:szCs w:val="21"/>
              </w:rPr>
            </w:pPr>
          </w:p>
        </w:tc>
        <w:tc>
          <w:tcPr>
            <w:tcW w:w="2204"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裸岩石砾地（1207）</w:t>
            </w:r>
          </w:p>
        </w:tc>
        <w:tc>
          <w:tcPr>
            <w:tcW w:w="167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0.2972</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245" w:type="dxa"/>
            <w:vMerge w:val="continue"/>
            <w:shd w:val="clear" w:color="auto" w:fill="auto"/>
            <w:noWrap w:val="0"/>
            <w:vAlign w:val="center"/>
          </w:tcPr>
          <w:p>
            <w:pPr>
              <w:widowControl/>
              <w:spacing w:line="240" w:lineRule="auto"/>
              <w:ind w:firstLine="0" w:firstLineChars="0"/>
              <w:jc w:val="center"/>
              <w:rPr>
                <w:color w:val="000000"/>
                <w:sz w:val="21"/>
                <w:szCs w:val="21"/>
              </w:rPr>
            </w:pPr>
          </w:p>
        </w:tc>
        <w:tc>
          <w:tcPr>
            <w:tcW w:w="2204"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67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12.6432</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449" w:type="dxa"/>
            <w:gridSpan w:val="2"/>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67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186.3006</w:t>
            </w:r>
          </w:p>
        </w:tc>
        <w:tc>
          <w:tcPr>
            <w:tcW w:w="13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ind w:firstLine="560"/>
        <w:rPr>
          <w:sz w:val="28"/>
          <w:szCs w:val="28"/>
          <w:highlight w:val="yellow"/>
        </w:rPr>
        <w:sectPr>
          <w:pgSz w:w="11906" w:h="16838"/>
          <w:pgMar w:top="1440" w:right="1800" w:bottom="1440" w:left="1800" w:header="851" w:footer="992" w:gutter="0"/>
          <w:cols w:space="720" w:num="1"/>
          <w:docGrid w:type="lines" w:linePitch="326" w:charSpace="0"/>
        </w:sectPr>
      </w:pPr>
    </w:p>
    <w:p>
      <w:pPr>
        <w:ind w:firstLine="0" w:firstLineChars="0"/>
        <w:jc w:val="right"/>
        <w:rPr>
          <w:rFonts w:eastAsia="黑体"/>
          <w:sz w:val="28"/>
          <w:szCs w:val="28"/>
          <w:highlight w:val="yellow"/>
        </w:rPr>
      </w:pPr>
      <w:r>
        <w:rPr>
          <w:rFonts w:hint="eastAsia" w:ascii="黑体" w:hAnsi="黑体" w:eastAsia="黑体"/>
          <w:color w:val="000000"/>
          <w:spacing w:val="12"/>
          <w:sz w:val="21"/>
          <w:szCs w:val="21"/>
        </w:rPr>
        <w:t>表</w:t>
      </w:r>
      <w:r>
        <w:rPr>
          <w:rFonts w:eastAsia="黑体"/>
          <w:color w:val="000000"/>
          <w:spacing w:val="12"/>
          <w:sz w:val="21"/>
          <w:szCs w:val="21"/>
        </w:rPr>
        <w:t>3-</w:t>
      </w:r>
      <w:r>
        <w:rPr>
          <w:rFonts w:hint="eastAsia" w:eastAsia="黑体"/>
          <w:color w:val="000000"/>
          <w:spacing w:val="12"/>
          <w:sz w:val="21"/>
          <w:szCs w:val="21"/>
        </w:rPr>
        <w:t>2</w:t>
      </w:r>
      <w:r>
        <w:rPr>
          <w:rFonts w:hint="eastAsia" w:ascii="黑体" w:hAnsi="黑体" w:eastAsia="黑体"/>
          <w:color w:val="000000"/>
          <w:spacing w:val="12"/>
          <w:sz w:val="21"/>
          <w:szCs w:val="21"/>
        </w:rPr>
        <w:t>项目区土地利用现状表（分地块）                                                                                              单位：</w:t>
      </w:r>
      <w:r>
        <w:rPr>
          <w:color w:val="000000"/>
          <w:kern w:val="0"/>
          <w:sz w:val="21"/>
          <w:szCs w:val="21"/>
          <w:lang w:bidi="ar"/>
        </w:rPr>
        <w:t>hm²</w:t>
      </w:r>
    </w:p>
    <w:tbl>
      <w:tblPr>
        <w:tblStyle w:val="25"/>
        <w:tblW w:w="3100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78"/>
        <w:gridCol w:w="1633"/>
        <w:gridCol w:w="981"/>
        <w:gridCol w:w="1360"/>
        <w:gridCol w:w="1360"/>
        <w:gridCol w:w="1360"/>
        <w:gridCol w:w="1366"/>
        <w:gridCol w:w="1360"/>
        <w:gridCol w:w="1360"/>
        <w:gridCol w:w="1360"/>
        <w:gridCol w:w="1373"/>
        <w:gridCol w:w="1360"/>
        <w:gridCol w:w="1360"/>
        <w:gridCol w:w="1584"/>
        <w:gridCol w:w="1354"/>
        <w:gridCol w:w="1360"/>
        <w:gridCol w:w="1366"/>
        <w:gridCol w:w="1720"/>
        <w:gridCol w:w="1361"/>
        <w:gridCol w:w="1361"/>
        <w:gridCol w:w="1703"/>
        <w:gridCol w:w="14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40" w:hRule="atLeast"/>
        </w:trPr>
        <w:tc>
          <w:tcPr>
            <w:tcW w:w="4092" w:type="dxa"/>
            <w:gridSpan w:val="3"/>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功能区</w:t>
            </w:r>
          </w:p>
        </w:tc>
        <w:tc>
          <w:tcPr>
            <w:tcW w:w="2720"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耕地（01）</w:t>
            </w:r>
          </w:p>
        </w:tc>
        <w:tc>
          <w:tcPr>
            <w:tcW w:w="2726"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种植园用地（02）</w:t>
            </w:r>
          </w:p>
        </w:tc>
        <w:tc>
          <w:tcPr>
            <w:tcW w:w="5453" w:type="dxa"/>
            <w:gridSpan w:val="4"/>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草地（04）</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工矿用地（06）</w:t>
            </w:r>
          </w:p>
        </w:tc>
        <w:tc>
          <w:tcPr>
            <w:tcW w:w="158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住宅用地（07）</w:t>
            </w:r>
          </w:p>
        </w:tc>
        <w:tc>
          <w:tcPr>
            <w:tcW w:w="135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特殊用地（09）</w:t>
            </w:r>
          </w:p>
        </w:tc>
        <w:tc>
          <w:tcPr>
            <w:tcW w:w="2726"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交通运输用地（10）</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水域及水利设施用地（11）</w:t>
            </w:r>
          </w:p>
        </w:tc>
        <w:tc>
          <w:tcPr>
            <w:tcW w:w="4425"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其他土地（12）</w:t>
            </w:r>
          </w:p>
        </w:tc>
        <w:tc>
          <w:tcPr>
            <w:tcW w:w="148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26" w:hRule="atLeast"/>
        </w:trPr>
        <w:tc>
          <w:tcPr>
            <w:tcW w:w="4092" w:type="dxa"/>
            <w:gridSpan w:val="3"/>
            <w:vMerge w:val="continue"/>
            <w:noWrap/>
            <w:vAlign w:val="center"/>
          </w:tcPr>
          <w:p>
            <w:pPr>
              <w:widowControl/>
              <w:spacing w:line="240" w:lineRule="auto"/>
              <w:ind w:firstLine="0" w:firstLineChars="0"/>
              <w:jc w:val="center"/>
              <w:rPr>
                <w:color w:val="000000"/>
                <w:sz w:val="21"/>
                <w:szCs w:val="21"/>
              </w:rPr>
            </w:pP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水田（0101）</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旱地（0103）</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果园（0201）</w:t>
            </w:r>
          </w:p>
        </w:tc>
        <w:tc>
          <w:tcPr>
            <w:tcW w:w="1366"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其他园地（0204）</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乔木林地（0301）</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竹林地（0302）</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373"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其他林地（0307）</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其他草地（0404）</w:t>
            </w: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采矿用地（0602）</w:t>
            </w:r>
          </w:p>
        </w:tc>
        <w:tc>
          <w:tcPr>
            <w:tcW w:w="158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农村宅基地（0702）</w:t>
            </w:r>
          </w:p>
        </w:tc>
        <w:tc>
          <w:tcPr>
            <w:tcW w:w="1354"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公路用地（1003）</w:t>
            </w:r>
          </w:p>
        </w:tc>
        <w:tc>
          <w:tcPr>
            <w:tcW w:w="1366"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农村道路（1006）</w:t>
            </w:r>
          </w:p>
        </w:tc>
        <w:tc>
          <w:tcPr>
            <w:tcW w:w="1720"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沟渠（1107）</w:t>
            </w:r>
          </w:p>
        </w:tc>
        <w:tc>
          <w:tcPr>
            <w:tcW w:w="1361"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田坎（1203）</w:t>
            </w:r>
          </w:p>
        </w:tc>
        <w:tc>
          <w:tcPr>
            <w:tcW w:w="1361"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裸土地（1206）</w:t>
            </w:r>
          </w:p>
        </w:tc>
        <w:tc>
          <w:tcPr>
            <w:tcW w:w="1703"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裸岩石砾地（1207）</w:t>
            </w:r>
          </w:p>
        </w:tc>
        <w:tc>
          <w:tcPr>
            <w:tcW w:w="148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26" w:hRule="atLeast"/>
        </w:trPr>
        <w:tc>
          <w:tcPr>
            <w:tcW w:w="4092" w:type="dxa"/>
            <w:gridSpan w:val="3"/>
            <w:vMerge w:val="continue"/>
            <w:noWrap/>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6"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73"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584" w:type="dxa"/>
            <w:vMerge w:val="continue"/>
            <w:noWrap w:val="0"/>
            <w:vAlign w:val="center"/>
          </w:tcPr>
          <w:p>
            <w:pPr>
              <w:widowControl/>
              <w:spacing w:line="240" w:lineRule="auto"/>
              <w:ind w:firstLine="0" w:firstLineChars="0"/>
              <w:jc w:val="center"/>
              <w:rPr>
                <w:color w:val="000000"/>
                <w:sz w:val="21"/>
                <w:szCs w:val="21"/>
              </w:rPr>
            </w:pPr>
          </w:p>
        </w:tc>
        <w:tc>
          <w:tcPr>
            <w:tcW w:w="1354" w:type="dxa"/>
            <w:vMerge w:val="continue"/>
            <w:noWrap w:val="0"/>
            <w:vAlign w:val="center"/>
          </w:tcPr>
          <w:p>
            <w:pPr>
              <w:widowControl/>
              <w:spacing w:line="240" w:lineRule="auto"/>
              <w:ind w:firstLine="0" w:firstLineChars="0"/>
              <w:jc w:val="center"/>
              <w:rPr>
                <w:color w:val="000000"/>
                <w:sz w:val="21"/>
                <w:szCs w:val="21"/>
              </w:rPr>
            </w:pPr>
          </w:p>
        </w:tc>
        <w:tc>
          <w:tcPr>
            <w:tcW w:w="1360" w:type="dxa"/>
            <w:vMerge w:val="continue"/>
            <w:noWrap w:val="0"/>
            <w:vAlign w:val="center"/>
          </w:tcPr>
          <w:p>
            <w:pPr>
              <w:widowControl/>
              <w:spacing w:line="240" w:lineRule="auto"/>
              <w:ind w:firstLine="0" w:firstLineChars="0"/>
              <w:jc w:val="center"/>
              <w:rPr>
                <w:color w:val="000000"/>
                <w:sz w:val="21"/>
                <w:szCs w:val="21"/>
              </w:rPr>
            </w:pPr>
          </w:p>
        </w:tc>
        <w:tc>
          <w:tcPr>
            <w:tcW w:w="1366" w:type="dxa"/>
            <w:vMerge w:val="continue"/>
            <w:noWrap w:val="0"/>
            <w:vAlign w:val="center"/>
          </w:tcPr>
          <w:p>
            <w:pPr>
              <w:widowControl/>
              <w:spacing w:line="240" w:lineRule="auto"/>
              <w:ind w:firstLine="0" w:firstLineChars="0"/>
              <w:jc w:val="center"/>
              <w:rPr>
                <w:color w:val="000000"/>
                <w:sz w:val="21"/>
                <w:szCs w:val="21"/>
              </w:rPr>
            </w:pPr>
          </w:p>
        </w:tc>
        <w:tc>
          <w:tcPr>
            <w:tcW w:w="1720" w:type="dxa"/>
            <w:vMerge w:val="continue"/>
            <w:noWrap w:val="0"/>
            <w:vAlign w:val="center"/>
          </w:tcPr>
          <w:p>
            <w:pPr>
              <w:widowControl/>
              <w:spacing w:line="240" w:lineRule="auto"/>
              <w:ind w:firstLine="0" w:firstLineChars="0"/>
              <w:jc w:val="center"/>
              <w:rPr>
                <w:color w:val="000000"/>
                <w:sz w:val="21"/>
                <w:szCs w:val="21"/>
              </w:rPr>
            </w:pPr>
          </w:p>
        </w:tc>
        <w:tc>
          <w:tcPr>
            <w:tcW w:w="1361" w:type="dxa"/>
            <w:vMerge w:val="continue"/>
            <w:noWrap w:val="0"/>
            <w:vAlign w:val="center"/>
          </w:tcPr>
          <w:p>
            <w:pPr>
              <w:widowControl/>
              <w:spacing w:line="240" w:lineRule="auto"/>
              <w:ind w:firstLine="0" w:firstLineChars="0"/>
              <w:jc w:val="center"/>
              <w:rPr>
                <w:color w:val="000000"/>
                <w:sz w:val="21"/>
                <w:szCs w:val="21"/>
              </w:rPr>
            </w:pPr>
          </w:p>
        </w:tc>
        <w:tc>
          <w:tcPr>
            <w:tcW w:w="1361" w:type="dxa"/>
            <w:vMerge w:val="continue"/>
            <w:noWrap w:val="0"/>
            <w:vAlign w:val="center"/>
          </w:tcPr>
          <w:p>
            <w:pPr>
              <w:widowControl/>
              <w:spacing w:line="240" w:lineRule="auto"/>
              <w:ind w:firstLine="0" w:firstLineChars="0"/>
              <w:jc w:val="center"/>
              <w:rPr>
                <w:color w:val="000000"/>
                <w:sz w:val="21"/>
                <w:szCs w:val="21"/>
              </w:rPr>
            </w:pPr>
          </w:p>
        </w:tc>
        <w:tc>
          <w:tcPr>
            <w:tcW w:w="1703" w:type="dxa"/>
            <w:vMerge w:val="continue"/>
            <w:noWrap w:val="0"/>
            <w:vAlign w:val="center"/>
          </w:tcPr>
          <w:p>
            <w:pPr>
              <w:widowControl/>
              <w:spacing w:line="240" w:lineRule="auto"/>
              <w:ind w:firstLine="0" w:firstLineChars="0"/>
              <w:jc w:val="center"/>
              <w:rPr>
                <w:color w:val="000000"/>
                <w:sz w:val="21"/>
                <w:szCs w:val="21"/>
              </w:rPr>
            </w:pPr>
          </w:p>
        </w:tc>
        <w:tc>
          <w:tcPr>
            <w:tcW w:w="148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4092" w:type="dxa"/>
            <w:gridSpan w:val="3"/>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永久用地</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0.0466</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44.936</w:t>
            </w:r>
            <w:r>
              <w:rPr>
                <w:rFonts w:hint="eastAsia"/>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0.0831</w:t>
            </w:r>
          </w:p>
        </w:tc>
        <w:tc>
          <w:tcPr>
            <w:tcW w:w="136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0.8364</w:t>
            </w:r>
          </w:p>
        </w:tc>
        <w:tc>
          <w:tcPr>
            <w:tcW w:w="13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18.9885</w:t>
            </w:r>
          </w:p>
        </w:tc>
        <w:tc>
          <w:tcPr>
            <w:tcW w:w="13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0.1301</w:t>
            </w:r>
          </w:p>
        </w:tc>
        <w:tc>
          <w:tcPr>
            <w:tcW w:w="13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94.9306</w:t>
            </w:r>
          </w:p>
        </w:tc>
        <w:tc>
          <w:tcPr>
            <w:tcW w:w="13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0.5844</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0.7071</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0.6963</w:t>
            </w:r>
          </w:p>
        </w:tc>
        <w:tc>
          <w:tcPr>
            <w:tcW w:w="158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0.798</w:t>
            </w:r>
            <w:r>
              <w:rPr>
                <w:rFonts w:hint="eastAsia"/>
                <w:color w:val="000000"/>
                <w:kern w:val="0"/>
                <w:sz w:val="21"/>
                <w:szCs w:val="21"/>
                <w:lang w:bidi="ar"/>
              </w:rPr>
              <w:t>0</w:t>
            </w:r>
          </w:p>
        </w:tc>
        <w:tc>
          <w:tcPr>
            <w:tcW w:w="135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0.1933</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4.8076</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1.4932</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0.2556</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11.0765</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1.2695</w:t>
            </w:r>
          </w:p>
        </w:tc>
        <w:tc>
          <w:tcPr>
            <w:tcW w:w="170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0.2972</w:t>
            </w:r>
          </w:p>
        </w:tc>
        <w:tc>
          <w:tcPr>
            <w:tcW w:w="14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182.1300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1478"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临时用地</w:t>
            </w:r>
          </w:p>
        </w:tc>
        <w:tc>
          <w:tcPr>
            <w:tcW w:w="163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98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平台</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1.7007</w:t>
            </w:r>
          </w:p>
        </w:tc>
        <w:tc>
          <w:tcPr>
            <w:tcW w:w="137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8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5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0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1.7007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1478" w:type="dxa"/>
            <w:vMerge w:val="continue"/>
            <w:noWrap/>
            <w:vAlign w:val="center"/>
          </w:tcPr>
          <w:p>
            <w:pPr>
              <w:widowControl/>
              <w:spacing w:line="240" w:lineRule="auto"/>
              <w:ind w:firstLine="0" w:firstLineChars="0"/>
              <w:jc w:val="center"/>
              <w:rPr>
                <w:color w:val="000000"/>
                <w:sz w:val="21"/>
                <w:szCs w:val="21"/>
              </w:rPr>
            </w:pPr>
          </w:p>
        </w:tc>
        <w:tc>
          <w:tcPr>
            <w:tcW w:w="1633" w:type="dxa"/>
            <w:vMerge w:val="continue"/>
            <w:noWrap/>
            <w:vAlign w:val="center"/>
          </w:tcPr>
          <w:p>
            <w:pPr>
              <w:widowControl/>
              <w:spacing w:line="240" w:lineRule="auto"/>
              <w:ind w:firstLine="0" w:firstLineChars="0"/>
              <w:jc w:val="center"/>
              <w:rPr>
                <w:color w:val="000000"/>
                <w:sz w:val="21"/>
                <w:szCs w:val="21"/>
              </w:rPr>
            </w:pPr>
          </w:p>
        </w:tc>
        <w:tc>
          <w:tcPr>
            <w:tcW w:w="98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边坡</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0.2235</w:t>
            </w:r>
          </w:p>
        </w:tc>
        <w:tc>
          <w:tcPr>
            <w:tcW w:w="137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8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5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0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0.2235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1478" w:type="dxa"/>
            <w:vMerge w:val="continue"/>
            <w:noWrap/>
            <w:vAlign w:val="center"/>
          </w:tcPr>
          <w:p>
            <w:pPr>
              <w:widowControl/>
              <w:spacing w:line="240" w:lineRule="auto"/>
              <w:ind w:firstLine="0" w:firstLineChars="0"/>
              <w:jc w:val="center"/>
              <w:rPr>
                <w:color w:val="000000"/>
                <w:sz w:val="21"/>
                <w:szCs w:val="21"/>
              </w:rPr>
            </w:pPr>
          </w:p>
        </w:tc>
        <w:tc>
          <w:tcPr>
            <w:tcW w:w="2614"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1.9242</w:t>
            </w:r>
          </w:p>
        </w:tc>
        <w:tc>
          <w:tcPr>
            <w:tcW w:w="137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8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5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0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1.9242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1478" w:type="dxa"/>
            <w:vMerge w:val="continue"/>
            <w:noWrap/>
            <w:vAlign w:val="center"/>
          </w:tcPr>
          <w:p>
            <w:pPr>
              <w:widowControl/>
              <w:spacing w:line="240" w:lineRule="auto"/>
              <w:ind w:firstLine="0" w:firstLineChars="0"/>
              <w:jc w:val="center"/>
              <w:rPr>
                <w:color w:val="000000"/>
                <w:sz w:val="21"/>
                <w:szCs w:val="21"/>
              </w:rPr>
            </w:pPr>
          </w:p>
        </w:tc>
        <w:tc>
          <w:tcPr>
            <w:tcW w:w="2614"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1#拌合站</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2.2464</w:t>
            </w:r>
          </w:p>
        </w:tc>
        <w:tc>
          <w:tcPr>
            <w:tcW w:w="137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8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5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0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2.2464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4092" w:type="dxa"/>
            <w:gridSpan w:val="3"/>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临时用地合计</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37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58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5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2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36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70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092" w:type="dxa"/>
            <w:gridSpan w:val="3"/>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0.0466</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44.936</w:t>
            </w:r>
            <w:r>
              <w:rPr>
                <w:rFonts w:hint="eastAsia"/>
                <w:color w:val="000000"/>
                <w:kern w:val="0"/>
                <w:sz w:val="21"/>
                <w:szCs w:val="21"/>
                <w:lang w:bidi="ar"/>
              </w:rPr>
              <w:t>0</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0.0831</w:t>
            </w:r>
          </w:p>
        </w:tc>
        <w:tc>
          <w:tcPr>
            <w:tcW w:w="1366"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0.8364</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18.9885</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0.1301</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99.1012</w:t>
            </w:r>
          </w:p>
        </w:tc>
        <w:tc>
          <w:tcPr>
            <w:tcW w:w="1373"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0.5844</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0.7071</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0.6963</w:t>
            </w:r>
          </w:p>
        </w:tc>
        <w:tc>
          <w:tcPr>
            <w:tcW w:w="1584"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0.798</w:t>
            </w:r>
            <w:r>
              <w:rPr>
                <w:rFonts w:hint="eastAsia"/>
                <w:color w:val="000000"/>
                <w:kern w:val="0"/>
                <w:sz w:val="21"/>
                <w:szCs w:val="21"/>
                <w:lang w:bidi="ar"/>
              </w:rPr>
              <w:t>0</w:t>
            </w:r>
          </w:p>
        </w:tc>
        <w:tc>
          <w:tcPr>
            <w:tcW w:w="1354"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0.1933</w:t>
            </w:r>
          </w:p>
        </w:tc>
        <w:tc>
          <w:tcPr>
            <w:tcW w:w="136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4.8076</w:t>
            </w:r>
          </w:p>
        </w:tc>
        <w:tc>
          <w:tcPr>
            <w:tcW w:w="1366"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1.4932</w:t>
            </w:r>
          </w:p>
        </w:tc>
        <w:tc>
          <w:tcPr>
            <w:tcW w:w="1720"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0.2556</w:t>
            </w:r>
          </w:p>
        </w:tc>
        <w:tc>
          <w:tcPr>
            <w:tcW w:w="1361"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11.0765</w:t>
            </w:r>
          </w:p>
        </w:tc>
        <w:tc>
          <w:tcPr>
            <w:tcW w:w="1361"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1.2695</w:t>
            </w:r>
          </w:p>
        </w:tc>
        <w:tc>
          <w:tcPr>
            <w:tcW w:w="1703"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0.2972</w:t>
            </w:r>
          </w:p>
        </w:tc>
        <w:tc>
          <w:tcPr>
            <w:tcW w:w="1485" w:type="dxa"/>
            <w:noWrap/>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186.3006</w:t>
            </w:r>
          </w:p>
        </w:tc>
      </w:tr>
    </w:tbl>
    <w:p>
      <w:pPr>
        <w:ind w:firstLine="0" w:firstLineChars="0"/>
        <w:rPr>
          <w:sz w:val="28"/>
          <w:szCs w:val="28"/>
          <w:highlight w:val="yellow"/>
        </w:rPr>
        <w:sectPr>
          <w:pgSz w:w="33675" w:h="23811" w:orient="landscape"/>
          <w:pgMar w:top="1803" w:right="1440" w:bottom="1803" w:left="1440" w:header="851" w:footer="992" w:gutter="0"/>
          <w:cols w:space="720" w:num="1"/>
          <w:docGrid w:type="lines" w:linePitch="326" w:charSpace="0"/>
        </w:sectPr>
      </w:pPr>
    </w:p>
    <w:p>
      <w:pPr>
        <w:pStyle w:val="4"/>
        <w:spacing w:before="0" w:after="0"/>
        <w:ind w:firstLine="0" w:firstLineChars="0"/>
        <w:rPr>
          <w:rFonts w:hint="eastAsia"/>
          <w:color w:val="000000"/>
          <w:kern w:val="0"/>
          <w:szCs w:val="30"/>
        </w:rPr>
      </w:pPr>
      <w:bookmarkStart w:id="46" w:name="_Toc3853"/>
      <w:bookmarkStart w:id="47" w:name="_Toc35614670"/>
      <w:r>
        <w:rPr>
          <w:rFonts w:hint="eastAsia"/>
          <w:color w:val="000000"/>
          <w:kern w:val="0"/>
          <w:szCs w:val="30"/>
        </w:rPr>
        <w:t>3.5临时用地符合土地规划情况</w:t>
      </w:r>
      <w:bookmarkEnd w:id="46"/>
    </w:p>
    <w:p>
      <w:pPr>
        <w:pStyle w:val="11"/>
        <w:ind w:firstLine="528"/>
        <w:rPr>
          <w:rFonts w:hint="eastAsia"/>
          <w:color w:val="000000"/>
          <w:spacing w:val="12"/>
        </w:rPr>
      </w:pPr>
      <w:r>
        <w:rPr>
          <w:rFonts w:hint="eastAsia"/>
          <w:color w:val="000000"/>
          <w:spacing w:val="12"/>
        </w:rPr>
        <w:t>根据《西畴县三区三线划定成果》，通过图斑叠加分析，临时用地不占生态保护红线和永久基本农田。</w:t>
      </w:r>
    </w:p>
    <w:p>
      <w:pPr>
        <w:pStyle w:val="3"/>
        <w:adjustRightInd w:val="0"/>
        <w:snapToGrid w:val="0"/>
        <w:spacing w:before="0" w:after="0"/>
        <w:ind w:firstLine="0" w:firstLineChars="0"/>
        <w:jc w:val="both"/>
        <w:rPr>
          <w:color w:val="000000"/>
          <w:kern w:val="0"/>
          <w:szCs w:val="32"/>
        </w:rPr>
      </w:pPr>
      <w:r>
        <w:rPr>
          <w:rFonts w:hint="eastAsia"/>
          <w:color w:val="000000"/>
          <w:kern w:val="0"/>
          <w:szCs w:val="32"/>
          <w:highlight w:val="yellow"/>
        </w:rPr>
        <w:br w:type="page"/>
      </w:r>
      <w:bookmarkEnd w:id="47"/>
      <w:bookmarkStart w:id="48" w:name="_Toc35614674"/>
      <w:bookmarkStart w:id="49" w:name="_Toc306776402"/>
      <w:bookmarkStart w:id="50" w:name="_Toc25259"/>
      <w:r>
        <w:rPr>
          <w:rFonts w:hint="eastAsia"/>
          <w:color w:val="000000"/>
          <w:kern w:val="0"/>
          <w:szCs w:val="32"/>
        </w:rPr>
        <w:t>4</w:t>
      </w:r>
      <w:r>
        <w:rPr>
          <w:color w:val="000000"/>
          <w:kern w:val="0"/>
          <w:szCs w:val="32"/>
        </w:rPr>
        <w:t>土地复垦方向可行性分析</w:t>
      </w:r>
      <w:bookmarkEnd w:id="48"/>
      <w:bookmarkEnd w:id="49"/>
      <w:bookmarkEnd w:id="50"/>
    </w:p>
    <w:p>
      <w:pPr>
        <w:pStyle w:val="4"/>
        <w:spacing w:before="0" w:after="0"/>
        <w:ind w:firstLine="0" w:firstLineChars="0"/>
        <w:rPr>
          <w:color w:val="000000"/>
          <w:kern w:val="0"/>
          <w:szCs w:val="30"/>
        </w:rPr>
      </w:pPr>
      <w:bookmarkStart w:id="51" w:name="_Toc35614675"/>
      <w:bookmarkStart w:id="52" w:name="_Toc16607"/>
      <w:bookmarkStart w:id="53" w:name="_Toc306776403"/>
      <w:r>
        <w:rPr>
          <w:rFonts w:hint="eastAsia"/>
          <w:color w:val="000000"/>
          <w:kern w:val="0"/>
          <w:szCs w:val="30"/>
        </w:rPr>
        <w:t>4</w:t>
      </w:r>
      <w:r>
        <w:rPr>
          <w:color w:val="000000"/>
          <w:kern w:val="0"/>
          <w:szCs w:val="30"/>
        </w:rPr>
        <w:t>.1土地损毁分析与预测</w:t>
      </w:r>
      <w:bookmarkEnd w:id="51"/>
      <w:bookmarkEnd w:id="52"/>
      <w:bookmarkEnd w:id="53"/>
    </w:p>
    <w:p>
      <w:pPr>
        <w:pStyle w:val="5"/>
        <w:adjustRightInd w:val="0"/>
        <w:snapToGrid w:val="0"/>
        <w:spacing w:before="0" w:after="0" w:line="360" w:lineRule="auto"/>
        <w:ind w:left="101" w:hanging="100" w:hangingChars="36"/>
        <w:rPr>
          <w:color w:val="000000"/>
          <w:szCs w:val="28"/>
        </w:rPr>
      </w:pPr>
      <w:r>
        <w:rPr>
          <w:rFonts w:hint="eastAsia"/>
          <w:color w:val="000000"/>
          <w:szCs w:val="28"/>
        </w:rPr>
        <w:t>4</w:t>
      </w:r>
      <w:r>
        <w:rPr>
          <w:color w:val="000000"/>
          <w:szCs w:val="28"/>
        </w:rPr>
        <w:t>.1.1</w:t>
      </w:r>
      <w:r>
        <w:rPr>
          <w:rFonts w:hint="eastAsia"/>
          <w:color w:val="000000"/>
          <w:szCs w:val="28"/>
        </w:rPr>
        <w:t>土地损毁环节和时序</w:t>
      </w:r>
    </w:p>
    <w:p>
      <w:pPr>
        <w:overflowPunct w:val="0"/>
        <w:adjustRightInd w:val="0"/>
        <w:snapToGrid w:val="0"/>
        <w:ind w:firstLine="528"/>
        <w:outlineLvl w:val="2"/>
        <w:rPr>
          <w:color w:val="000000"/>
          <w:spacing w:val="12"/>
          <w:szCs w:val="24"/>
        </w:rPr>
      </w:pPr>
      <w:r>
        <w:rPr>
          <w:color w:val="000000"/>
          <w:spacing w:val="12"/>
          <w:szCs w:val="24"/>
        </w:rPr>
        <w:t>a）永久用地</w:t>
      </w:r>
    </w:p>
    <w:p>
      <w:pPr>
        <w:overflowPunct w:val="0"/>
        <w:adjustRightInd w:val="0"/>
        <w:snapToGrid w:val="0"/>
        <w:ind w:firstLine="528"/>
        <w:rPr>
          <w:color w:val="000000"/>
          <w:spacing w:val="12"/>
          <w:szCs w:val="24"/>
        </w:rPr>
      </w:pPr>
      <w:r>
        <w:rPr>
          <w:color w:val="000000"/>
          <w:spacing w:val="12"/>
          <w:szCs w:val="24"/>
        </w:rPr>
        <w:t>根据该项目《初设》报告，</w:t>
      </w:r>
      <w:r>
        <w:rPr>
          <w:rFonts w:hint="eastAsia"/>
          <w:color w:val="000000"/>
          <w:spacing w:val="12"/>
          <w:szCs w:val="24"/>
        </w:rPr>
        <w:t>西富</w:t>
      </w:r>
      <w:r>
        <w:rPr>
          <w:color w:val="000000"/>
          <w:spacing w:val="12"/>
          <w:szCs w:val="24"/>
        </w:rPr>
        <w:t>高速永久用地共分为路基、桥梁、涵洞、隧道、路线交叉及附属设施等，这些区域征地将永久使用，因此不参与损毁分析。</w:t>
      </w:r>
    </w:p>
    <w:p>
      <w:pPr>
        <w:overflowPunct w:val="0"/>
        <w:adjustRightInd w:val="0"/>
        <w:snapToGrid w:val="0"/>
        <w:ind w:firstLine="528"/>
        <w:outlineLvl w:val="2"/>
        <w:rPr>
          <w:color w:val="000000"/>
          <w:spacing w:val="12"/>
          <w:szCs w:val="24"/>
        </w:rPr>
      </w:pPr>
      <w:r>
        <w:rPr>
          <w:color w:val="000000"/>
          <w:spacing w:val="12"/>
          <w:szCs w:val="24"/>
        </w:rPr>
        <w:t>b）临时用地工程施工工艺</w:t>
      </w:r>
    </w:p>
    <w:p>
      <w:pPr>
        <w:overflowPunct w:val="0"/>
        <w:adjustRightInd w:val="0"/>
        <w:snapToGrid w:val="0"/>
        <w:ind w:firstLine="528"/>
        <w:rPr>
          <w:color w:val="000000"/>
          <w:spacing w:val="12"/>
          <w:szCs w:val="24"/>
        </w:rPr>
      </w:pPr>
      <w:r>
        <w:rPr>
          <w:color w:val="000000"/>
          <w:spacing w:val="12"/>
          <w:szCs w:val="24"/>
        </w:rPr>
        <w:t>1）弃</w:t>
      </w:r>
      <w:r>
        <w:rPr>
          <w:rFonts w:hint="eastAsia"/>
          <w:color w:val="000000"/>
          <w:spacing w:val="12"/>
          <w:szCs w:val="24"/>
        </w:rPr>
        <w:t>土</w:t>
      </w:r>
      <w:r>
        <w:rPr>
          <w:color w:val="000000"/>
          <w:spacing w:val="12"/>
          <w:szCs w:val="24"/>
        </w:rPr>
        <w:t>场</w:t>
      </w:r>
    </w:p>
    <w:p>
      <w:pPr>
        <w:ind w:firstLine="528"/>
        <w:rPr>
          <w:color w:val="000000"/>
          <w:spacing w:val="12"/>
          <w:szCs w:val="24"/>
        </w:rPr>
      </w:pPr>
      <w:r>
        <w:rPr>
          <w:color w:val="000000"/>
          <w:spacing w:val="12"/>
          <w:szCs w:val="24"/>
        </w:rPr>
        <w:t>弃</w:t>
      </w:r>
      <w:r>
        <w:rPr>
          <w:rFonts w:hint="eastAsia"/>
          <w:color w:val="000000"/>
          <w:spacing w:val="12"/>
          <w:szCs w:val="24"/>
        </w:rPr>
        <w:t>土</w:t>
      </w:r>
      <w:r>
        <w:rPr>
          <w:color w:val="000000"/>
          <w:spacing w:val="12"/>
          <w:szCs w:val="24"/>
        </w:rPr>
        <w:t>场主要作为施工时产生的弃土、石渣等废弃物的堆放地。弃</w:t>
      </w:r>
      <w:r>
        <w:rPr>
          <w:rFonts w:hint="eastAsia"/>
          <w:color w:val="000000"/>
          <w:spacing w:val="12"/>
          <w:szCs w:val="24"/>
        </w:rPr>
        <w:t>土</w:t>
      </w:r>
      <w:r>
        <w:rPr>
          <w:color w:val="000000"/>
          <w:spacing w:val="12"/>
          <w:szCs w:val="24"/>
        </w:rPr>
        <w:t>场首先施工挡土</w:t>
      </w:r>
      <w:r>
        <w:rPr>
          <w:rFonts w:hint="eastAsia"/>
          <w:color w:val="000000"/>
          <w:spacing w:val="12"/>
          <w:szCs w:val="24"/>
        </w:rPr>
        <w:t>墙</w:t>
      </w:r>
      <w:r>
        <w:rPr>
          <w:color w:val="000000"/>
          <w:spacing w:val="12"/>
          <w:szCs w:val="24"/>
        </w:rPr>
        <w:t>和排水设施。弃</w:t>
      </w:r>
      <w:r>
        <w:rPr>
          <w:rFonts w:hint="eastAsia"/>
          <w:color w:val="000000"/>
          <w:spacing w:val="12"/>
          <w:szCs w:val="24"/>
        </w:rPr>
        <w:t>土</w:t>
      </w:r>
      <w:r>
        <w:rPr>
          <w:color w:val="000000"/>
          <w:spacing w:val="12"/>
          <w:szCs w:val="24"/>
        </w:rPr>
        <w:t>前剥离表土，并将表土集中堆置处理，对其临时</w:t>
      </w:r>
      <w:r>
        <w:rPr>
          <w:rFonts w:hint="eastAsia"/>
          <w:color w:val="000000"/>
          <w:spacing w:val="12"/>
          <w:szCs w:val="24"/>
        </w:rPr>
        <w:t>表土堆放</w:t>
      </w:r>
      <w:r>
        <w:rPr>
          <w:color w:val="000000"/>
          <w:spacing w:val="12"/>
          <w:szCs w:val="24"/>
        </w:rPr>
        <w:t>场地采取必要的防护措施。弃</w:t>
      </w:r>
      <w:r>
        <w:rPr>
          <w:rFonts w:hint="eastAsia"/>
          <w:color w:val="000000"/>
          <w:spacing w:val="12"/>
          <w:szCs w:val="24"/>
        </w:rPr>
        <w:t>土</w:t>
      </w:r>
      <w:r>
        <w:rPr>
          <w:color w:val="000000"/>
          <w:spacing w:val="12"/>
          <w:szCs w:val="24"/>
        </w:rPr>
        <w:t>时应从低处分层堆弃，经压实后再堆弃上一层。为节约用地，弃</w:t>
      </w:r>
      <w:r>
        <w:rPr>
          <w:rFonts w:hint="eastAsia"/>
          <w:color w:val="000000"/>
          <w:spacing w:val="12"/>
          <w:szCs w:val="24"/>
        </w:rPr>
        <w:t>土</w:t>
      </w:r>
      <w:r>
        <w:rPr>
          <w:color w:val="000000"/>
          <w:spacing w:val="12"/>
          <w:szCs w:val="24"/>
        </w:rPr>
        <w:t>结束后场地经机械推平压实，弃</w:t>
      </w:r>
      <w:r>
        <w:rPr>
          <w:rFonts w:hint="eastAsia"/>
          <w:color w:val="000000"/>
          <w:spacing w:val="12"/>
          <w:szCs w:val="24"/>
        </w:rPr>
        <w:t>土</w:t>
      </w:r>
      <w:r>
        <w:rPr>
          <w:color w:val="000000"/>
          <w:spacing w:val="12"/>
          <w:szCs w:val="24"/>
        </w:rPr>
        <w:t>场使用结束后需要表土回覆并恢复植被或复耕。弃</w:t>
      </w:r>
      <w:r>
        <w:rPr>
          <w:rFonts w:hint="eastAsia"/>
          <w:color w:val="000000"/>
          <w:spacing w:val="12"/>
          <w:szCs w:val="24"/>
        </w:rPr>
        <w:t>土</w:t>
      </w:r>
      <w:r>
        <w:rPr>
          <w:color w:val="000000"/>
          <w:spacing w:val="12"/>
          <w:szCs w:val="24"/>
        </w:rPr>
        <w:t>场损毁方式为压占。</w:t>
      </w:r>
    </w:p>
    <w:p>
      <w:pPr>
        <w:overflowPunct w:val="0"/>
        <w:adjustRightInd w:val="0"/>
        <w:snapToGrid w:val="0"/>
        <w:ind w:firstLine="528"/>
        <w:rPr>
          <w:rFonts w:hint="eastAsia"/>
          <w:color w:val="000000"/>
          <w:spacing w:val="12"/>
          <w:szCs w:val="24"/>
        </w:rPr>
      </w:pPr>
      <w:r>
        <w:rPr>
          <w:color w:val="000000"/>
          <w:spacing w:val="12"/>
          <w:szCs w:val="24"/>
        </w:rPr>
        <w:t>2）</w:t>
      </w:r>
      <w:r>
        <w:rPr>
          <w:rFonts w:hint="eastAsia"/>
          <w:bCs/>
          <w:szCs w:val="24"/>
        </w:rPr>
        <w:t>拌合站</w:t>
      </w:r>
    </w:p>
    <w:p>
      <w:pPr>
        <w:overflowPunct w:val="0"/>
        <w:adjustRightInd w:val="0"/>
        <w:snapToGrid w:val="0"/>
        <w:ind w:firstLine="528"/>
        <w:rPr>
          <w:color w:val="000000"/>
          <w:spacing w:val="12"/>
          <w:szCs w:val="24"/>
        </w:rPr>
      </w:pPr>
      <w:r>
        <w:rPr>
          <w:color w:val="000000"/>
          <w:spacing w:val="12"/>
          <w:szCs w:val="24"/>
        </w:rPr>
        <w:t>拌合站主要为</w:t>
      </w:r>
      <w:r>
        <w:rPr>
          <w:rFonts w:hint="eastAsia"/>
          <w:color w:val="000000"/>
          <w:spacing w:val="12"/>
          <w:szCs w:val="24"/>
        </w:rPr>
        <w:t>西富高速</w:t>
      </w:r>
      <w:r>
        <w:rPr>
          <w:color w:val="000000"/>
          <w:spacing w:val="12"/>
          <w:szCs w:val="24"/>
        </w:rPr>
        <w:t>建设提供混凝土，混凝土拌合站选择在道路沿线地势较平坦的地方。施工时先清理地表覆盖物，剥离表层土，进行场地平整，即开始修建建筑物，保证与后续材料、机械设备进出场合理衔接；应及时开挖临时排水沟，以免在雨季时引起水土流失或影响施工进度。混凝土拌合站土地损毁方式既有前期的挖损，也有施工过程中各种施工机械和材料的压占以及后期建筑物的压占，但土地损毁以压占为主。</w:t>
      </w:r>
    </w:p>
    <w:p>
      <w:pPr>
        <w:overflowPunct w:val="0"/>
        <w:adjustRightInd w:val="0"/>
        <w:snapToGrid w:val="0"/>
        <w:ind w:firstLine="528"/>
        <w:outlineLvl w:val="2"/>
        <w:rPr>
          <w:color w:val="000000"/>
          <w:spacing w:val="12"/>
          <w:szCs w:val="24"/>
        </w:rPr>
      </w:pPr>
      <w:r>
        <w:rPr>
          <w:color w:val="000000"/>
          <w:spacing w:val="12"/>
          <w:szCs w:val="24"/>
        </w:rPr>
        <w:t>c）施工工艺造成的土地损毁环节</w:t>
      </w:r>
    </w:p>
    <w:p>
      <w:pPr>
        <w:overflowPunct w:val="0"/>
        <w:adjustRightInd w:val="0"/>
        <w:snapToGrid w:val="0"/>
        <w:ind w:firstLine="528"/>
        <w:rPr>
          <w:color w:val="000000"/>
          <w:spacing w:val="12"/>
          <w:szCs w:val="24"/>
          <w:highlight w:val="yellow"/>
        </w:rPr>
      </w:pPr>
      <w:r>
        <w:rPr>
          <w:color w:val="000000"/>
          <w:spacing w:val="12"/>
          <w:szCs w:val="24"/>
        </w:rPr>
        <w:t>该项目主体工程于202</w:t>
      </w:r>
      <w:r>
        <w:rPr>
          <w:rFonts w:hint="eastAsia"/>
          <w:color w:val="000000"/>
          <w:spacing w:val="12"/>
          <w:szCs w:val="24"/>
        </w:rPr>
        <w:t>3</w:t>
      </w:r>
      <w:r>
        <w:rPr>
          <w:color w:val="000000"/>
          <w:spacing w:val="12"/>
          <w:szCs w:val="24"/>
        </w:rPr>
        <w:t>年</w:t>
      </w:r>
      <w:r>
        <w:rPr>
          <w:rFonts w:hint="eastAsia"/>
          <w:color w:val="000000"/>
          <w:spacing w:val="12"/>
          <w:szCs w:val="24"/>
        </w:rPr>
        <w:t>1</w:t>
      </w:r>
      <w:r>
        <w:rPr>
          <w:color w:val="000000"/>
          <w:spacing w:val="12"/>
          <w:szCs w:val="24"/>
        </w:rPr>
        <w:t>月开工，202</w:t>
      </w:r>
      <w:r>
        <w:rPr>
          <w:rFonts w:hint="eastAsia"/>
          <w:color w:val="000000"/>
          <w:spacing w:val="12"/>
          <w:szCs w:val="24"/>
        </w:rPr>
        <w:t>6</w:t>
      </w:r>
      <w:r>
        <w:rPr>
          <w:color w:val="000000"/>
          <w:spacing w:val="12"/>
          <w:szCs w:val="24"/>
        </w:rPr>
        <w:t>年</w:t>
      </w:r>
      <w:r>
        <w:rPr>
          <w:rFonts w:hint="eastAsia"/>
          <w:color w:val="000000"/>
          <w:spacing w:val="12"/>
          <w:szCs w:val="24"/>
        </w:rPr>
        <w:t>12</w:t>
      </w:r>
      <w:r>
        <w:rPr>
          <w:color w:val="000000"/>
          <w:spacing w:val="12"/>
          <w:szCs w:val="24"/>
        </w:rPr>
        <w:t>月底完工。通过对上述施工工艺介绍，可看出临时用地建设对土地的损毁环节主要是压占。其环节为以下几个方面：</w:t>
      </w:r>
    </w:p>
    <w:p>
      <w:pPr>
        <w:overflowPunct w:val="0"/>
        <w:adjustRightInd w:val="0"/>
        <w:snapToGrid w:val="0"/>
        <w:ind w:firstLine="528"/>
        <w:rPr>
          <w:color w:val="000000"/>
          <w:spacing w:val="12"/>
          <w:szCs w:val="24"/>
        </w:rPr>
      </w:pPr>
      <w:bookmarkStart w:id="54" w:name="_Toc369182141"/>
      <w:r>
        <w:rPr>
          <w:color w:val="000000"/>
          <w:spacing w:val="12"/>
          <w:szCs w:val="24"/>
        </w:rPr>
        <w:t>1）表土剥离和存放</w:t>
      </w:r>
    </w:p>
    <w:p>
      <w:pPr>
        <w:overflowPunct w:val="0"/>
        <w:adjustRightInd w:val="0"/>
        <w:snapToGrid w:val="0"/>
        <w:ind w:firstLine="528"/>
        <w:rPr>
          <w:color w:val="000000"/>
          <w:spacing w:val="12"/>
          <w:szCs w:val="24"/>
          <w:highlight w:val="yellow"/>
        </w:rPr>
      </w:pPr>
      <w:r>
        <w:rPr>
          <w:color w:val="000000"/>
          <w:spacing w:val="12"/>
          <w:szCs w:val="24"/>
        </w:rPr>
        <w:t>为了保护不可再生的土地资源，本项目在施工建设之前先进行表土剥离，表土剥离对土地造成损毁的方式为挖损。剥离的表土集中存放在临时用地内设的表土堆场，表土的存放对土地造成损毁的方式为压占。</w:t>
      </w:r>
    </w:p>
    <w:bookmarkEnd w:id="54"/>
    <w:p>
      <w:pPr>
        <w:overflowPunct w:val="0"/>
        <w:adjustRightInd w:val="0"/>
        <w:snapToGrid w:val="0"/>
        <w:ind w:firstLine="528"/>
        <w:rPr>
          <w:color w:val="000000"/>
          <w:spacing w:val="12"/>
          <w:szCs w:val="24"/>
        </w:rPr>
      </w:pPr>
      <w:r>
        <w:rPr>
          <w:color w:val="000000"/>
          <w:spacing w:val="12"/>
          <w:szCs w:val="24"/>
        </w:rPr>
        <w:t>2）场地平整</w:t>
      </w:r>
    </w:p>
    <w:p>
      <w:pPr>
        <w:overflowPunct w:val="0"/>
        <w:adjustRightInd w:val="0"/>
        <w:snapToGrid w:val="0"/>
        <w:ind w:firstLine="528"/>
        <w:rPr>
          <w:color w:val="000000"/>
          <w:spacing w:val="12"/>
          <w:szCs w:val="24"/>
        </w:rPr>
      </w:pPr>
      <w:r>
        <w:rPr>
          <w:color w:val="000000"/>
          <w:spacing w:val="12"/>
          <w:szCs w:val="24"/>
        </w:rPr>
        <w:t>为了使各临时用地满足施工要求，在表土剥离后还应对施工场地进行平整，对临时用地造成压占。</w:t>
      </w:r>
    </w:p>
    <w:p>
      <w:pPr>
        <w:overflowPunct w:val="0"/>
        <w:adjustRightInd w:val="0"/>
        <w:snapToGrid w:val="0"/>
        <w:ind w:firstLine="528"/>
        <w:rPr>
          <w:color w:val="000000"/>
          <w:spacing w:val="12"/>
          <w:szCs w:val="24"/>
        </w:rPr>
      </w:pPr>
      <w:r>
        <w:rPr>
          <w:color w:val="000000"/>
          <w:spacing w:val="12"/>
          <w:szCs w:val="24"/>
        </w:rPr>
        <w:t>3）各类设施用地的建设</w:t>
      </w:r>
    </w:p>
    <w:p>
      <w:pPr>
        <w:overflowPunct w:val="0"/>
        <w:adjustRightInd w:val="0"/>
        <w:snapToGrid w:val="0"/>
        <w:ind w:firstLine="528"/>
        <w:rPr>
          <w:color w:val="000000"/>
          <w:spacing w:val="12"/>
          <w:szCs w:val="24"/>
        </w:rPr>
      </w:pPr>
      <w:r>
        <w:rPr>
          <w:color w:val="000000"/>
          <w:spacing w:val="12"/>
          <w:szCs w:val="24"/>
        </w:rPr>
        <w:t>完成表土剥离后，开始对各类设施用地进行建设，弃</w:t>
      </w:r>
      <w:r>
        <w:rPr>
          <w:rFonts w:hint="eastAsia"/>
          <w:color w:val="000000"/>
          <w:spacing w:val="12"/>
          <w:szCs w:val="24"/>
        </w:rPr>
        <w:t>土</w:t>
      </w:r>
      <w:r>
        <w:rPr>
          <w:color w:val="000000"/>
          <w:spacing w:val="12"/>
          <w:szCs w:val="24"/>
        </w:rPr>
        <w:t>场</w:t>
      </w:r>
      <w:r>
        <w:rPr>
          <w:rFonts w:hint="eastAsia"/>
          <w:color w:val="000000"/>
          <w:spacing w:val="12"/>
          <w:szCs w:val="24"/>
        </w:rPr>
        <w:t>、拌合站</w:t>
      </w:r>
      <w:r>
        <w:rPr>
          <w:color w:val="000000"/>
          <w:spacing w:val="12"/>
          <w:szCs w:val="24"/>
        </w:rPr>
        <w:t>造成的损毁方式为压占。</w:t>
      </w:r>
    </w:p>
    <w:p>
      <w:pPr>
        <w:overflowPunct w:val="0"/>
        <w:adjustRightInd w:val="0"/>
        <w:snapToGrid w:val="0"/>
        <w:ind w:firstLine="528"/>
        <w:rPr>
          <w:color w:val="000000"/>
          <w:spacing w:val="12"/>
          <w:szCs w:val="24"/>
        </w:rPr>
      </w:pPr>
      <w:r>
        <w:rPr>
          <w:color w:val="000000"/>
          <w:spacing w:val="12"/>
          <w:szCs w:val="24"/>
        </w:rPr>
        <w:t>4）施工机械运作</w:t>
      </w:r>
    </w:p>
    <w:p>
      <w:pPr>
        <w:overflowPunct w:val="0"/>
        <w:adjustRightInd w:val="0"/>
        <w:snapToGrid w:val="0"/>
        <w:ind w:firstLine="528"/>
        <w:rPr>
          <w:color w:val="000000"/>
          <w:spacing w:val="12"/>
          <w:szCs w:val="24"/>
        </w:rPr>
      </w:pPr>
      <w:r>
        <w:rPr>
          <w:color w:val="000000"/>
          <w:spacing w:val="12"/>
          <w:szCs w:val="24"/>
        </w:rPr>
        <w:t>建设完工后将有施工机械进入临时用地，施工机械的停放和运作会造成对土地的压占。</w:t>
      </w:r>
    </w:p>
    <w:p>
      <w:pPr>
        <w:overflowPunct w:val="0"/>
        <w:adjustRightInd w:val="0"/>
        <w:snapToGrid w:val="0"/>
        <w:ind w:firstLine="528"/>
        <w:rPr>
          <w:color w:val="000000"/>
          <w:spacing w:val="12"/>
          <w:szCs w:val="24"/>
        </w:rPr>
      </w:pPr>
      <w:r>
        <w:rPr>
          <w:color w:val="000000"/>
          <w:spacing w:val="12"/>
          <w:szCs w:val="24"/>
        </w:rPr>
        <w:t>综合以上分析，该临时用地建设过程中将导致对土地不同形式的损毁，工程建设对临时土地的损毁方式主要表现为压占。具体损毁环节与方式如下：</w:t>
      </w:r>
    </w:p>
    <w:p>
      <w:pPr>
        <w:ind w:firstLine="480"/>
        <w:jc w:val="center"/>
        <w:rPr>
          <w:rFonts w:eastAsia="黑体"/>
          <w:szCs w:val="21"/>
        </w:rPr>
      </w:pPr>
      <w:r>
        <w:rPr>
          <w:rFonts w:eastAsia="黑体"/>
          <w:szCs w:val="21"/>
        </w:rPr>
        <w:drawing>
          <wp:inline distT="0" distB="0" distL="114300" distR="114300">
            <wp:extent cx="4775200" cy="2686685"/>
            <wp:effectExtent l="0" t="0" r="6350" b="18415"/>
            <wp:docPr id="6" name="图片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descr="4"/>
                    <pic:cNvPicPr>
                      <a:picLocks noChangeAspect="1"/>
                    </pic:cNvPicPr>
                  </pic:nvPicPr>
                  <pic:blipFill>
                    <a:blip r:embed="rId28"/>
                    <a:srcRect r="4808" b="11588"/>
                    <a:stretch>
                      <a:fillRect/>
                    </a:stretch>
                  </pic:blipFill>
                  <pic:spPr>
                    <a:xfrm>
                      <a:off x="0" y="0"/>
                      <a:ext cx="4775200" cy="2686685"/>
                    </a:xfrm>
                    <a:prstGeom prst="rect">
                      <a:avLst/>
                    </a:prstGeom>
                    <a:noFill/>
                    <a:ln>
                      <a:noFill/>
                    </a:ln>
                  </pic:spPr>
                </pic:pic>
              </a:graphicData>
            </a:graphic>
          </wp:inline>
        </w:drawing>
      </w:r>
    </w:p>
    <w:p>
      <w:pPr>
        <w:ind w:firstLine="420"/>
        <w:jc w:val="center"/>
        <w:rPr>
          <w:rFonts w:hint="eastAsia" w:eastAsia="黑体"/>
          <w:bCs/>
          <w:sz w:val="21"/>
          <w:szCs w:val="20"/>
        </w:rPr>
      </w:pPr>
      <w:r>
        <w:rPr>
          <w:rFonts w:hint="eastAsia" w:eastAsia="黑体"/>
          <w:bCs/>
          <w:sz w:val="21"/>
          <w:szCs w:val="20"/>
        </w:rPr>
        <w:t>图4</w:t>
      </w:r>
      <w:r>
        <w:rPr>
          <w:rFonts w:eastAsia="黑体"/>
          <w:bCs/>
          <w:sz w:val="21"/>
          <w:szCs w:val="20"/>
        </w:rPr>
        <w:t>.1-1损毁土地环节分析</w:t>
      </w:r>
      <w:r>
        <w:rPr>
          <w:rFonts w:hint="eastAsia" w:eastAsia="黑体"/>
          <w:bCs/>
          <w:sz w:val="21"/>
          <w:szCs w:val="20"/>
        </w:rPr>
        <w:t>图</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4.1.2已损毁土地现状</w:t>
      </w:r>
    </w:p>
    <w:p>
      <w:pPr>
        <w:overflowPunct w:val="0"/>
        <w:adjustRightInd w:val="0"/>
        <w:snapToGrid w:val="0"/>
        <w:ind w:firstLine="528"/>
        <w:rPr>
          <w:color w:val="000000"/>
          <w:spacing w:val="12"/>
          <w:szCs w:val="24"/>
        </w:rPr>
      </w:pPr>
      <w:r>
        <w:rPr>
          <w:rFonts w:hint="eastAsia"/>
          <w:color w:val="000000"/>
          <w:spacing w:val="12"/>
          <w:szCs w:val="24"/>
        </w:rPr>
        <w:t>根据西畴至富宁高速公路建设项目建设的特点，项目除主体工程外可能对土地造成破坏是围绕项目建设产生的临时用地，如弃土场、拌合站为压占，将已经建成并使用结束或者仍在使用但不会造成新的损毁的地块视为已损毁。该项目主体工程于2023年1月开工，2026年12月底完工，</w:t>
      </w:r>
      <w:r>
        <w:rPr>
          <w:rFonts w:hint="eastAsia"/>
        </w:rPr>
        <w:t>本项目涉及的临时用地地块为第一期临时用地，还未投入使用，因此不涉及已损毁土地</w:t>
      </w:r>
      <w:r>
        <w:rPr>
          <w:rFonts w:hint="eastAsia"/>
          <w:color w:val="000000"/>
          <w:spacing w:val="12"/>
          <w:szCs w:val="24"/>
        </w:rPr>
        <w:t>。</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w:t>
      </w:r>
      <w:r>
        <w:rPr>
          <w:color w:val="000000"/>
          <w:szCs w:val="28"/>
        </w:rPr>
        <w:t>.1.</w:t>
      </w:r>
      <w:r>
        <w:rPr>
          <w:rFonts w:hint="eastAsia"/>
          <w:color w:val="000000"/>
          <w:szCs w:val="28"/>
        </w:rPr>
        <w:t>3</w:t>
      </w:r>
      <w:r>
        <w:rPr>
          <w:color w:val="000000"/>
          <w:szCs w:val="28"/>
        </w:rPr>
        <w:t>拟损毁土地预测</w:t>
      </w:r>
    </w:p>
    <w:p>
      <w:pPr>
        <w:overflowPunct w:val="0"/>
        <w:adjustRightInd w:val="0"/>
        <w:snapToGrid w:val="0"/>
        <w:ind w:firstLine="528"/>
        <w:rPr>
          <w:rFonts w:hint="eastAsia"/>
          <w:color w:val="000000"/>
          <w:spacing w:val="12"/>
          <w:szCs w:val="24"/>
        </w:rPr>
      </w:pPr>
      <w:bookmarkStart w:id="55" w:name="_Hlk38612504"/>
      <w:r>
        <w:rPr>
          <w:rFonts w:hint="eastAsia"/>
          <w:color w:val="000000"/>
          <w:spacing w:val="12"/>
          <w:szCs w:val="24"/>
        </w:rPr>
        <w:t>本项目主体工程于2023年1月开始施工，地块均还未施工，根据实地踏勘得知，本期临时用地部分地块均还未建设未投入使用，所以本期临时用地地块均为拟损毁土地，针对拟损毁地块分析如下：</w:t>
      </w:r>
      <w:bookmarkEnd w:id="55"/>
    </w:p>
    <w:p>
      <w:pPr>
        <w:overflowPunct w:val="0"/>
        <w:adjustRightInd w:val="0"/>
        <w:snapToGrid w:val="0"/>
        <w:ind w:firstLine="528"/>
        <w:outlineLvl w:val="2"/>
        <w:rPr>
          <w:rFonts w:hint="eastAsia"/>
          <w:color w:val="000000"/>
          <w:spacing w:val="12"/>
          <w:szCs w:val="24"/>
        </w:rPr>
      </w:pPr>
      <w:r>
        <w:rPr>
          <w:rFonts w:hint="eastAsia"/>
          <w:color w:val="000000"/>
          <w:spacing w:val="12"/>
          <w:szCs w:val="24"/>
        </w:rPr>
        <w:t>1）弃土场</w:t>
      </w:r>
    </w:p>
    <w:p>
      <w:pPr>
        <w:overflowPunct w:val="0"/>
        <w:adjustRightInd w:val="0"/>
        <w:snapToGrid w:val="0"/>
        <w:ind w:firstLine="528"/>
        <w:rPr>
          <w:rFonts w:hint="eastAsia"/>
          <w:color w:val="000000"/>
          <w:spacing w:val="12"/>
          <w:szCs w:val="24"/>
        </w:rPr>
      </w:pPr>
      <w:r>
        <w:rPr>
          <w:rFonts w:hint="eastAsia"/>
          <w:color w:val="000000"/>
          <w:spacing w:val="12"/>
          <w:szCs w:val="24"/>
        </w:rPr>
        <w:t>根据《初设》和《水保》资料，</w:t>
      </w:r>
      <w:r>
        <w:rPr>
          <w:rStyle w:val="32"/>
          <w:rFonts w:hint="eastAsia" w:eastAsia="宋体"/>
          <w:lang w:val="en-US" w:eastAsia="zh-CN"/>
        </w:rPr>
        <w:t>经过</w:t>
      </w:r>
      <w:r>
        <w:rPr>
          <w:rFonts w:hint="eastAsia"/>
          <w:color w:val="000000"/>
          <w:spacing w:val="12"/>
          <w:szCs w:val="24"/>
        </w:rPr>
        <w:t>实地踏勘，</w:t>
      </w:r>
      <w:r>
        <w:rPr>
          <w:rFonts w:hint="eastAsia"/>
          <w:color w:val="000000"/>
          <w:spacing w:val="12"/>
          <w:szCs w:val="24"/>
          <w:lang w:val="en-US" w:eastAsia="zh-CN"/>
        </w:rPr>
        <w:t>本期临时用地共</w:t>
      </w:r>
      <w:r>
        <w:rPr>
          <w:rFonts w:hint="eastAsia"/>
          <w:color w:val="000000"/>
          <w:spacing w:val="12"/>
          <w:szCs w:val="24"/>
        </w:rPr>
        <w:t>布设弃土场1处，占地1.9242hm</w:t>
      </w:r>
      <w:r>
        <w:rPr>
          <w:color w:val="000000"/>
          <w:spacing w:val="12"/>
          <w:szCs w:val="24"/>
        </w:rPr>
        <w:t>²</w:t>
      </w:r>
      <w:r>
        <w:rPr>
          <w:rFonts w:hint="eastAsia"/>
          <w:color w:val="000000"/>
          <w:spacing w:val="12"/>
          <w:szCs w:val="24"/>
        </w:rPr>
        <w:t>，设计库容为15.3936万m</w:t>
      </w:r>
      <w:r>
        <w:rPr>
          <w:color w:val="000000"/>
          <w:spacing w:val="12"/>
          <w:szCs w:val="24"/>
        </w:rPr>
        <w:t>³</w:t>
      </w:r>
      <w:r>
        <w:rPr>
          <w:rFonts w:hint="eastAsia"/>
          <w:color w:val="000000"/>
          <w:spacing w:val="12"/>
          <w:szCs w:val="24"/>
        </w:rPr>
        <w:t>，还未投入使用，预计弃土场堆积高度平均为8m，每隔10m设一级平台，土体平面做成微拱型，以利于向两侧排水，此外，为保证弃土的稳定性，主体工程在弃土场下方设置挡土墙。</w:t>
      </w:r>
      <w:r>
        <w:t>还未建设投入使用</w:t>
      </w:r>
      <w:r>
        <w:rPr>
          <w:color w:val="000000"/>
          <w:spacing w:val="12"/>
        </w:rPr>
        <w:t>，</w:t>
      </w:r>
      <w:r>
        <w:rPr>
          <w:rFonts w:hint="eastAsia"/>
          <w:color w:val="000000"/>
          <w:spacing w:val="12"/>
        </w:rPr>
        <w:t>为</w:t>
      </w:r>
      <w:r>
        <w:rPr>
          <w:color w:val="000000"/>
          <w:spacing w:val="12"/>
        </w:rPr>
        <w:t>拟损毁土地。</w:t>
      </w:r>
    </w:p>
    <w:p>
      <w:pPr>
        <w:overflowPunct w:val="0"/>
        <w:adjustRightInd w:val="0"/>
        <w:snapToGrid w:val="0"/>
        <w:ind w:firstLine="0" w:firstLineChars="0"/>
        <w:jc w:val="center"/>
        <w:rPr>
          <w:rFonts w:hint="eastAsia"/>
          <w:color w:val="000000"/>
          <w:spacing w:val="12"/>
          <w:szCs w:val="24"/>
        </w:rPr>
      </w:pPr>
      <w:r>
        <w:rPr>
          <w:rFonts w:hint="eastAsia"/>
          <w:color w:val="000000"/>
          <w:spacing w:val="12"/>
          <w:szCs w:val="24"/>
        </w:rPr>
        <w:drawing>
          <wp:inline distT="0" distB="0" distL="114300" distR="114300">
            <wp:extent cx="5264785" cy="3950335"/>
            <wp:effectExtent l="0" t="0" r="12065" b="12065"/>
            <wp:docPr id="7" name="图片 33" descr="11dc407fa4a0c9390a25115bcd1d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11dc407fa4a0c9390a25115bcd1d133"/>
                    <pic:cNvPicPr>
                      <a:picLocks noChangeAspect="1"/>
                    </pic:cNvPicPr>
                  </pic:nvPicPr>
                  <pic:blipFill>
                    <a:blip r:embed="rId29"/>
                    <a:stretch>
                      <a:fillRect/>
                    </a:stretch>
                  </pic:blipFill>
                  <pic:spPr>
                    <a:xfrm>
                      <a:off x="0" y="0"/>
                      <a:ext cx="5264785" cy="3950335"/>
                    </a:xfrm>
                    <a:prstGeom prst="rect">
                      <a:avLst/>
                    </a:prstGeom>
                    <a:noFill/>
                    <a:ln>
                      <a:noFill/>
                    </a:ln>
                  </pic:spPr>
                </pic:pic>
              </a:graphicData>
            </a:graphic>
          </wp:inline>
        </w:drawing>
      </w:r>
    </w:p>
    <w:p>
      <w:pPr>
        <w:snapToGrid w:val="0"/>
        <w:spacing w:line="276" w:lineRule="auto"/>
        <w:ind w:firstLine="420"/>
        <w:jc w:val="center"/>
        <w:rPr>
          <w:rFonts w:hint="eastAsia" w:eastAsia="黑体"/>
          <w:color w:val="000000"/>
          <w:kern w:val="4"/>
          <w:sz w:val="21"/>
          <w:szCs w:val="21"/>
        </w:rPr>
      </w:pPr>
      <w:r>
        <w:rPr>
          <w:rFonts w:hint="eastAsia" w:eastAsia="黑体"/>
          <w:color w:val="000000"/>
          <w:kern w:val="4"/>
          <w:sz w:val="21"/>
          <w:szCs w:val="21"/>
        </w:rPr>
        <w:t>照片4.1-2弃土场拟损毁现状</w:t>
      </w:r>
    </w:p>
    <w:p>
      <w:pPr>
        <w:overflowPunct w:val="0"/>
        <w:adjustRightInd w:val="0"/>
        <w:snapToGrid w:val="0"/>
        <w:ind w:firstLine="528"/>
        <w:outlineLvl w:val="2"/>
        <w:rPr>
          <w:rFonts w:hint="eastAsia"/>
          <w:color w:val="000000"/>
          <w:spacing w:val="12"/>
          <w:szCs w:val="24"/>
        </w:rPr>
      </w:pPr>
      <w:r>
        <w:rPr>
          <w:rFonts w:hint="eastAsia"/>
          <w:color w:val="000000"/>
          <w:spacing w:val="12"/>
          <w:szCs w:val="24"/>
        </w:rPr>
        <w:br w:type="page"/>
      </w:r>
      <w:r>
        <w:rPr>
          <w:rFonts w:hint="eastAsia"/>
          <w:color w:val="000000"/>
          <w:spacing w:val="12"/>
          <w:szCs w:val="24"/>
        </w:rPr>
        <w:t>2）拌合站</w:t>
      </w:r>
    </w:p>
    <w:p>
      <w:pPr>
        <w:pStyle w:val="11"/>
        <w:ind w:firstLine="528"/>
        <w:rPr>
          <w:rFonts w:eastAsia="仿宋_GB2312"/>
          <w:color w:val="000000"/>
          <w:spacing w:val="12"/>
        </w:rPr>
      </w:pPr>
      <w:r>
        <w:rPr>
          <w:rFonts w:eastAsia="仿宋_GB2312"/>
          <w:color w:val="000000"/>
          <w:spacing w:val="12"/>
        </w:rPr>
        <w:t>根据</w:t>
      </w:r>
      <w:r>
        <w:rPr>
          <w:rFonts w:hint="eastAsia" w:eastAsia="仿宋_GB2312"/>
          <w:color w:val="000000"/>
          <w:spacing w:val="12"/>
        </w:rPr>
        <w:t>主线的布设</w:t>
      </w:r>
      <w:r>
        <w:rPr>
          <w:rFonts w:eastAsia="仿宋_GB2312"/>
          <w:color w:val="000000"/>
          <w:spacing w:val="12"/>
        </w:rPr>
        <w:t>情况，结合</w:t>
      </w:r>
      <w:r>
        <w:rPr>
          <w:rFonts w:hint="eastAsia" w:eastAsia="仿宋_GB2312"/>
          <w:color w:val="000000"/>
          <w:spacing w:val="12"/>
        </w:rPr>
        <w:t>地形地貌</w:t>
      </w:r>
      <w:r>
        <w:rPr>
          <w:rFonts w:eastAsia="仿宋_GB2312"/>
          <w:color w:val="000000"/>
          <w:spacing w:val="12"/>
        </w:rPr>
        <w:t>布设</w:t>
      </w:r>
      <w:r>
        <w:rPr>
          <w:rFonts w:hint="eastAsia" w:eastAsia="仿宋_GB2312"/>
          <w:color w:val="000000"/>
          <w:spacing w:val="12"/>
        </w:rPr>
        <w:t>拌合站</w:t>
      </w:r>
      <w:r>
        <w:rPr>
          <w:rFonts w:eastAsia="仿宋_GB2312"/>
          <w:color w:val="000000"/>
          <w:spacing w:val="12"/>
        </w:rPr>
        <w:t>。</w:t>
      </w:r>
      <w:r>
        <w:rPr>
          <w:rFonts w:hint="eastAsia"/>
          <w:color w:val="000000"/>
          <w:spacing w:val="12"/>
          <w:szCs w:val="24"/>
          <w:lang w:val="en-US" w:eastAsia="zh-CN"/>
        </w:rPr>
        <w:t>本期临时用地共</w:t>
      </w:r>
      <w:r>
        <w:rPr>
          <w:rFonts w:eastAsia="仿宋_GB2312"/>
          <w:color w:val="000000"/>
          <w:spacing w:val="12"/>
        </w:rPr>
        <w:t>设置</w:t>
      </w:r>
      <w:r>
        <w:rPr>
          <w:rFonts w:hint="eastAsia" w:eastAsia="仿宋_GB2312"/>
          <w:color w:val="000000"/>
          <w:spacing w:val="12"/>
        </w:rPr>
        <w:t>拌合站</w:t>
      </w:r>
      <w:r>
        <w:rPr>
          <w:rFonts w:eastAsia="仿宋_GB2312"/>
          <w:color w:val="000000"/>
          <w:spacing w:val="12"/>
        </w:rPr>
        <w:t>，</w:t>
      </w:r>
      <w:r>
        <w:rPr>
          <w:rFonts w:hint="eastAsia" w:eastAsia="仿宋_GB2312"/>
          <w:color w:val="000000"/>
          <w:spacing w:val="12"/>
        </w:rPr>
        <w:t>作为西富</w:t>
      </w:r>
      <w:r>
        <w:rPr>
          <w:rFonts w:hint="eastAsia" w:ascii="仿宋_GB2312" w:hAnsi="仿宋_GB2312" w:eastAsia="仿宋_GB2312" w:cs="仿宋_GB2312"/>
          <w:color w:val="000000"/>
          <w:spacing w:val="12"/>
        </w:rPr>
        <w:t>高速建设提供混凝土</w:t>
      </w:r>
      <w:r>
        <w:rPr>
          <w:rFonts w:eastAsia="仿宋_GB2312"/>
          <w:color w:val="000000"/>
          <w:spacing w:val="12"/>
        </w:rPr>
        <w:t>。</w:t>
      </w:r>
      <w:r>
        <w:rPr>
          <w:rFonts w:hint="eastAsia" w:eastAsia="仿宋_GB2312"/>
          <w:color w:val="000000"/>
          <w:spacing w:val="12"/>
          <w:lang w:val="en-US" w:eastAsia="zh-CN"/>
        </w:rPr>
        <w:t>本</w:t>
      </w:r>
      <w:r>
        <w:rPr>
          <w:rFonts w:hint="eastAsia" w:eastAsia="仿宋_GB2312"/>
          <w:color w:val="000000"/>
          <w:spacing w:val="12"/>
        </w:rPr>
        <w:t>期临时用地</w:t>
      </w:r>
      <w:r>
        <w:rPr>
          <w:rFonts w:hint="eastAsia" w:eastAsia="仿宋_GB2312"/>
          <w:color w:val="000000"/>
          <w:spacing w:val="12"/>
          <w:lang w:val="en-US" w:eastAsia="zh-CN"/>
        </w:rPr>
        <w:t>共</w:t>
      </w:r>
      <w:r>
        <w:rPr>
          <w:rFonts w:hint="eastAsia" w:eastAsia="仿宋_GB2312"/>
          <w:color w:val="000000"/>
          <w:spacing w:val="12"/>
        </w:rPr>
        <w:t>设置1个拌合站，</w:t>
      </w:r>
      <w:r>
        <w:rPr>
          <w:rFonts w:eastAsia="仿宋_GB2312"/>
        </w:rPr>
        <w:t>还未建设投入使用</w:t>
      </w:r>
      <w:r>
        <w:rPr>
          <w:rFonts w:eastAsia="仿宋_GB2312"/>
          <w:color w:val="000000"/>
          <w:spacing w:val="12"/>
        </w:rPr>
        <w:t>，</w:t>
      </w:r>
      <w:r>
        <w:rPr>
          <w:rFonts w:hint="eastAsia" w:eastAsia="仿宋_GB2312"/>
          <w:color w:val="000000"/>
          <w:spacing w:val="12"/>
        </w:rPr>
        <w:t>为</w:t>
      </w:r>
      <w:r>
        <w:rPr>
          <w:rFonts w:eastAsia="仿宋_GB2312"/>
          <w:color w:val="000000"/>
          <w:spacing w:val="12"/>
        </w:rPr>
        <w:t>拟损毁土地。</w:t>
      </w:r>
    </w:p>
    <w:p>
      <w:pPr>
        <w:overflowPunct w:val="0"/>
        <w:adjustRightInd w:val="0"/>
        <w:snapToGrid w:val="0"/>
        <w:ind w:firstLine="0" w:firstLineChars="0"/>
        <w:jc w:val="center"/>
        <w:rPr>
          <w:rFonts w:hint="eastAsia"/>
          <w:color w:val="000000"/>
          <w:spacing w:val="12"/>
          <w:szCs w:val="24"/>
        </w:rPr>
      </w:pPr>
      <w:r>
        <w:rPr>
          <w:rFonts w:hint="eastAsia"/>
          <w:color w:val="000000"/>
          <w:spacing w:val="12"/>
          <w:szCs w:val="24"/>
        </w:rPr>
        <w:drawing>
          <wp:inline distT="0" distB="0" distL="114300" distR="114300">
            <wp:extent cx="5264785" cy="3950335"/>
            <wp:effectExtent l="0" t="0" r="12065" b="12065"/>
            <wp:docPr id="8" name="图片 35" descr="d516da40eee4377171c8c6f1ceac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descr="d516da40eee4377171c8c6f1ceac8f1"/>
                    <pic:cNvPicPr>
                      <a:picLocks noChangeAspect="1"/>
                    </pic:cNvPicPr>
                  </pic:nvPicPr>
                  <pic:blipFill>
                    <a:blip r:embed="rId30"/>
                    <a:stretch>
                      <a:fillRect/>
                    </a:stretch>
                  </pic:blipFill>
                  <pic:spPr>
                    <a:xfrm>
                      <a:off x="0" y="0"/>
                      <a:ext cx="5264785" cy="3950335"/>
                    </a:xfrm>
                    <a:prstGeom prst="rect">
                      <a:avLst/>
                    </a:prstGeom>
                    <a:noFill/>
                    <a:ln>
                      <a:noFill/>
                    </a:ln>
                  </pic:spPr>
                </pic:pic>
              </a:graphicData>
            </a:graphic>
          </wp:inline>
        </w:drawing>
      </w:r>
    </w:p>
    <w:p>
      <w:pPr>
        <w:snapToGrid w:val="0"/>
        <w:spacing w:line="276" w:lineRule="auto"/>
        <w:ind w:firstLine="0" w:firstLineChars="0"/>
        <w:jc w:val="center"/>
        <w:rPr>
          <w:color w:val="000000"/>
          <w:spacing w:val="12"/>
          <w:szCs w:val="24"/>
        </w:rPr>
      </w:pPr>
      <w:r>
        <w:rPr>
          <w:rFonts w:hint="eastAsia" w:eastAsia="黑体"/>
          <w:color w:val="000000"/>
          <w:kern w:val="4"/>
          <w:sz w:val="21"/>
          <w:szCs w:val="21"/>
        </w:rPr>
        <w:t>照片4.1-3拌合站拟损毁现状</w:t>
      </w:r>
    </w:p>
    <w:p>
      <w:pPr>
        <w:overflowPunct w:val="0"/>
        <w:adjustRightInd w:val="0"/>
        <w:snapToGrid w:val="0"/>
        <w:ind w:firstLine="528"/>
        <w:outlineLvl w:val="2"/>
        <w:rPr>
          <w:rFonts w:hint="eastAsia"/>
          <w:color w:val="000000"/>
          <w:spacing w:val="12"/>
          <w:szCs w:val="24"/>
        </w:rPr>
      </w:pPr>
      <w:r>
        <w:rPr>
          <w:rFonts w:hint="eastAsia"/>
          <w:color w:val="000000"/>
          <w:spacing w:val="12"/>
          <w:szCs w:val="24"/>
        </w:rPr>
        <w:t>3）表土堆存点</w:t>
      </w:r>
    </w:p>
    <w:p>
      <w:pPr>
        <w:overflowPunct w:val="0"/>
        <w:adjustRightInd w:val="0"/>
        <w:snapToGrid w:val="0"/>
        <w:ind w:firstLine="528"/>
        <w:rPr>
          <w:rFonts w:hint="eastAsia"/>
          <w:color w:val="000000"/>
          <w:spacing w:val="12"/>
          <w:szCs w:val="24"/>
        </w:rPr>
      </w:pPr>
      <w:r>
        <w:rPr>
          <w:rFonts w:hint="eastAsia"/>
          <w:color w:val="000000"/>
          <w:spacing w:val="12"/>
          <w:szCs w:val="24"/>
        </w:rPr>
        <w:t>表土堆存点根据地形、运输条件等选择堆放在临时用地地块顶部一角，表土起始堆放场地采用编织袋装土拦挡，按堆土高4-8m，表土边坡按1：2堆放，编织袋挡墙高1m，顶宽0.5m，底宽1m，详见表4-1。</w:t>
      </w:r>
    </w:p>
    <w:p>
      <w:pPr>
        <w:ind w:firstLine="0" w:firstLineChars="0"/>
        <w:jc w:val="center"/>
        <w:rPr>
          <w:rFonts w:hint="eastAsia"/>
          <w:color w:val="000000"/>
          <w:spacing w:val="12"/>
          <w:szCs w:val="24"/>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-1表土堆存信息表</w:t>
      </w:r>
    </w:p>
    <w:tbl>
      <w:tblPr>
        <w:tblStyle w:val="25"/>
        <w:tblW w:w="852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80"/>
        <w:gridCol w:w="1158"/>
        <w:gridCol w:w="708"/>
        <w:gridCol w:w="1179"/>
        <w:gridCol w:w="921"/>
        <w:gridCol w:w="1083"/>
        <w:gridCol w:w="1469"/>
        <w:gridCol w:w="814"/>
        <w:gridCol w:w="7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PrEx>
        <w:trPr>
          <w:trHeight w:val="840" w:hRule="atLeast"/>
        </w:trPr>
        <w:tc>
          <w:tcPr>
            <w:tcW w:w="4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县域</w:t>
            </w:r>
          </w:p>
        </w:tc>
        <w:tc>
          <w:tcPr>
            <w:tcW w:w="11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表土堆存点名称</w:t>
            </w:r>
          </w:p>
        </w:tc>
        <w:tc>
          <w:tcPr>
            <w:tcW w:w="70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设置位置</w:t>
            </w:r>
          </w:p>
        </w:tc>
        <w:tc>
          <w:tcPr>
            <w:tcW w:w="117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表土堆存面积（hm²）</w:t>
            </w:r>
          </w:p>
        </w:tc>
        <w:tc>
          <w:tcPr>
            <w:tcW w:w="92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平均堆高（m）</w:t>
            </w:r>
          </w:p>
        </w:tc>
        <w:tc>
          <w:tcPr>
            <w:tcW w:w="108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堆放土方总量（m³）</w:t>
            </w:r>
          </w:p>
        </w:tc>
        <w:tc>
          <w:tcPr>
            <w:tcW w:w="146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堆存方式</w:t>
            </w:r>
          </w:p>
        </w:tc>
        <w:tc>
          <w:tcPr>
            <w:tcW w:w="81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损毁方式</w:t>
            </w:r>
          </w:p>
        </w:tc>
        <w:tc>
          <w:tcPr>
            <w:tcW w:w="71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损毁程度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PrEx>
        <w:trPr>
          <w:trHeight w:val="300" w:hRule="atLeast"/>
        </w:trPr>
        <w:tc>
          <w:tcPr>
            <w:tcW w:w="480" w:type="dxa"/>
            <w:vMerge w:val="restart"/>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西畴县</w:t>
            </w:r>
          </w:p>
        </w:tc>
        <w:tc>
          <w:tcPr>
            <w:tcW w:w="1158"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1#表土堆存点</w:t>
            </w:r>
          </w:p>
        </w:tc>
        <w:tc>
          <w:tcPr>
            <w:tcW w:w="708"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1179"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0.1283</w:t>
            </w:r>
          </w:p>
        </w:tc>
        <w:tc>
          <w:tcPr>
            <w:tcW w:w="921"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083"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7696.80</w:t>
            </w:r>
          </w:p>
        </w:tc>
        <w:tc>
          <w:tcPr>
            <w:tcW w:w="1469" w:type="dxa"/>
            <w:vMerge w:val="restart"/>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台体型堆放，编织袋拦挡，土工布覆盖</w:t>
            </w:r>
          </w:p>
        </w:tc>
        <w:tc>
          <w:tcPr>
            <w:tcW w:w="814"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716"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中度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480" w:type="dxa"/>
            <w:vMerge w:val="continue"/>
            <w:shd w:val="clear" w:color="auto" w:fill="auto"/>
            <w:noWrap/>
            <w:vAlign w:val="center"/>
          </w:tcPr>
          <w:p>
            <w:pPr>
              <w:widowControl/>
              <w:spacing w:line="240" w:lineRule="auto"/>
              <w:ind w:firstLine="0" w:firstLineChars="0"/>
              <w:jc w:val="center"/>
              <w:textAlignment w:val="center"/>
              <w:rPr>
                <w:color w:val="000000"/>
                <w:sz w:val="21"/>
                <w:szCs w:val="21"/>
              </w:rPr>
            </w:pPr>
          </w:p>
        </w:tc>
        <w:tc>
          <w:tcPr>
            <w:tcW w:w="1158"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2#表土堆存点</w:t>
            </w:r>
          </w:p>
        </w:tc>
        <w:tc>
          <w:tcPr>
            <w:tcW w:w="708"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1#拌合站</w:t>
            </w:r>
          </w:p>
        </w:tc>
        <w:tc>
          <w:tcPr>
            <w:tcW w:w="1179"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0.1498</w:t>
            </w:r>
          </w:p>
        </w:tc>
        <w:tc>
          <w:tcPr>
            <w:tcW w:w="921"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083"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8985.60</w:t>
            </w:r>
          </w:p>
        </w:tc>
        <w:tc>
          <w:tcPr>
            <w:tcW w:w="1469" w:type="dxa"/>
            <w:vMerge w:val="continue"/>
            <w:shd w:val="clear" w:color="auto" w:fill="auto"/>
            <w:noWrap/>
            <w:vAlign w:val="center"/>
          </w:tcPr>
          <w:p>
            <w:pPr>
              <w:widowControl/>
              <w:spacing w:line="240" w:lineRule="auto"/>
              <w:ind w:firstLine="0" w:firstLineChars="0"/>
              <w:jc w:val="center"/>
              <w:textAlignment w:val="center"/>
              <w:rPr>
                <w:color w:val="000000"/>
                <w:sz w:val="21"/>
                <w:szCs w:val="21"/>
              </w:rPr>
            </w:pPr>
          </w:p>
        </w:tc>
        <w:tc>
          <w:tcPr>
            <w:tcW w:w="814" w:type="dxa"/>
            <w:shd w:val="clear" w:color="auto" w:fill="auto"/>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716"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中度</w:t>
            </w:r>
          </w:p>
        </w:tc>
      </w:tr>
    </w:tbl>
    <w:p>
      <w:pPr>
        <w:overflowPunct w:val="0"/>
        <w:adjustRightInd w:val="0"/>
        <w:snapToGrid w:val="0"/>
        <w:ind w:firstLine="0" w:firstLineChars="0"/>
        <w:rPr>
          <w:rFonts w:hint="eastAsia"/>
          <w:color w:val="000000"/>
          <w:szCs w:val="28"/>
        </w:rPr>
        <w:sectPr>
          <w:footerReference r:id="rId17" w:type="default"/>
          <w:pgSz w:w="11906" w:h="16838"/>
          <w:pgMar w:top="1440" w:right="1797" w:bottom="1440" w:left="1797" w:header="851" w:footer="992" w:gutter="0"/>
          <w:cols w:space="720" w:num="1"/>
          <w:docGrid w:type="lines" w:linePitch="312" w:charSpace="0"/>
        </w:sectPr>
      </w:pP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4.1.4拟损毁土地分析结果</w:t>
      </w:r>
    </w:p>
    <w:p>
      <w:pPr>
        <w:overflowPunct w:val="0"/>
        <w:adjustRightInd w:val="0"/>
        <w:snapToGrid w:val="0"/>
        <w:ind w:firstLine="528"/>
        <w:rPr>
          <w:color w:val="000000"/>
          <w:spacing w:val="12"/>
          <w:szCs w:val="24"/>
        </w:rPr>
      </w:pPr>
      <w:r>
        <w:rPr>
          <w:color w:val="000000"/>
          <w:spacing w:val="12"/>
          <w:szCs w:val="24"/>
        </w:rPr>
        <w:t>本项目拟损毁土地</w:t>
      </w:r>
      <w:r>
        <w:rPr>
          <w:rFonts w:hint="eastAsia"/>
          <w:color w:val="000000"/>
          <w:spacing w:val="12"/>
          <w:szCs w:val="24"/>
        </w:rPr>
        <w:t>4.1706</w:t>
      </w:r>
      <w:r>
        <w:rPr>
          <w:color w:val="000000"/>
          <w:spacing w:val="12"/>
          <w:szCs w:val="24"/>
        </w:rPr>
        <w:t>hm</w:t>
      </w:r>
      <w:r>
        <w:rPr>
          <w:color w:val="000000"/>
          <w:spacing w:val="12"/>
          <w:szCs w:val="24"/>
          <w:vertAlign w:val="superscript"/>
        </w:rPr>
        <w:t>2</w:t>
      </w:r>
      <w:r>
        <w:rPr>
          <w:color w:val="000000"/>
          <w:spacing w:val="12"/>
          <w:szCs w:val="24"/>
        </w:rPr>
        <w:t>，包含</w:t>
      </w:r>
      <w:r>
        <w:rPr>
          <w:rFonts w:hint="eastAsia"/>
          <w:color w:val="000000"/>
          <w:spacing w:val="12"/>
          <w:szCs w:val="24"/>
        </w:rPr>
        <w:t>1</w:t>
      </w:r>
      <w:r>
        <w:rPr>
          <w:color w:val="000000"/>
          <w:spacing w:val="12"/>
          <w:szCs w:val="24"/>
        </w:rPr>
        <w:t>个弃</w:t>
      </w:r>
      <w:r>
        <w:rPr>
          <w:rFonts w:hint="eastAsia"/>
          <w:color w:val="000000"/>
          <w:spacing w:val="12"/>
          <w:szCs w:val="24"/>
        </w:rPr>
        <w:t>土</w:t>
      </w:r>
      <w:r>
        <w:rPr>
          <w:color w:val="000000"/>
          <w:spacing w:val="12"/>
          <w:szCs w:val="24"/>
        </w:rPr>
        <w:t>场</w:t>
      </w:r>
      <w:r>
        <w:rPr>
          <w:rFonts w:hint="eastAsia"/>
          <w:color w:val="000000"/>
          <w:spacing w:val="12"/>
          <w:szCs w:val="24"/>
        </w:rPr>
        <w:t>、1个拌合站，共计2个</w:t>
      </w:r>
      <w:r>
        <w:rPr>
          <w:color w:val="000000"/>
          <w:spacing w:val="12"/>
          <w:szCs w:val="24"/>
        </w:rPr>
        <w:t>拟损毁地块。</w:t>
      </w:r>
    </w:p>
    <w:p>
      <w:pPr>
        <w:overflowPunct w:val="0"/>
        <w:adjustRightInd w:val="0"/>
        <w:snapToGrid w:val="0"/>
        <w:ind w:firstLine="528"/>
        <w:rPr>
          <w:rFonts w:hint="eastAsia"/>
          <w:color w:val="000000"/>
          <w:spacing w:val="12"/>
          <w:szCs w:val="24"/>
        </w:rPr>
      </w:pPr>
      <w:r>
        <w:rPr>
          <w:color w:val="000000"/>
          <w:spacing w:val="12"/>
          <w:szCs w:val="24"/>
        </w:rPr>
        <w:t>各地块拟损毁土地的分析结果详见表</w:t>
      </w:r>
      <w:r>
        <w:rPr>
          <w:rFonts w:hint="eastAsia"/>
          <w:color w:val="000000"/>
          <w:spacing w:val="12"/>
          <w:szCs w:val="24"/>
        </w:rPr>
        <w:t>4</w:t>
      </w:r>
      <w:r>
        <w:rPr>
          <w:color w:val="000000"/>
          <w:spacing w:val="12"/>
          <w:szCs w:val="24"/>
        </w:rPr>
        <w:t>-</w:t>
      </w:r>
      <w:r>
        <w:rPr>
          <w:rFonts w:hint="eastAsia"/>
          <w:color w:val="000000"/>
          <w:spacing w:val="12"/>
          <w:szCs w:val="24"/>
        </w:rPr>
        <w:t>2。</w:t>
      </w:r>
    </w:p>
    <w:p>
      <w:pPr>
        <w:overflowPunct w:val="0"/>
        <w:adjustRightInd w:val="0"/>
        <w:snapToGrid w:val="0"/>
        <w:ind w:firstLine="2730" w:firstLineChars="1300"/>
        <w:rPr>
          <w:color w:val="000000"/>
          <w:spacing w:val="12"/>
          <w:szCs w:val="24"/>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2</w:t>
      </w:r>
      <w:r>
        <w:rPr>
          <w:rFonts w:eastAsia="黑体"/>
          <w:color w:val="000000"/>
          <w:kern w:val="4"/>
          <w:sz w:val="21"/>
          <w:szCs w:val="21"/>
        </w:rPr>
        <w:t>拟损毁土地预测分析表单位：hm</w:t>
      </w:r>
      <w:r>
        <w:rPr>
          <w:rFonts w:eastAsia="黑体"/>
          <w:color w:val="000000"/>
          <w:kern w:val="4"/>
          <w:sz w:val="21"/>
          <w:szCs w:val="21"/>
          <w:vertAlign w:val="superscript"/>
        </w:rPr>
        <w:t>2</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1072"/>
        <w:gridCol w:w="719"/>
        <w:gridCol w:w="1071"/>
        <w:gridCol w:w="1061"/>
        <w:gridCol w:w="1853"/>
        <w:gridCol w:w="985"/>
        <w:gridCol w:w="11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trPr>
        <w:tc>
          <w:tcPr>
            <w:tcW w:w="654" w:type="dxa"/>
            <w:vMerge w:val="restart"/>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县域</w:t>
            </w:r>
          </w:p>
        </w:tc>
        <w:tc>
          <w:tcPr>
            <w:tcW w:w="1791" w:type="dxa"/>
            <w:gridSpan w:val="2"/>
            <w:vMerge w:val="restart"/>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功能区</w:t>
            </w:r>
          </w:p>
        </w:tc>
        <w:tc>
          <w:tcPr>
            <w:tcW w:w="1071" w:type="dxa"/>
            <w:vMerge w:val="restart"/>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损毁情况</w:t>
            </w:r>
          </w:p>
        </w:tc>
        <w:tc>
          <w:tcPr>
            <w:tcW w:w="1061" w:type="dxa"/>
            <w:vMerge w:val="restart"/>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损毁方式</w:t>
            </w:r>
          </w:p>
        </w:tc>
        <w:tc>
          <w:tcPr>
            <w:tcW w:w="1853"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985" w:type="dxa"/>
            <w:vMerge w:val="restart"/>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110" w:type="dxa"/>
            <w:vMerge w:val="restart"/>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损毁程度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654" w:type="dxa"/>
            <w:vMerge w:val="continue"/>
            <w:noWrap/>
            <w:vAlign w:val="center"/>
          </w:tcPr>
          <w:p>
            <w:pPr>
              <w:widowControl/>
              <w:adjustRightInd w:val="0"/>
              <w:spacing w:line="240" w:lineRule="auto"/>
              <w:ind w:firstLine="0" w:firstLineChars="0"/>
              <w:jc w:val="center"/>
              <w:rPr>
                <w:color w:val="000000"/>
                <w:sz w:val="21"/>
                <w:szCs w:val="21"/>
              </w:rPr>
            </w:pPr>
          </w:p>
        </w:tc>
        <w:tc>
          <w:tcPr>
            <w:tcW w:w="1791" w:type="dxa"/>
            <w:gridSpan w:val="2"/>
            <w:vMerge w:val="continue"/>
            <w:noWrap/>
            <w:vAlign w:val="center"/>
          </w:tcPr>
          <w:p>
            <w:pPr>
              <w:widowControl/>
              <w:adjustRightInd w:val="0"/>
              <w:spacing w:line="240" w:lineRule="auto"/>
              <w:ind w:firstLine="0" w:firstLineChars="0"/>
              <w:jc w:val="center"/>
              <w:rPr>
                <w:color w:val="000000"/>
                <w:sz w:val="21"/>
                <w:szCs w:val="21"/>
              </w:rPr>
            </w:pPr>
          </w:p>
        </w:tc>
        <w:tc>
          <w:tcPr>
            <w:tcW w:w="1071" w:type="dxa"/>
            <w:vMerge w:val="continue"/>
            <w:noWrap w:val="0"/>
            <w:vAlign w:val="center"/>
          </w:tcPr>
          <w:p>
            <w:pPr>
              <w:widowControl/>
              <w:adjustRightInd w:val="0"/>
              <w:spacing w:line="240" w:lineRule="auto"/>
              <w:ind w:firstLine="0" w:firstLineChars="0"/>
              <w:jc w:val="center"/>
              <w:rPr>
                <w:color w:val="000000"/>
                <w:sz w:val="21"/>
                <w:szCs w:val="21"/>
              </w:rPr>
            </w:pPr>
          </w:p>
        </w:tc>
        <w:tc>
          <w:tcPr>
            <w:tcW w:w="1061" w:type="dxa"/>
            <w:vMerge w:val="continue"/>
            <w:noWrap w:val="0"/>
            <w:vAlign w:val="center"/>
          </w:tcPr>
          <w:p>
            <w:pPr>
              <w:widowControl/>
              <w:adjustRightInd w:val="0"/>
              <w:spacing w:line="240" w:lineRule="auto"/>
              <w:ind w:firstLine="0" w:firstLineChars="0"/>
              <w:jc w:val="center"/>
              <w:rPr>
                <w:color w:val="000000"/>
                <w:sz w:val="21"/>
                <w:szCs w:val="21"/>
              </w:rPr>
            </w:pPr>
          </w:p>
        </w:tc>
        <w:tc>
          <w:tcPr>
            <w:tcW w:w="1853"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灌木林</w:t>
            </w:r>
            <w:r>
              <w:rPr>
                <w:rFonts w:hint="eastAsia"/>
                <w:color w:val="000000"/>
                <w:kern w:val="0"/>
                <w:sz w:val="21"/>
                <w:szCs w:val="21"/>
                <w:lang w:bidi="ar"/>
              </w:rPr>
              <w:t>地</w:t>
            </w:r>
            <w:r>
              <w:rPr>
                <w:color w:val="000000"/>
                <w:kern w:val="0"/>
                <w:sz w:val="21"/>
                <w:szCs w:val="21"/>
                <w:lang w:bidi="ar"/>
              </w:rPr>
              <w:t>（0305）</w:t>
            </w:r>
          </w:p>
        </w:tc>
        <w:tc>
          <w:tcPr>
            <w:tcW w:w="985" w:type="dxa"/>
            <w:vMerge w:val="continue"/>
            <w:noWrap w:val="0"/>
            <w:vAlign w:val="center"/>
          </w:tcPr>
          <w:p>
            <w:pPr>
              <w:widowControl/>
              <w:adjustRightInd w:val="0"/>
              <w:spacing w:line="240" w:lineRule="auto"/>
              <w:ind w:firstLine="0" w:firstLineChars="0"/>
              <w:jc w:val="center"/>
              <w:rPr>
                <w:color w:val="000000"/>
                <w:sz w:val="21"/>
                <w:szCs w:val="21"/>
              </w:rPr>
            </w:pPr>
          </w:p>
        </w:tc>
        <w:tc>
          <w:tcPr>
            <w:tcW w:w="1110" w:type="dxa"/>
            <w:vMerge w:val="continue"/>
            <w:noWrap w:val="0"/>
            <w:vAlign w:val="center"/>
          </w:tcPr>
          <w:p>
            <w:pPr>
              <w:widowControl/>
              <w:adjustRightInd w:val="0"/>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654" w:type="dxa"/>
            <w:vMerge w:val="restart"/>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西畴县</w:t>
            </w:r>
          </w:p>
        </w:tc>
        <w:tc>
          <w:tcPr>
            <w:tcW w:w="1072" w:type="dxa"/>
            <w:vMerge w:val="restart"/>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719"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平台</w:t>
            </w:r>
          </w:p>
        </w:tc>
        <w:tc>
          <w:tcPr>
            <w:tcW w:w="107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拟损毁</w:t>
            </w:r>
          </w:p>
        </w:tc>
        <w:tc>
          <w:tcPr>
            <w:tcW w:w="106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1853"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1.7007</w:t>
            </w:r>
          </w:p>
        </w:tc>
        <w:tc>
          <w:tcPr>
            <w:tcW w:w="985"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1.7007</w:t>
            </w:r>
          </w:p>
        </w:tc>
        <w:tc>
          <w:tcPr>
            <w:tcW w:w="1110"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中度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654" w:type="dxa"/>
            <w:vMerge w:val="continue"/>
            <w:noWrap/>
            <w:vAlign w:val="center"/>
          </w:tcPr>
          <w:p>
            <w:pPr>
              <w:widowControl/>
              <w:adjustRightInd w:val="0"/>
              <w:spacing w:line="240" w:lineRule="auto"/>
              <w:ind w:firstLine="0" w:firstLineChars="0"/>
              <w:jc w:val="center"/>
              <w:rPr>
                <w:color w:val="000000"/>
                <w:sz w:val="21"/>
                <w:szCs w:val="21"/>
              </w:rPr>
            </w:pPr>
          </w:p>
        </w:tc>
        <w:tc>
          <w:tcPr>
            <w:tcW w:w="1072" w:type="dxa"/>
            <w:vMerge w:val="continue"/>
            <w:noWrap/>
            <w:vAlign w:val="center"/>
          </w:tcPr>
          <w:p>
            <w:pPr>
              <w:widowControl/>
              <w:adjustRightInd w:val="0"/>
              <w:spacing w:line="240" w:lineRule="auto"/>
              <w:ind w:firstLine="0" w:firstLineChars="0"/>
              <w:jc w:val="center"/>
              <w:rPr>
                <w:color w:val="000000"/>
                <w:sz w:val="21"/>
                <w:szCs w:val="21"/>
              </w:rPr>
            </w:pPr>
          </w:p>
        </w:tc>
        <w:tc>
          <w:tcPr>
            <w:tcW w:w="719"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边坡</w:t>
            </w:r>
          </w:p>
        </w:tc>
        <w:tc>
          <w:tcPr>
            <w:tcW w:w="107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拟损毁</w:t>
            </w:r>
          </w:p>
        </w:tc>
        <w:tc>
          <w:tcPr>
            <w:tcW w:w="106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1853"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0.2235</w:t>
            </w:r>
          </w:p>
        </w:tc>
        <w:tc>
          <w:tcPr>
            <w:tcW w:w="985"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0.2235</w:t>
            </w:r>
          </w:p>
        </w:tc>
        <w:tc>
          <w:tcPr>
            <w:tcW w:w="1110"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中度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654" w:type="dxa"/>
            <w:vMerge w:val="continue"/>
            <w:noWrap/>
            <w:vAlign w:val="center"/>
          </w:tcPr>
          <w:p>
            <w:pPr>
              <w:widowControl/>
              <w:adjustRightInd w:val="0"/>
              <w:spacing w:line="240" w:lineRule="auto"/>
              <w:ind w:firstLine="0" w:firstLineChars="0"/>
              <w:jc w:val="center"/>
              <w:rPr>
                <w:color w:val="000000"/>
                <w:sz w:val="21"/>
                <w:szCs w:val="21"/>
              </w:rPr>
            </w:pPr>
          </w:p>
        </w:tc>
        <w:tc>
          <w:tcPr>
            <w:tcW w:w="1072" w:type="dxa"/>
            <w:vMerge w:val="continue"/>
            <w:noWrap/>
            <w:vAlign w:val="center"/>
          </w:tcPr>
          <w:p>
            <w:pPr>
              <w:widowControl/>
              <w:adjustRightInd w:val="0"/>
              <w:spacing w:line="240" w:lineRule="auto"/>
              <w:ind w:firstLine="0" w:firstLineChars="0"/>
              <w:jc w:val="center"/>
              <w:rPr>
                <w:color w:val="000000"/>
                <w:sz w:val="21"/>
                <w:szCs w:val="21"/>
              </w:rPr>
            </w:pPr>
          </w:p>
        </w:tc>
        <w:tc>
          <w:tcPr>
            <w:tcW w:w="719"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07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拟损毁</w:t>
            </w:r>
          </w:p>
        </w:tc>
        <w:tc>
          <w:tcPr>
            <w:tcW w:w="106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1853"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1.9242</w:t>
            </w:r>
          </w:p>
        </w:tc>
        <w:tc>
          <w:tcPr>
            <w:tcW w:w="985"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1.9242</w:t>
            </w:r>
          </w:p>
        </w:tc>
        <w:tc>
          <w:tcPr>
            <w:tcW w:w="1110"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中度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654" w:type="dxa"/>
            <w:vMerge w:val="continue"/>
            <w:noWrap/>
            <w:vAlign w:val="center"/>
          </w:tcPr>
          <w:p>
            <w:pPr>
              <w:widowControl/>
              <w:adjustRightInd w:val="0"/>
              <w:spacing w:line="240" w:lineRule="auto"/>
              <w:ind w:firstLine="0" w:firstLineChars="0"/>
              <w:jc w:val="center"/>
              <w:rPr>
                <w:color w:val="000000"/>
                <w:sz w:val="21"/>
                <w:szCs w:val="21"/>
              </w:rPr>
            </w:pPr>
          </w:p>
        </w:tc>
        <w:tc>
          <w:tcPr>
            <w:tcW w:w="1791" w:type="dxa"/>
            <w:gridSpan w:val="2"/>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1#拌合站</w:t>
            </w:r>
          </w:p>
        </w:tc>
        <w:tc>
          <w:tcPr>
            <w:tcW w:w="1071"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拟损毁</w:t>
            </w:r>
          </w:p>
        </w:tc>
        <w:tc>
          <w:tcPr>
            <w:tcW w:w="1061"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压占</w:t>
            </w:r>
          </w:p>
        </w:tc>
        <w:tc>
          <w:tcPr>
            <w:tcW w:w="1853"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2.2464</w:t>
            </w:r>
          </w:p>
        </w:tc>
        <w:tc>
          <w:tcPr>
            <w:tcW w:w="985"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2.2464</w:t>
            </w:r>
          </w:p>
        </w:tc>
        <w:tc>
          <w:tcPr>
            <w:tcW w:w="1110" w:type="dxa"/>
            <w:noWrap w:val="0"/>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中度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rPr>
        <w:tc>
          <w:tcPr>
            <w:tcW w:w="654" w:type="dxa"/>
            <w:vMerge w:val="continue"/>
            <w:noWrap/>
            <w:vAlign w:val="center"/>
          </w:tcPr>
          <w:p>
            <w:pPr>
              <w:widowControl/>
              <w:adjustRightInd w:val="0"/>
              <w:spacing w:line="240" w:lineRule="auto"/>
              <w:ind w:firstLine="0" w:firstLineChars="0"/>
              <w:jc w:val="center"/>
              <w:rPr>
                <w:color w:val="000000"/>
                <w:sz w:val="21"/>
                <w:szCs w:val="21"/>
              </w:rPr>
            </w:pPr>
          </w:p>
        </w:tc>
        <w:tc>
          <w:tcPr>
            <w:tcW w:w="1791" w:type="dxa"/>
            <w:gridSpan w:val="2"/>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071" w:type="dxa"/>
            <w:noWrap/>
            <w:vAlign w:val="center"/>
          </w:tcPr>
          <w:p>
            <w:pPr>
              <w:widowControl/>
              <w:adjustRightInd w:val="0"/>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w:t>
            </w:r>
          </w:p>
        </w:tc>
        <w:tc>
          <w:tcPr>
            <w:tcW w:w="1061" w:type="dxa"/>
            <w:noWrap/>
            <w:vAlign w:val="center"/>
          </w:tcPr>
          <w:p>
            <w:pPr>
              <w:widowControl/>
              <w:adjustRightInd w:val="0"/>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w:t>
            </w:r>
          </w:p>
        </w:tc>
        <w:tc>
          <w:tcPr>
            <w:tcW w:w="1853"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985"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110" w:type="dxa"/>
            <w:noWrap/>
            <w:vAlign w:val="center"/>
          </w:tcPr>
          <w:p>
            <w:pPr>
              <w:widowControl/>
              <w:adjustRightInd w:val="0"/>
              <w:spacing w:line="240" w:lineRule="auto"/>
              <w:ind w:firstLine="0" w:firstLineChars="0"/>
              <w:jc w:val="center"/>
              <w:textAlignment w:val="center"/>
              <w:rPr>
                <w:color w:val="000000"/>
                <w:sz w:val="21"/>
                <w:szCs w:val="21"/>
              </w:rPr>
            </w:pPr>
            <w:r>
              <w:rPr>
                <w:color w:val="000000"/>
                <w:kern w:val="0"/>
                <w:sz w:val="21"/>
                <w:szCs w:val="21"/>
                <w:lang w:bidi="ar"/>
              </w:rPr>
              <w:t>-</w:t>
            </w:r>
          </w:p>
        </w:tc>
      </w:tr>
    </w:tbl>
    <w:p>
      <w:pPr>
        <w:pStyle w:val="5"/>
        <w:adjustRightInd w:val="0"/>
        <w:snapToGrid w:val="0"/>
        <w:spacing w:before="0" w:after="0" w:line="360" w:lineRule="auto"/>
        <w:ind w:left="101" w:hanging="100" w:hangingChars="36"/>
        <w:rPr>
          <w:color w:val="000000"/>
          <w:szCs w:val="28"/>
        </w:rPr>
      </w:pPr>
      <w:r>
        <w:rPr>
          <w:rFonts w:hint="eastAsia"/>
          <w:color w:val="000000"/>
          <w:szCs w:val="28"/>
        </w:rPr>
        <w:t>4.1.5</w:t>
      </w:r>
      <w:r>
        <w:rPr>
          <w:color w:val="000000"/>
          <w:szCs w:val="28"/>
        </w:rPr>
        <w:t>复垦区与复垦责任范围确定</w:t>
      </w:r>
    </w:p>
    <w:p>
      <w:pPr>
        <w:overflowPunct w:val="0"/>
        <w:adjustRightInd w:val="0"/>
        <w:snapToGrid w:val="0"/>
        <w:ind w:firstLine="528"/>
        <w:outlineLvl w:val="2"/>
        <w:rPr>
          <w:color w:val="000000"/>
          <w:spacing w:val="12"/>
          <w:szCs w:val="24"/>
        </w:rPr>
      </w:pPr>
      <w:r>
        <w:rPr>
          <w:color w:val="000000"/>
          <w:spacing w:val="12"/>
          <w:szCs w:val="24"/>
        </w:rPr>
        <w:t>a）复垦区土地利用现状类型</w:t>
      </w:r>
    </w:p>
    <w:p>
      <w:pPr>
        <w:overflowPunct w:val="0"/>
        <w:adjustRightInd w:val="0"/>
        <w:snapToGrid w:val="0"/>
        <w:ind w:firstLine="528"/>
        <w:rPr>
          <w:color w:val="000000"/>
          <w:spacing w:val="12"/>
          <w:szCs w:val="24"/>
        </w:rPr>
      </w:pPr>
      <w:r>
        <w:rPr>
          <w:color w:val="000000"/>
          <w:spacing w:val="12"/>
          <w:szCs w:val="24"/>
        </w:rPr>
        <w:t>本项目复垦区面积包括永久</w:t>
      </w:r>
      <w:r>
        <w:rPr>
          <w:rFonts w:hint="eastAsia"/>
          <w:color w:val="000000"/>
          <w:spacing w:val="12"/>
          <w:szCs w:val="24"/>
        </w:rPr>
        <w:t>用</w:t>
      </w:r>
      <w:r>
        <w:rPr>
          <w:color w:val="000000"/>
          <w:spacing w:val="12"/>
          <w:szCs w:val="24"/>
        </w:rPr>
        <w:t>地及临时用地组成，复垦区总占地面积为</w:t>
      </w:r>
      <w:r>
        <w:rPr>
          <w:rFonts w:hint="eastAsia"/>
          <w:color w:val="000000"/>
          <w:spacing w:val="12"/>
          <w:szCs w:val="24"/>
        </w:rPr>
        <w:t>186.3006</w:t>
      </w:r>
      <w:r>
        <w:rPr>
          <w:color w:val="000000"/>
          <w:spacing w:val="12"/>
          <w:szCs w:val="24"/>
        </w:rPr>
        <w:t>hm²，其中耕地</w:t>
      </w:r>
      <w:r>
        <w:rPr>
          <w:rFonts w:hint="eastAsia"/>
          <w:color w:val="000000"/>
          <w:spacing w:val="12"/>
          <w:szCs w:val="24"/>
        </w:rPr>
        <w:t>44.9826</w:t>
      </w:r>
      <w:r>
        <w:rPr>
          <w:color w:val="000000"/>
          <w:spacing w:val="12"/>
          <w:szCs w:val="24"/>
        </w:rPr>
        <w:t>hm²、种植园用地</w:t>
      </w:r>
      <w:r>
        <w:rPr>
          <w:rFonts w:hint="eastAsia"/>
          <w:color w:val="000000"/>
          <w:spacing w:val="12"/>
          <w:szCs w:val="24"/>
        </w:rPr>
        <w:t>0.9195</w:t>
      </w:r>
      <w:r>
        <w:rPr>
          <w:color w:val="000000"/>
          <w:spacing w:val="12"/>
          <w:szCs w:val="24"/>
        </w:rPr>
        <w:t>hm²、林地</w:t>
      </w:r>
      <w:r>
        <w:rPr>
          <w:rFonts w:hint="eastAsia"/>
          <w:color w:val="000000"/>
          <w:spacing w:val="12"/>
          <w:szCs w:val="24"/>
        </w:rPr>
        <w:t>114.6336</w:t>
      </w:r>
      <w:r>
        <w:rPr>
          <w:color w:val="000000"/>
          <w:spacing w:val="12"/>
          <w:szCs w:val="24"/>
        </w:rPr>
        <w:t>hm²、草地</w:t>
      </w:r>
      <w:r>
        <w:rPr>
          <w:rFonts w:hint="eastAsia"/>
          <w:color w:val="000000"/>
          <w:spacing w:val="12"/>
          <w:szCs w:val="24"/>
        </w:rPr>
        <w:t>0.7071</w:t>
      </w:r>
      <w:r>
        <w:rPr>
          <w:color w:val="000000"/>
          <w:spacing w:val="12"/>
          <w:szCs w:val="24"/>
        </w:rPr>
        <w:t>hm²、工矿用地</w:t>
      </w:r>
      <w:r>
        <w:rPr>
          <w:rFonts w:hint="eastAsia"/>
          <w:color w:val="000000"/>
          <w:spacing w:val="12"/>
          <w:szCs w:val="24"/>
        </w:rPr>
        <w:t>0.6963</w:t>
      </w:r>
      <w:r>
        <w:rPr>
          <w:color w:val="000000"/>
          <w:spacing w:val="12"/>
          <w:szCs w:val="24"/>
        </w:rPr>
        <w:t>hm²、住宅用地</w:t>
      </w:r>
      <w:r>
        <w:rPr>
          <w:rFonts w:hint="eastAsia"/>
          <w:color w:val="000000"/>
          <w:spacing w:val="12"/>
          <w:szCs w:val="24"/>
        </w:rPr>
        <w:t>0.7980</w:t>
      </w:r>
      <w:r>
        <w:rPr>
          <w:color w:val="000000"/>
          <w:spacing w:val="12"/>
          <w:szCs w:val="24"/>
        </w:rPr>
        <w:t>hm²、特殊用地</w:t>
      </w:r>
      <w:r>
        <w:rPr>
          <w:rFonts w:hint="eastAsia"/>
          <w:color w:val="000000"/>
          <w:spacing w:val="12"/>
          <w:szCs w:val="24"/>
        </w:rPr>
        <w:t>0.1933</w:t>
      </w:r>
      <w:r>
        <w:rPr>
          <w:color w:val="000000"/>
          <w:spacing w:val="12"/>
          <w:szCs w:val="24"/>
        </w:rPr>
        <w:t>hm²、交通运输用地</w:t>
      </w:r>
      <w:r>
        <w:rPr>
          <w:rFonts w:hint="eastAsia"/>
          <w:color w:val="000000"/>
          <w:spacing w:val="12"/>
          <w:szCs w:val="24"/>
        </w:rPr>
        <w:t>6.3008</w:t>
      </w:r>
      <w:r>
        <w:rPr>
          <w:color w:val="000000"/>
          <w:spacing w:val="12"/>
          <w:szCs w:val="24"/>
        </w:rPr>
        <w:t>hm²、水域及水利设施用地</w:t>
      </w:r>
      <w:r>
        <w:rPr>
          <w:rFonts w:hint="eastAsia"/>
          <w:color w:val="000000"/>
          <w:spacing w:val="12"/>
          <w:szCs w:val="24"/>
        </w:rPr>
        <w:t>0.2556</w:t>
      </w:r>
      <w:r>
        <w:rPr>
          <w:color w:val="000000"/>
          <w:spacing w:val="12"/>
          <w:szCs w:val="24"/>
        </w:rPr>
        <w:t>hm²、其他土地</w:t>
      </w:r>
      <w:r>
        <w:rPr>
          <w:rFonts w:hint="eastAsia"/>
          <w:color w:val="000000"/>
          <w:spacing w:val="12"/>
          <w:szCs w:val="24"/>
        </w:rPr>
        <w:t>12.6432</w:t>
      </w:r>
      <w:r>
        <w:rPr>
          <w:color w:val="000000"/>
          <w:spacing w:val="12"/>
          <w:szCs w:val="24"/>
        </w:rPr>
        <w:t>hm²，其中拟损毁土地面积</w:t>
      </w:r>
      <w:r>
        <w:rPr>
          <w:rFonts w:hint="eastAsia"/>
          <w:color w:val="000000"/>
          <w:spacing w:val="12"/>
          <w:szCs w:val="24"/>
        </w:rPr>
        <w:t>4.1706</w:t>
      </w:r>
      <w:r>
        <w:rPr>
          <w:color w:val="000000"/>
          <w:spacing w:val="12"/>
          <w:szCs w:val="24"/>
        </w:rPr>
        <w:t>hm²，占用面积</w:t>
      </w:r>
      <w:r>
        <w:rPr>
          <w:rFonts w:hint="eastAsia"/>
          <w:color w:val="000000"/>
          <w:spacing w:val="12"/>
          <w:szCs w:val="24"/>
        </w:rPr>
        <w:t>182.1300</w:t>
      </w:r>
      <w:r>
        <w:rPr>
          <w:color w:val="000000"/>
          <w:spacing w:val="12"/>
          <w:szCs w:val="24"/>
        </w:rPr>
        <w:t>hm²。复垦区土地利用现状详见下表。</w:t>
      </w:r>
    </w:p>
    <w:p>
      <w:pPr>
        <w:overflowPunct w:val="0"/>
        <w:adjustRightInd w:val="0"/>
        <w:snapToGrid w:val="0"/>
        <w:ind w:right="315" w:firstLine="0" w:firstLineChars="0"/>
        <w:jc w:val="center"/>
        <w:rPr>
          <w:rFonts w:ascii="黑体" w:hAnsi="黑体" w:eastAsia="黑体"/>
          <w:color w:val="000000"/>
          <w:kern w:val="4"/>
          <w:sz w:val="21"/>
          <w:szCs w:val="21"/>
        </w:rPr>
      </w:pPr>
      <w:r>
        <w:rPr>
          <w:rFonts w:hint="eastAsia" w:ascii="黑体" w:hAnsi="黑体"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-3</w:t>
      </w:r>
      <w:r>
        <w:rPr>
          <w:rFonts w:hint="eastAsia" w:ascii="黑体" w:hAnsi="黑体" w:eastAsia="黑体"/>
          <w:color w:val="000000"/>
          <w:kern w:val="4"/>
          <w:sz w:val="21"/>
          <w:szCs w:val="21"/>
        </w:rPr>
        <w:t>复垦区土地利用现状表</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25"/>
        <w:gridCol w:w="2204"/>
        <w:gridCol w:w="1362"/>
        <w:gridCol w:w="876"/>
        <w:gridCol w:w="1078"/>
        <w:gridCol w:w="12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3929"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土地类型</w:t>
            </w:r>
          </w:p>
        </w:tc>
        <w:tc>
          <w:tcPr>
            <w:tcW w:w="4596" w:type="dxa"/>
            <w:gridSpan w:val="4"/>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一级地类</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二级地类</w:t>
            </w:r>
          </w:p>
        </w:tc>
        <w:tc>
          <w:tcPr>
            <w:tcW w:w="136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87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已损毁</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拟损毁</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占用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耕地（01）</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水田（0101）</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0.0466</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旱地（0103）</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44.9360</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44.9360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44.9826</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44.9826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种植园用地（02）</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果园（0201）</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0.0831</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0.0831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其他园地（0204）</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0.8364</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0.9195</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0.9195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乔木林地（0301）</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18.9885</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18.9885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竹林地（0302）</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0.1301</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99.1012</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94.9306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其他林地（0307）</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0.5844</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0.5844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114.6336</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114.6336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草地（04）</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其他草地（0404）</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0.7071</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0.7071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工矿用地（06）</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采矿用地（0602）</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0.6963</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0.6963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住宅用地（07）</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农村宅基地（0702）</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0.7980</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3929"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特殊用地（09）</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0.1933</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交通运输用地（10）</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公路用地（1003）</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4.8076</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4.8076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农村道路（1006）</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1.4932</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6.3008</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6.3008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水域及水利设施用地（11）</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沟渠（1107）</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0.2556</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0.2556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其他土地（12）</w:t>
            </w: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田坎（1203）</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11.0765</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11.0765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裸土地（1206）</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1.2695</w:t>
            </w:r>
          </w:p>
        </w:tc>
        <w:tc>
          <w:tcPr>
            <w:tcW w:w="8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裸岩石砾地（1207）</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0.2972</w:t>
            </w:r>
          </w:p>
        </w:tc>
        <w:tc>
          <w:tcPr>
            <w:tcW w:w="87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0.2972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5" w:type="dxa"/>
            <w:vMerge w:val="continue"/>
            <w:noWrap w:val="0"/>
            <w:vAlign w:val="center"/>
          </w:tcPr>
          <w:p>
            <w:pPr>
              <w:widowControl/>
              <w:spacing w:line="240" w:lineRule="auto"/>
              <w:ind w:firstLine="0" w:firstLineChars="0"/>
              <w:jc w:val="center"/>
              <w:rPr>
                <w:color w:val="000000"/>
                <w:sz w:val="21"/>
                <w:szCs w:val="21"/>
              </w:rPr>
            </w:pPr>
          </w:p>
        </w:tc>
        <w:tc>
          <w:tcPr>
            <w:tcW w:w="22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12.6432</w:t>
            </w:r>
          </w:p>
        </w:tc>
        <w:tc>
          <w:tcPr>
            <w:tcW w:w="87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12.6432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3929"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3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186.3006</w:t>
            </w:r>
          </w:p>
        </w:tc>
        <w:tc>
          <w:tcPr>
            <w:tcW w:w="87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07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28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182.1300</w:t>
            </w:r>
          </w:p>
        </w:tc>
      </w:tr>
    </w:tbl>
    <w:p>
      <w:pPr>
        <w:overflowPunct w:val="0"/>
        <w:adjustRightInd w:val="0"/>
        <w:snapToGrid w:val="0"/>
        <w:ind w:firstLine="528"/>
        <w:outlineLvl w:val="2"/>
        <w:rPr>
          <w:rFonts w:hint="eastAsia"/>
          <w:color w:val="000000"/>
          <w:spacing w:val="12"/>
          <w:szCs w:val="24"/>
        </w:rPr>
      </w:pPr>
      <w:r>
        <w:rPr>
          <w:rFonts w:hint="eastAsia"/>
          <w:color w:val="000000"/>
          <w:spacing w:val="12"/>
          <w:szCs w:val="24"/>
        </w:rPr>
        <w:t>b）复垦责任范围</w:t>
      </w:r>
    </w:p>
    <w:p>
      <w:pPr>
        <w:overflowPunct w:val="0"/>
        <w:adjustRightInd w:val="0"/>
        <w:snapToGrid w:val="0"/>
        <w:ind w:firstLine="528"/>
        <w:rPr>
          <w:color w:val="000000"/>
          <w:spacing w:val="12"/>
          <w:szCs w:val="24"/>
        </w:rPr>
      </w:pPr>
      <w:r>
        <w:rPr>
          <w:rFonts w:hint="eastAsia"/>
          <w:color w:val="000000"/>
          <w:spacing w:val="12"/>
          <w:szCs w:val="24"/>
        </w:rPr>
        <w:t>本项目复垦责任范围面积为拟损毁土地面积4.1706h</w:t>
      </w:r>
      <w:r>
        <w:rPr>
          <w:color w:val="000000"/>
          <w:spacing w:val="12"/>
          <w:szCs w:val="24"/>
        </w:rPr>
        <w:t>m²。</w:t>
      </w:r>
    </w:p>
    <w:p>
      <w:pPr>
        <w:overflowPunct w:val="0"/>
        <w:adjustRightInd w:val="0"/>
        <w:snapToGrid w:val="0"/>
        <w:ind w:firstLine="420"/>
        <w:jc w:val="center"/>
        <w:rPr>
          <w:rFonts w:eastAsia="黑体"/>
          <w:color w:val="000000"/>
          <w:spacing w:val="12"/>
          <w:sz w:val="21"/>
          <w:szCs w:val="21"/>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4</w:t>
      </w:r>
      <w:r>
        <w:rPr>
          <w:rFonts w:eastAsia="黑体"/>
          <w:color w:val="000000"/>
          <w:kern w:val="4"/>
          <w:sz w:val="21"/>
          <w:szCs w:val="21"/>
        </w:rPr>
        <w:t>复垦责任范围土地利用现状表</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712"/>
        <w:gridCol w:w="2442"/>
        <w:gridCol w:w="1786"/>
        <w:gridCol w:w="15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5154"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类型（编码）</w:t>
            </w:r>
          </w:p>
        </w:tc>
        <w:tc>
          <w:tcPr>
            <w:tcW w:w="1786"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c>
          <w:tcPr>
            <w:tcW w:w="158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271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一级地类</w:t>
            </w:r>
          </w:p>
        </w:tc>
        <w:tc>
          <w:tcPr>
            <w:tcW w:w="24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二级地类</w:t>
            </w:r>
          </w:p>
        </w:tc>
        <w:tc>
          <w:tcPr>
            <w:tcW w:w="1786" w:type="dxa"/>
            <w:vMerge w:val="continue"/>
            <w:noWrap w:val="0"/>
            <w:vAlign w:val="center"/>
          </w:tcPr>
          <w:p>
            <w:pPr>
              <w:widowControl/>
              <w:spacing w:line="240" w:lineRule="auto"/>
              <w:ind w:firstLine="0" w:firstLineChars="0"/>
              <w:jc w:val="center"/>
              <w:rPr>
                <w:color w:val="000000"/>
                <w:sz w:val="21"/>
                <w:szCs w:val="21"/>
              </w:rPr>
            </w:pPr>
          </w:p>
        </w:tc>
        <w:tc>
          <w:tcPr>
            <w:tcW w:w="158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2712" w:type="dxa"/>
            <w:noWrap w:val="0"/>
            <w:vAlign w:val="center"/>
          </w:tcPr>
          <w:p>
            <w:pPr>
              <w:widowControl/>
              <w:spacing w:line="240" w:lineRule="auto"/>
              <w:ind w:firstLine="0" w:firstLineChars="0"/>
              <w:jc w:val="center"/>
              <w:rPr>
                <w:color w:val="000000"/>
                <w:sz w:val="21"/>
                <w:szCs w:val="21"/>
              </w:rPr>
            </w:pPr>
            <w:r>
              <w:rPr>
                <w:color w:val="000000"/>
                <w:kern w:val="0"/>
                <w:sz w:val="21"/>
                <w:szCs w:val="21"/>
                <w:lang w:bidi="ar"/>
              </w:rPr>
              <w:t>林地（03）</w:t>
            </w:r>
          </w:p>
        </w:tc>
        <w:tc>
          <w:tcPr>
            <w:tcW w:w="24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786"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585"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5154"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786"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5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overflowPunct w:val="0"/>
        <w:adjustRightInd w:val="0"/>
        <w:snapToGrid w:val="0"/>
        <w:ind w:firstLine="528"/>
        <w:outlineLvl w:val="2"/>
        <w:rPr>
          <w:color w:val="000000"/>
          <w:spacing w:val="12"/>
          <w:szCs w:val="24"/>
        </w:rPr>
      </w:pPr>
      <w:r>
        <w:rPr>
          <w:color w:val="000000"/>
          <w:spacing w:val="12"/>
          <w:szCs w:val="24"/>
        </w:rPr>
        <w:t>c）复垦土地面积</w:t>
      </w:r>
    </w:p>
    <w:p>
      <w:pPr>
        <w:overflowPunct w:val="0"/>
        <w:adjustRightInd w:val="0"/>
        <w:snapToGrid w:val="0"/>
        <w:ind w:firstLine="528"/>
        <w:rPr>
          <w:color w:val="000000"/>
          <w:spacing w:val="12"/>
          <w:szCs w:val="24"/>
        </w:rPr>
      </w:pPr>
      <w:r>
        <w:rPr>
          <w:color w:val="000000"/>
          <w:spacing w:val="12"/>
          <w:szCs w:val="24"/>
        </w:rPr>
        <w:t>经调查分析，复垦土地面积为</w:t>
      </w:r>
      <w:r>
        <w:rPr>
          <w:rFonts w:hint="eastAsia"/>
          <w:color w:val="000000"/>
          <w:spacing w:val="12"/>
          <w:szCs w:val="24"/>
        </w:rPr>
        <w:t>4.1706</w:t>
      </w:r>
      <w:r>
        <w:rPr>
          <w:color w:val="000000"/>
          <w:spacing w:val="12"/>
          <w:szCs w:val="24"/>
        </w:rPr>
        <w:t>hm²，复垦率</w:t>
      </w:r>
      <w:r>
        <w:rPr>
          <w:rFonts w:hint="eastAsia"/>
          <w:color w:val="000000"/>
          <w:spacing w:val="12"/>
          <w:szCs w:val="24"/>
        </w:rPr>
        <w:t>100</w:t>
      </w:r>
      <w:r>
        <w:rPr>
          <w:color w:val="000000"/>
          <w:spacing w:val="12"/>
          <w:szCs w:val="24"/>
        </w:rPr>
        <w:t>%。复垦</w:t>
      </w:r>
      <w:r>
        <w:rPr>
          <w:rFonts w:hint="eastAsia"/>
          <w:color w:val="000000"/>
          <w:spacing w:val="12"/>
          <w:szCs w:val="24"/>
        </w:rPr>
        <w:t>林地4.1706</w:t>
      </w:r>
      <w:r>
        <w:rPr>
          <w:color w:val="000000"/>
          <w:spacing w:val="12"/>
          <w:szCs w:val="24"/>
        </w:rPr>
        <w:t>hm²（均为</w:t>
      </w:r>
      <w:r>
        <w:rPr>
          <w:rFonts w:hint="eastAsia"/>
          <w:color w:val="000000"/>
          <w:spacing w:val="12"/>
          <w:szCs w:val="24"/>
        </w:rPr>
        <w:t>乔木林地</w:t>
      </w:r>
      <w:r>
        <w:rPr>
          <w:color w:val="000000"/>
          <w:spacing w:val="12"/>
          <w:szCs w:val="24"/>
        </w:rPr>
        <w:t>）。</w:t>
      </w:r>
    </w:p>
    <w:p>
      <w:pPr>
        <w:ind w:firstLine="468"/>
        <w:jc w:val="center"/>
        <w:rPr>
          <w:rFonts w:eastAsia="黑体"/>
          <w:color w:val="000000"/>
          <w:spacing w:val="12"/>
          <w:sz w:val="21"/>
          <w:szCs w:val="21"/>
        </w:rPr>
      </w:pPr>
      <w:r>
        <w:rPr>
          <w:rFonts w:eastAsia="黑体"/>
          <w:color w:val="000000"/>
          <w:spacing w:val="12"/>
          <w:sz w:val="21"/>
          <w:szCs w:val="21"/>
        </w:rPr>
        <w:t>表</w:t>
      </w:r>
      <w:r>
        <w:rPr>
          <w:rFonts w:hint="eastAsia" w:eastAsia="黑体"/>
          <w:color w:val="000000"/>
          <w:spacing w:val="12"/>
          <w:sz w:val="21"/>
          <w:szCs w:val="21"/>
        </w:rPr>
        <w:t>4</w:t>
      </w:r>
      <w:r>
        <w:rPr>
          <w:rFonts w:eastAsia="黑体"/>
          <w:color w:val="000000"/>
          <w:spacing w:val="12"/>
          <w:sz w:val="21"/>
          <w:szCs w:val="21"/>
        </w:rPr>
        <w:t>-</w:t>
      </w:r>
      <w:r>
        <w:rPr>
          <w:rFonts w:hint="eastAsia" w:eastAsia="黑体"/>
          <w:color w:val="000000"/>
          <w:spacing w:val="12"/>
          <w:sz w:val="21"/>
          <w:szCs w:val="21"/>
        </w:rPr>
        <w:t>5</w:t>
      </w:r>
      <w:r>
        <w:rPr>
          <w:rFonts w:eastAsia="黑体"/>
          <w:color w:val="000000"/>
          <w:spacing w:val="12"/>
          <w:sz w:val="21"/>
          <w:szCs w:val="21"/>
        </w:rPr>
        <w:t>复垦土地面积表</w:t>
      </w:r>
    </w:p>
    <w:tbl>
      <w:tblPr>
        <w:tblStyle w:val="25"/>
        <w:tblW w:w="852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99"/>
        <w:gridCol w:w="2474"/>
        <w:gridCol w:w="2317"/>
        <w:gridCol w:w="15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673" w:type="dxa"/>
            <w:gridSpan w:val="2"/>
            <w:noWrap/>
            <w:vAlign w:val="center"/>
          </w:tcPr>
          <w:p>
            <w:pPr>
              <w:widowControl/>
              <w:spacing w:line="240" w:lineRule="auto"/>
              <w:ind w:firstLine="0" w:firstLineChars="0"/>
              <w:jc w:val="center"/>
              <w:textAlignment w:val="center"/>
              <w:rPr>
                <w:color w:val="000000"/>
                <w:sz w:val="21"/>
                <w:szCs w:val="21"/>
              </w:rPr>
            </w:pPr>
            <w:bookmarkStart w:id="56" w:name="_Toc306776404"/>
            <w:bookmarkStart w:id="57" w:name="_Toc35614676"/>
            <w:r>
              <w:rPr>
                <w:color w:val="000000"/>
                <w:kern w:val="0"/>
                <w:sz w:val="21"/>
                <w:szCs w:val="21"/>
                <w:lang w:bidi="ar"/>
              </w:rPr>
              <w:t>地类编码</w:t>
            </w:r>
          </w:p>
        </w:tc>
        <w:tc>
          <w:tcPr>
            <w:tcW w:w="2317"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c>
          <w:tcPr>
            <w:tcW w:w="1535"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1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一级地类</w:t>
            </w:r>
          </w:p>
        </w:tc>
        <w:tc>
          <w:tcPr>
            <w:tcW w:w="24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二级地类</w:t>
            </w:r>
          </w:p>
        </w:tc>
        <w:tc>
          <w:tcPr>
            <w:tcW w:w="2317" w:type="dxa"/>
            <w:vMerge w:val="continue"/>
            <w:noWrap/>
            <w:vAlign w:val="center"/>
          </w:tcPr>
          <w:p>
            <w:pPr>
              <w:widowControl/>
              <w:spacing w:line="240" w:lineRule="auto"/>
              <w:ind w:firstLine="0" w:firstLineChars="0"/>
              <w:jc w:val="center"/>
              <w:textAlignment w:val="center"/>
              <w:rPr>
                <w:color w:val="000000"/>
                <w:kern w:val="0"/>
                <w:sz w:val="21"/>
                <w:szCs w:val="21"/>
                <w:lang w:bidi="ar"/>
              </w:rPr>
            </w:pPr>
          </w:p>
        </w:tc>
        <w:tc>
          <w:tcPr>
            <w:tcW w:w="1535" w:type="dxa"/>
            <w:vMerge w:val="continue"/>
            <w:noWrap/>
            <w:vAlign w:val="center"/>
          </w:tcPr>
          <w:p>
            <w:pPr>
              <w:widowControl/>
              <w:spacing w:line="240" w:lineRule="auto"/>
              <w:ind w:firstLine="0" w:firstLineChars="0"/>
              <w:jc w:val="center"/>
              <w:textAlignment w:val="center"/>
              <w:rPr>
                <w:color w:val="000000"/>
                <w:kern w:val="0"/>
                <w:sz w:val="21"/>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1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24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乔木林地（0301）</w:t>
            </w:r>
          </w:p>
        </w:tc>
        <w:tc>
          <w:tcPr>
            <w:tcW w:w="2317"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535"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673"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2317"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5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pStyle w:val="4"/>
        <w:spacing w:before="0" w:after="0"/>
        <w:ind w:firstLine="0" w:firstLineChars="0"/>
        <w:rPr>
          <w:color w:val="000000"/>
          <w:kern w:val="0"/>
          <w:szCs w:val="30"/>
        </w:rPr>
      </w:pPr>
      <w:bookmarkStart w:id="58" w:name="_Toc24589"/>
      <w:r>
        <w:rPr>
          <w:rFonts w:hint="eastAsia"/>
          <w:color w:val="000000"/>
          <w:kern w:val="0"/>
          <w:szCs w:val="30"/>
        </w:rPr>
        <w:t>4</w:t>
      </w:r>
      <w:r>
        <w:rPr>
          <w:color w:val="000000"/>
          <w:kern w:val="0"/>
          <w:szCs w:val="30"/>
        </w:rPr>
        <w:t>.2</w:t>
      </w:r>
      <w:r>
        <w:rPr>
          <w:rFonts w:hint="eastAsia"/>
          <w:color w:val="000000"/>
          <w:kern w:val="0"/>
          <w:szCs w:val="30"/>
        </w:rPr>
        <w:t>复垦责任范围</w:t>
      </w:r>
      <w:r>
        <w:rPr>
          <w:color w:val="000000"/>
          <w:kern w:val="0"/>
          <w:szCs w:val="30"/>
        </w:rPr>
        <w:t>土地利用状况</w:t>
      </w:r>
      <w:bookmarkEnd w:id="56"/>
      <w:bookmarkEnd w:id="57"/>
      <w:bookmarkEnd w:id="58"/>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w:t>
      </w:r>
      <w:r>
        <w:rPr>
          <w:color w:val="000000"/>
          <w:szCs w:val="28"/>
        </w:rPr>
        <w:t>.2.</w:t>
      </w:r>
      <w:r>
        <w:rPr>
          <w:rFonts w:hint="eastAsia"/>
          <w:color w:val="000000"/>
          <w:szCs w:val="28"/>
        </w:rPr>
        <w:t>1</w:t>
      </w:r>
      <w:r>
        <w:rPr>
          <w:color w:val="000000"/>
          <w:szCs w:val="28"/>
        </w:rPr>
        <w:t>土地利用类型</w:t>
      </w:r>
    </w:p>
    <w:p>
      <w:pPr>
        <w:overflowPunct w:val="0"/>
        <w:adjustRightInd w:val="0"/>
        <w:snapToGrid w:val="0"/>
        <w:ind w:firstLine="528"/>
        <w:rPr>
          <w:rFonts w:hint="eastAsia"/>
          <w:color w:val="000000"/>
          <w:spacing w:val="12"/>
          <w:szCs w:val="24"/>
        </w:rPr>
      </w:pPr>
      <w:r>
        <w:rPr>
          <w:rFonts w:hint="eastAsia"/>
          <w:color w:val="000000"/>
          <w:spacing w:val="12"/>
          <w:szCs w:val="24"/>
        </w:rPr>
        <w:t>a)土地利用类型</w:t>
      </w:r>
    </w:p>
    <w:p>
      <w:pPr>
        <w:overflowPunct w:val="0"/>
        <w:adjustRightInd w:val="0"/>
        <w:snapToGrid w:val="0"/>
        <w:ind w:firstLine="528"/>
        <w:rPr>
          <w:color w:val="000000"/>
          <w:spacing w:val="12"/>
          <w:szCs w:val="24"/>
        </w:rPr>
      </w:pPr>
      <w:r>
        <w:rPr>
          <w:rFonts w:hint="eastAsia"/>
          <w:color w:val="000000"/>
          <w:spacing w:val="12"/>
          <w:szCs w:val="24"/>
        </w:rPr>
        <w:t>本复垦方案中复垦责任区包括2个临时用地（弃土场、拌合站）土地利用现状以林地为主，林地现状树种主要为灌木林，具体的土地利用现状类型及数量详见表4-6。</w:t>
      </w:r>
    </w:p>
    <w:p>
      <w:pPr>
        <w:ind w:firstLine="468"/>
        <w:jc w:val="center"/>
        <w:rPr>
          <w:rFonts w:eastAsia="黑体"/>
          <w:color w:val="000000"/>
          <w:spacing w:val="12"/>
          <w:sz w:val="21"/>
          <w:szCs w:val="21"/>
        </w:rPr>
      </w:pPr>
      <w:r>
        <w:rPr>
          <w:rFonts w:eastAsia="黑体"/>
          <w:color w:val="000000"/>
          <w:spacing w:val="12"/>
          <w:sz w:val="21"/>
          <w:szCs w:val="21"/>
        </w:rPr>
        <w:t>表</w:t>
      </w:r>
      <w:r>
        <w:rPr>
          <w:rFonts w:hint="eastAsia" w:eastAsia="黑体"/>
          <w:color w:val="000000"/>
          <w:spacing w:val="12"/>
          <w:sz w:val="21"/>
          <w:szCs w:val="21"/>
        </w:rPr>
        <w:t>4</w:t>
      </w:r>
      <w:r>
        <w:rPr>
          <w:rFonts w:eastAsia="黑体"/>
          <w:color w:val="000000"/>
          <w:spacing w:val="12"/>
          <w:sz w:val="21"/>
          <w:szCs w:val="21"/>
        </w:rPr>
        <w:t>-</w:t>
      </w:r>
      <w:r>
        <w:rPr>
          <w:rFonts w:hint="eastAsia" w:eastAsia="黑体"/>
          <w:color w:val="000000"/>
          <w:spacing w:val="12"/>
          <w:sz w:val="21"/>
          <w:szCs w:val="21"/>
        </w:rPr>
        <w:t>6</w:t>
      </w:r>
      <w:r>
        <w:rPr>
          <w:rFonts w:eastAsia="黑体"/>
          <w:color w:val="000000"/>
          <w:spacing w:val="12"/>
          <w:sz w:val="21"/>
          <w:szCs w:val="21"/>
        </w:rPr>
        <w:t>复垦责任范围土地利用现状总表</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712"/>
        <w:gridCol w:w="2442"/>
        <w:gridCol w:w="1786"/>
        <w:gridCol w:w="15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5154"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类型（编码）</w:t>
            </w:r>
          </w:p>
        </w:tc>
        <w:tc>
          <w:tcPr>
            <w:tcW w:w="1786"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c>
          <w:tcPr>
            <w:tcW w:w="158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271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一级地类</w:t>
            </w:r>
          </w:p>
        </w:tc>
        <w:tc>
          <w:tcPr>
            <w:tcW w:w="24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二级地类</w:t>
            </w:r>
          </w:p>
        </w:tc>
        <w:tc>
          <w:tcPr>
            <w:tcW w:w="1786" w:type="dxa"/>
            <w:vMerge w:val="continue"/>
            <w:noWrap w:val="0"/>
            <w:vAlign w:val="center"/>
          </w:tcPr>
          <w:p>
            <w:pPr>
              <w:widowControl/>
              <w:spacing w:line="240" w:lineRule="auto"/>
              <w:ind w:firstLine="0" w:firstLineChars="0"/>
              <w:jc w:val="center"/>
              <w:rPr>
                <w:color w:val="000000"/>
                <w:sz w:val="21"/>
                <w:szCs w:val="21"/>
              </w:rPr>
            </w:pPr>
          </w:p>
        </w:tc>
        <w:tc>
          <w:tcPr>
            <w:tcW w:w="158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2712" w:type="dxa"/>
            <w:noWrap w:val="0"/>
            <w:vAlign w:val="center"/>
          </w:tcPr>
          <w:p>
            <w:pPr>
              <w:widowControl/>
              <w:spacing w:line="240" w:lineRule="auto"/>
              <w:ind w:firstLine="0" w:firstLineChars="0"/>
              <w:jc w:val="center"/>
              <w:rPr>
                <w:color w:val="000000"/>
                <w:sz w:val="21"/>
                <w:szCs w:val="21"/>
              </w:rPr>
            </w:pPr>
            <w:r>
              <w:rPr>
                <w:color w:val="000000"/>
                <w:kern w:val="0"/>
                <w:sz w:val="21"/>
                <w:szCs w:val="21"/>
                <w:lang w:bidi="ar"/>
              </w:rPr>
              <w:t>林地（03）</w:t>
            </w:r>
          </w:p>
        </w:tc>
        <w:tc>
          <w:tcPr>
            <w:tcW w:w="24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786"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585"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5154"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786"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5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pStyle w:val="5"/>
        <w:adjustRightInd w:val="0"/>
        <w:snapToGrid w:val="0"/>
        <w:spacing w:before="0" w:after="0" w:line="360" w:lineRule="auto"/>
        <w:ind w:left="101" w:hanging="100" w:hangingChars="36"/>
        <w:rPr>
          <w:color w:val="000000"/>
          <w:szCs w:val="28"/>
        </w:rPr>
      </w:pPr>
      <w:r>
        <w:rPr>
          <w:rFonts w:hint="eastAsia"/>
          <w:color w:val="000000"/>
          <w:szCs w:val="28"/>
        </w:rPr>
        <w:t>4</w:t>
      </w:r>
      <w:r>
        <w:rPr>
          <w:color w:val="000000"/>
          <w:szCs w:val="28"/>
        </w:rPr>
        <w:t>.2.</w:t>
      </w:r>
      <w:r>
        <w:rPr>
          <w:rFonts w:hint="eastAsia"/>
          <w:color w:val="000000"/>
          <w:szCs w:val="28"/>
        </w:rPr>
        <w:t>2</w:t>
      </w:r>
      <w:r>
        <w:rPr>
          <w:color w:val="000000"/>
          <w:szCs w:val="28"/>
        </w:rPr>
        <w:t>土地权属状况</w:t>
      </w:r>
    </w:p>
    <w:p>
      <w:pPr>
        <w:overflowPunct w:val="0"/>
        <w:adjustRightInd w:val="0"/>
        <w:snapToGrid w:val="0"/>
        <w:ind w:firstLine="528"/>
        <w:rPr>
          <w:rFonts w:hint="eastAsia"/>
          <w:color w:val="000000"/>
          <w:spacing w:val="12"/>
          <w:szCs w:val="24"/>
        </w:rPr>
      </w:pPr>
      <w:r>
        <w:rPr>
          <w:rFonts w:hint="eastAsia"/>
          <w:color w:val="000000"/>
          <w:spacing w:val="12"/>
          <w:szCs w:val="24"/>
        </w:rPr>
        <w:t>土地复垦责任范围涉及董马乡的集体土地，土地权属情况详见表4-7</w:t>
      </w:r>
      <w:r>
        <w:rPr>
          <w:color w:val="000000"/>
          <w:spacing w:val="12"/>
          <w:szCs w:val="24"/>
        </w:rPr>
        <w:t>。</w:t>
      </w:r>
    </w:p>
    <w:p>
      <w:pPr>
        <w:ind w:firstLine="0" w:firstLineChars="0"/>
        <w:jc w:val="center"/>
        <w:rPr>
          <w:rFonts w:hint="eastAsia" w:eastAsia="黑体" w:cs="Calibri"/>
          <w:color w:val="000000"/>
          <w:sz w:val="21"/>
          <w:szCs w:val="21"/>
        </w:rPr>
      </w:pPr>
      <w:r>
        <w:rPr>
          <w:rFonts w:eastAsia="黑体"/>
          <w:color w:val="000000"/>
          <w:sz w:val="21"/>
          <w:szCs w:val="21"/>
        </w:rPr>
        <w:t>表</w:t>
      </w:r>
      <w:r>
        <w:rPr>
          <w:rFonts w:hint="eastAsia" w:eastAsia="黑体"/>
          <w:color w:val="000000"/>
          <w:sz w:val="21"/>
          <w:szCs w:val="21"/>
        </w:rPr>
        <w:t>4</w:t>
      </w:r>
      <w:r>
        <w:rPr>
          <w:rFonts w:eastAsia="黑体"/>
          <w:color w:val="000000"/>
          <w:sz w:val="21"/>
          <w:szCs w:val="21"/>
        </w:rPr>
        <w:t>-</w:t>
      </w:r>
      <w:r>
        <w:rPr>
          <w:rFonts w:hint="eastAsia" w:eastAsia="黑体"/>
          <w:color w:val="000000"/>
          <w:sz w:val="21"/>
          <w:szCs w:val="21"/>
        </w:rPr>
        <w:t>7复垦责任范围</w:t>
      </w:r>
      <w:r>
        <w:rPr>
          <w:rFonts w:eastAsia="黑体"/>
          <w:color w:val="000000"/>
          <w:sz w:val="21"/>
          <w:szCs w:val="21"/>
        </w:rPr>
        <w:t>土地利用权属</w:t>
      </w:r>
      <w:r>
        <w:rPr>
          <w:rFonts w:hint="eastAsia" w:eastAsia="黑体"/>
          <w:color w:val="000000"/>
          <w:sz w:val="21"/>
          <w:szCs w:val="21"/>
        </w:rPr>
        <w:t>面积</w:t>
      </w:r>
      <w:r>
        <w:rPr>
          <w:rFonts w:eastAsia="黑体"/>
          <w:color w:val="000000"/>
          <w:sz w:val="21"/>
          <w:szCs w:val="21"/>
        </w:rPr>
        <w:t>表</w:t>
      </w:r>
    </w:p>
    <w:tbl>
      <w:tblPr>
        <w:tblStyle w:val="25"/>
        <w:tblW w:w="852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68"/>
        <w:gridCol w:w="892"/>
        <w:gridCol w:w="1973"/>
        <w:gridCol w:w="1792"/>
        <w:gridCol w:w="1315"/>
        <w:gridCol w:w="14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7040" w:type="dxa"/>
            <w:gridSpan w:val="5"/>
            <w:noWrap w:val="0"/>
            <w:vAlign w:val="center"/>
          </w:tcPr>
          <w:p>
            <w:pPr>
              <w:widowControl/>
              <w:spacing w:line="240" w:lineRule="auto"/>
              <w:ind w:firstLine="0" w:firstLineChars="0"/>
              <w:jc w:val="center"/>
              <w:textAlignment w:val="center"/>
              <w:rPr>
                <w:color w:val="000000"/>
                <w:sz w:val="21"/>
                <w:szCs w:val="21"/>
              </w:rPr>
            </w:pPr>
            <w:bookmarkStart w:id="59" w:name="_Toc306776405"/>
            <w:bookmarkStart w:id="60" w:name="_Toc35614677"/>
            <w:r>
              <w:rPr>
                <w:color w:val="000000"/>
                <w:kern w:val="0"/>
                <w:sz w:val="21"/>
                <w:szCs w:val="21"/>
                <w:lang w:bidi="ar"/>
              </w:rPr>
              <w:t>权属单位</w:t>
            </w:r>
          </w:p>
        </w:tc>
        <w:tc>
          <w:tcPr>
            <w:tcW w:w="148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06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县、区</w:t>
            </w:r>
          </w:p>
        </w:tc>
        <w:tc>
          <w:tcPr>
            <w:tcW w:w="89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乡镇</w:t>
            </w:r>
          </w:p>
        </w:tc>
        <w:tc>
          <w:tcPr>
            <w:tcW w:w="197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村民委员会</w:t>
            </w:r>
          </w:p>
        </w:tc>
        <w:tc>
          <w:tcPr>
            <w:tcW w:w="179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村民小组</w:t>
            </w:r>
          </w:p>
        </w:tc>
        <w:tc>
          <w:tcPr>
            <w:tcW w:w="131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功能分区</w:t>
            </w:r>
          </w:p>
        </w:tc>
        <w:tc>
          <w:tcPr>
            <w:tcW w:w="148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068" w:type="dxa"/>
            <w:vMerge w:val="restart"/>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西畴</w:t>
            </w:r>
            <w:r>
              <w:rPr>
                <w:color w:val="000000"/>
                <w:kern w:val="0"/>
                <w:sz w:val="21"/>
                <w:szCs w:val="21"/>
                <w:lang w:bidi="ar"/>
              </w:rPr>
              <w:t>县</w:t>
            </w:r>
          </w:p>
        </w:tc>
        <w:tc>
          <w:tcPr>
            <w:tcW w:w="892" w:type="dxa"/>
            <w:vMerge w:val="restart"/>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董马乡</w:t>
            </w:r>
          </w:p>
        </w:tc>
        <w:tc>
          <w:tcPr>
            <w:tcW w:w="1973" w:type="dxa"/>
            <w:vMerge w:val="restart"/>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新寨村民委员会</w:t>
            </w:r>
          </w:p>
        </w:tc>
        <w:tc>
          <w:tcPr>
            <w:tcW w:w="1792" w:type="dxa"/>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良子村民小组</w:t>
            </w:r>
          </w:p>
        </w:tc>
        <w:tc>
          <w:tcPr>
            <w:tcW w:w="1315" w:type="dxa"/>
            <w:noWrap w:val="0"/>
            <w:vAlign w:val="center"/>
          </w:tcPr>
          <w:p>
            <w:pPr>
              <w:widowControl/>
              <w:spacing w:line="240" w:lineRule="auto"/>
              <w:ind w:firstLine="0" w:firstLineChars="0"/>
              <w:jc w:val="center"/>
              <w:textAlignment w:val="center"/>
              <w:rPr>
                <w:rFonts w:hint="eastAsia"/>
                <w:color w:val="000000"/>
                <w:sz w:val="21"/>
                <w:szCs w:val="21"/>
              </w:rPr>
            </w:pPr>
            <w:r>
              <w:rPr>
                <w:rFonts w:hint="eastAsia"/>
                <w:color w:val="000000"/>
                <w:kern w:val="0"/>
                <w:sz w:val="21"/>
                <w:szCs w:val="21"/>
                <w:lang w:bidi="ar"/>
              </w:rPr>
              <w:t>1#弃土场</w:t>
            </w:r>
          </w:p>
        </w:tc>
        <w:tc>
          <w:tcPr>
            <w:tcW w:w="1485" w:type="dxa"/>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1.6252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068" w:type="dxa"/>
            <w:vMerge w:val="continue"/>
            <w:noWrap w:val="0"/>
            <w:vAlign w:val="center"/>
          </w:tcPr>
          <w:p>
            <w:pPr>
              <w:widowControl/>
              <w:spacing w:line="240" w:lineRule="auto"/>
              <w:ind w:firstLine="0" w:firstLineChars="0"/>
              <w:jc w:val="center"/>
              <w:textAlignment w:val="center"/>
              <w:rPr>
                <w:rFonts w:hint="eastAsia"/>
                <w:color w:val="000000"/>
                <w:kern w:val="0"/>
                <w:sz w:val="21"/>
                <w:szCs w:val="21"/>
                <w:lang w:bidi="ar"/>
              </w:rPr>
            </w:pPr>
          </w:p>
        </w:tc>
        <w:tc>
          <w:tcPr>
            <w:tcW w:w="892" w:type="dxa"/>
            <w:vMerge w:val="continue"/>
            <w:noWrap w:val="0"/>
            <w:vAlign w:val="center"/>
          </w:tcPr>
          <w:p>
            <w:pPr>
              <w:widowControl/>
              <w:spacing w:line="240" w:lineRule="auto"/>
              <w:ind w:firstLine="0" w:firstLineChars="0"/>
              <w:jc w:val="center"/>
              <w:textAlignment w:val="center"/>
              <w:rPr>
                <w:rFonts w:hint="eastAsia"/>
                <w:color w:val="000000"/>
                <w:kern w:val="0"/>
                <w:sz w:val="21"/>
                <w:szCs w:val="21"/>
                <w:lang w:bidi="ar"/>
              </w:rPr>
            </w:pPr>
          </w:p>
        </w:tc>
        <w:tc>
          <w:tcPr>
            <w:tcW w:w="1973" w:type="dxa"/>
            <w:vMerge w:val="continue"/>
            <w:noWrap/>
            <w:vAlign w:val="center"/>
          </w:tcPr>
          <w:p>
            <w:pPr>
              <w:widowControl/>
              <w:spacing w:line="240" w:lineRule="auto"/>
              <w:ind w:firstLine="0" w:firstLineChars="0"/>
              <w:jc w:val="center"/>
              <w:textAlignment w:val="center"/>
              <w:rPr>
                <w:rFonts w:hint="eastAsia"/>
                <w:color w:val="000000"/>
                <w:kern w:val="0"/>
                <w:sz w:val="21"/>
                <w:szCs w:val="21"/>
                <w:lang w:bidi="ar"/>
              </w:rPr>
            </w:pPr>
          </w:p>
        </w:tc>
        <w:tc>
          <w:tcPr>
            <w:tcW w:w="1792" w:type="dxa"/>
            <w:noWrap w:val="0"/>
            <w:vAlign w:val="center"/>
          </w:tcPr>
          <w:p>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良子村民小组</w:t>
            </w:r>
          </w:p>
        </w:tc>
        <w:tc>
          <w:tcPr>
            <w:tcW w:w="1315" w:type="dxa"/>
            <w:noWrap w:val="0"/>
            <w:vAlign w:val="center"/>
          </w:tcPr>
          <w:p>
            <w:pPr>
              <w:widowControl/>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1#拌合站</w:t>
            </w:r>
          </w:p>
        </w:tc>
        <w:tc>
          <w:tcPr>
            <w:tcW w:w="1485" w:type="dxa"/>
            <w:noWrap w:val="0"/>
            <w:vAlign w:val="center"/>
          </w:tcPr>
          <w:p>
            <w:pPr>
              <w:widowControl/>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2.2464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068" w:type="dxa"/>
            <w:vMerge w:val="continue"/>
            <w:noWrap w:val="0"/>
            <w:vAlign w:val="center"/>
          </w:tcPr>
          <w:p>
            <w:pPr>
              <w:widowControl/>
              <w:spacing w:line="240" w:lineRule="auto"/>
              <w:ind w:firstLine="0" w:firstLineChars="0"/>
              <w:jc w:val="center"/>
              <w:rPr>
                <w:color w:val="000000"/>
                <w:sz w:val="21"/>
                <w:szCs w:val="21"/>
              </w:rPr>
            </w:pPr>
          </w:p>
        </w:tc>
        <w:tc>
          <w:tcPr>
            <w:tcW w:w="892" w:type="dxa"/>
            <w:vMerge w:val="continue"/>
            <w:noWrap w:val="0"/>
            <w:vAlign w:val="center"/>
          </w:tcPr>
          <w:p>
            <w:pPr>
              <w:widowControl/>
              <w:spacing w:line="240" w:lineRule="auto"/>
              <w:ind w:firstLine="0" w:firstLineChars="0"/>
              <w:jc w:val="center"/>
              <w:rPr>
                <w:color w:val="000000"/>
                <w:sz w:val="21"/>
                <w:szCs w:val="21"/>
              </w:rPr>
            </w:pPr>
          </w:p>
        </w:tc>
        <w:tc>
          <w:tcPr>
            <w:tcW w:w="1973" w:type="dxa"/>
            <w:vMerge w:val="continue"/>
            <w:noWrap/>
            <w:vAlign w:val="center"/>
          </w:tcPr>
          <w:p>
            <w:pPr>
              <w:widowControl/>
              <w:spacing w:line="240" w:lineRule="auto"/>
              <w:ind w:firstLine="0" w:firstLineChars="0"/>
              <w:jc w:val="center"/>
              <w:rPr>
                <w:color w:val="000000"/>
                <w:sz w:val="21"/>
                <w:szCs w:val="21"/>
              </w:rPr>
            </w:pPr>
          </w:p>
        </w:tc>
        <w:tc>
          <w:tcPr>
            <w:tcW w:w="1792" w:type="dxa"/>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竹棚村民小组</w:t>
            </w:r>
          </w:p>
        </w:tc>
        <w:tc>
          <w:tcPr>
            <w:tcW w:w="1315" w:type="dxa"/>
            <w:noWrap w:val="0"/>
            <w:vAlign w:val="center"/>
          </w:tcPr>
          <w:p>
            <w:pPr>
              <w:widowControl/>
              <w:spacing w:line="240" w:lineRule="auto"/>
              <w:ind w:firstLine="0" w:firstLineChars="0"/>
              <w:jc w:val="center"/>
              <w:textAlignment w:val="center"/>
              <w:rPr>
                <w:rFonts w:hint="eastAsia"/>
                <w:color w:val="000000"/>
                <w:sz w:val="21"/>
                <w:szCs w:val="21"/>
              </w:rPr>
            </w:pPr>
            <w:r>
              <w:rPr>
                <w:rFonts w:hint="eastAsia"/>
                <w:color w:val="000000"/>
                <w:kern w:val="0"/>
                <w:sz w:val="21"/>
                <w:szCs w:val="21"/>
                <w:lang w:bidi="ar"/>
              </w:rPr>
              <w:t>1#弃土场</w:t>
            </w:r>
          </w:p>
        </w:tc>
        <w:tc>
          <w:tcPr>
            <w:tcW w:w="1485" w:type="dxa"/>
            <w:noWrap w:val="0"/>
            <w:vAlign w:val="center"/>
          </w:tcPr>
          <w:p>
            <w:pPr>
              <w:widowControl/>
              <w:spacing w:line="240" w:lineRule="auto"/>
              <w:ind w:firstLine="0" w:firstLineChars="0"/>
              <w:jc w:val="center"/>
              <w:textAlignment w:val="center"/>
              <w:rPr>
                <w:rFonts w:hint="eastAsia"/>
                <w:color w:val="000000"/>
                <w:sz w:val="21"/>
                <w:szCs w:val="21"/>
              </w:rPr>
            </w:pPr>
            <w:r>
              <w:rPr>
                <w:rFonts w:hint="eastAsia"/>
                <w:color w:val="000000"/>
                <w:kern w:val="0"/>
                <w:sz w:val="21"/>
                <w:szCs w:val="21"/>
                <w:lang w:bidi="ar"/>
              </w:rPr>
              <w:t>0.2990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7040" w:type="dxa"/>
            <w:gridSpan w:val="5"/>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485" w:type="dxa"/>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r>
    </w:tbl>
    <w:p>
      <w:pPr>
        <w:pStyle w:val="4"/>
        <w:spacing w:before="0" w:after="0"/>
        <w:ind w:firstLine="0" w:firstLineChars="0"/>
        <w:rPr>
          <w:color w:val="000000"/>
          <w:kern w:val="0"/>
          <w:szCs w:val="30"/>
        </w:rPr>
      </w:pPr>
      <w:bookmarkStart w:id="61" w:name="_Toc18002"/>
      <w:r>
        <w:rPr>
          <w:rFonts w:hint="eastAsia"/>
          <w:color w:val="000000"/>
          <w:kern w:val="0"/>
          <w:szCs w:val="30"/>
        </w:rPr>
        <w:t>4</w:t>
      </w:r>
      <w:r>
        <w:rPr>
          <w:color w:val="000000"/>
          <w:kern w:val="0"/>
          <w:szCs w:val="30"/>
        </w:rPr>
        <w:t>.3</w:t>
      </w:r>
      <w:bookmarkEnd w:id="59"/>
      <w:bookmarkStart w:id="62" w:name="_Toc327804159"/>
      <w:bookmarkStart w:id="63" w:name="_Toc306776406"/>
      <w:r>
        <w:rPr>
          <w:color w:val="000000"/>
          <w:kern w:val="0"/>
          <w:szCs w:val="30"/>
        </w:rPr>
        <w:t>生态环境影响分析</w:t>
      </w:r>
      <w:bookmarkEnd w:id="60"/>
      <w:bookmarkEnd w:id="61"/>
      <w:bookmarkEnd w:id="62"/>
    </w:p>
    <w:p>
      <w:pPr>
        <w:overflowPunct w:val="0"/>
        <w:adjustRightInd w:val="0"/>
        <w:snapToGrid w:val="0"/>
        <w:ind w:firstLine="528"/>
        <w:rPr>
          <w:rFonts w:hint="eastAsia"/>
          <w:color w:val="000000"/>
          <w:spacing w:val="12"/>
          <w:szCs w:val="24"/>
        </w:rPr>
      </w:pPr>
      <w:r>
        <w:rPr>
          <w:rFonts w:hint="eastAsia"/>
          <w:color w:val="000000"/>
          <w:spacing w:val="12"/>
          <w:szCs w:val="24"/>
        </w:rPr>
        <w:t>工程建设对环境影响主要表现在高速公路工程建设改变了项目区土地原有的利用方式，并对部分陆生植物造成永久性损毁影响；工程施工对施工区域局部生态环境造成暂时损毁影响；施工过程中新增水土流失对生态环境、河流水质将产生一定的不利影响；施工期“三废”和噪声污染对施工人群、野生动物产生一定的不利影响等。以上不利影响均可采取相应措施加以减免。</w:t>
      </w:r>
    </w:p>
    <w:p>
      <w:pPr>
        <w:overflowPunct w:val="0"/>
        <w:adjustRightInd w:val="0"/>
        <w:snapToGrid w:val="0"/>
        <w:ind w:firstLine="528"/>
        <w:rPr>
          <w:rFonts w:hint="eastAsia"/>
          <w:color w:val="000000"/>
          <w:spacing w:val="12"/>
          <w:szCs w:val="24"/>
        </w:rPr>
      </w:pPr>
      <w:r>
        <w:rPr>
          <w:rFonts w:hint="eastAsia"/>
          <w:color w:val="000000"/>
          <w:spacing w:val="12"/>
          <w:szCs w:val="24"/>
        </w:rPr>
        <w:t>工程的主要有利影响是：完善了全省高速公路网络，改善区域交通条件，促进旅游资源开发，同时带动西畴县的经济发展，创造可观的经济效益，为当地致富创造了良好的物质条件，并在一定程度上提高他们的生活质量。</w:t>
      </w:r>
    </w:p>
    <w:p>
      <w:pPr>
        <w:overflowPunct w:val="0"/>
        <w:adjustRightInd w:val="0"/>
        <w:snapToGrid w:val="0"/>
        <w:ind w:firstLine="528"/>
        <w:rPr>
          <w:rFonts w:hint="eastAsia"/>
          <w:color w:val="000000"/>
          <w:spacing w:val="12"/>
          <w:szCs w:val="24"/>
        </w:rPr>
      </w:pPr>
      <w:r>
        <w:rPr>
          <w:rFonts w:hint="eastAsia"/>
          <w:color w:val="000000"/>
          <w:spacing w:val="12"/>
          <w:szCs w:val="24"/>
        </w:rPr>
        <w:t>综上所述，西畴至富宁高速公路建设项目（西畴段）的建设对生态与环境的影响有利有弊，从整体分析，有利影响是主要的，西富高速具有显著的经济、社会和环境效益。</w:t>
      </w:r>
    </w:p>
    <w:p>
      <w:pPr>
        <w:pStyle w:val="5"/>
        <w:adjustRightInd w:val="0"/>
        <w:snapToGrid w:val="0"/>
        <w:spacing w:before="0" w:after="0" w:line="360" w:lineRule="auto"/>
        <w:ind w:left="101" w:hanging="100" w:hangingChars="36"/>
        <w:rPr>
          <w:color w:val="000000"/>
          <w:szCs w:val="28"/>
        </w:rPr>
      </w:pPr>
      <w:r>
        <w:rPr>
          <w:rFonts w:hint="eastAsia"/>
          <w:color w:val="000000"/>
          <w:szCs w:val="28"/>
        </w:rPr>
        <w:t>4</w:t>
      </w:r>
      <w:r>
        <w:rPr>
          <w:color w:val="000000"/>
          <w:szCs w:val="28"/>
        </w:rPr>
        <w:t>.3.1对土地生产力的影响</w:t>
      </w:r>
    </w:p>
    <w:p>
      <w:pPr>
        <w:overflowPunct w:val="0"/>
        <w:adjustRightInd w:val="0"/>
        <w:snapToGrid w:val="0"/>
        <w:ind w:firstLine="528"/>
        <w:rPr>
          <w:rFonts w:hint="eastAsia"/>
          <w:color w:val="000000"/>
          <w:spacing w:val="12"/>
          <w:szCs w:val="24"/>
          <w:highlight w:val="yellow"/>
        </w:rPr>
      </w:pPr>
      <w:bookmarkStart w:id="64" w:name="_Toc300662886"/>
      <w:bookmarkStart w:id="65" w:name="_Toc300856157"/>
      <w:bookmarkStart w:id="66" w:name="_Toc300659484"/>
      <w:bookmarkStart w:id="67" w:name="_Toc300659636"/>
      <w:r>
        <w:rPr>
          <w:rFonts w:hint="eastAsia"/>
          <w:color w:val="000000"/>
          <w:spacing w:val="12"/>
          <w:szCs w:val="24"/>
        </w:rPr>
        <w:t>工程建设将剥离大量的表土，使地表层裸露出来，若不采取水土保持措施，表层肥沃土壤将随地表径流被冲走，土壤中的氮、磷、钾等有效养分及有机质也随之丧失，使施工区域土壤趋于贫瘠化，土地生产力降低，可利用土地减少。</w:t>
      </w:r>
    </w:p>
    <w:p>
      <w:pPr>
        <w:overflowPunct w:val="0"/>
        <w:adjustRightInd w:val="0"/>
        <w:snapToGrid w:val="0"/>
        <w:ind w:firstLine="528"/>
        <w:rPr>
          <w:rFonts w:hint="eastAsia"/>
          <w:color w:val="000000"/>
          <w:spacing w:val="12"/>
          <w:szCs w:val="24"/>
        </w:rPr>
      </w:pPr>
      <w:r>
        <w:rPr>
          <w:rFonts w:hint="eastAsia"/>
          <w:color w:val="000000"/>
          <w:spacing w:val="12"/>
          <w:szCs w:val="24"/>
        </w:rPr>
        <w:t>工程施工对土地生产力的影响主要是施工期间的弃土场、拌合站及施工区域占用土地等使沿线的植被遭到一定程度的损毁，地表裸露，从而使沿线区域的土壤结构发生一定变化，进而降低土壤肥力，影响土地的生产力。</w:t>
      </w:r>
    </w:p>
    <w:p>
      <w:pPr>
        <w:pStyle w:val="5"/>
        <w:adjustRightInd w:val="0"/>
        <w:snapToGrid w:val="0"/>
        <w:spacing w:before="0" w:after="0" w:line="360" w:lineRule="auto"/>
        <w:ind w:left="101" w:hanging="100" w:hangingChars="36"/>
        <w:rPr>
          <w:color w:val="000000"/>
          <w:szCs w:val="28"/>
        </w:rPr>
      </w:pPr>
      <w:r>
        <w:rPr>
          <w:rFonts w:hint="eastAsia"/>
          <w:color w:val="000000"/>
          <w:szCs w:val="28"/>
        </w:rPr>
        <w:t>4</w:t>
      </w:r>
      <w:r>
        <w:rPr>
          <w:color w:val="000000"/>
          <w:szCs w:val="28"/>
        </w:rPr>
        <w:t>.3.2对动植物的影响</w:t>
      </w:r>
      <w:bookmarkEnd w:id="64"/>
      <w:bookmarkEnd w:id="65"/>
      <w:bookmarkEnd w:id="66"/>
      <w:bookmarkEnd w:id="67"/>
    </w:p>
    <w:p>
      <w:pPr>
        <w:overflowPunct w:val="0"/>
        <w:adjustRightInd w:val="0"/>
        <w:snapToGrid w:val="0"/>
        <w:ind w:firstLine="528"/>
        <w:rPr>
          <w:rFonts w:hint="eastAsia"/>
          <w:color w:val="000000"/>
          <w:spacing w:val="12"/>
          <w:szCs w:val="24"/>
        </w:rPr>
      </w:pPr>
      <w:r>
        <w:rPr>
          <w:rFonts w:hint="eastAsia"/>
          <w:color w:val="000000"/>
          <w:spacing w:val="12"/>
          <w:szCs w:val="24"/>
        </w:rPr>
        <w:t>a）土地损毁对植被的影响分析</w:t>
      </w:r>
    </w:p>
    <w:p>
      <w:pPr>
        <w:overflowPunct w:val="0"/>
        <w:adjustRightInd w:val="0"/>
        <w:snapToGrid w:val="0"/>
        <w:ind w:firstLine="528"/>
        <w:rPr>
          <w:rFonts w:hint="eastAsia"/>
          <w:color w:val="000000"/>
          <w:spacing w:val="12"/>
          <w:szCs w:val="24"/>
        </w:rPr>
      </w:pPr>
      <w:r>
        <w:rPr>
          <w:rFonts w:hint="eastAsia"/>
          <w:color w:val="000000"/>
          <w:spacing w:val="12"/>
          <w:szCs w:val="24"/>
        </w:rPr>
        <w:t>工程建设在建设过程中清除植被，损毁地表，造成项目区扰动地表区域内地表植被的完全损毁。影响区域内植被群落种类组成和数量分布，降低了区域植被覆盖度和生物多样指数。因而在高速公路建设过程中要注意保护植被，减少植被损毁面积，并在项目完工后尽快恢复植被。</w:t>
      </w:r>
    </w:p>
    <w:p>
      <w:pPr>
        <w:overflowPunct w:val="0"/>
        <w:adjustRightInd w:val="0"/>
        <w:snapToGrid w:val="0"/>
        <w:ind w:firstLine="528"/>
        <w:rPr>
          <w:rFonts w:hint="eastAsia"/>
          <w:color w:val="000000"/>
          <w:spacing w:val="12"/>
          <w:szCs w:val="24"/>
        </w:rPr>
      </w:pPr>
      <w:r>
        <w:rPr>
          <w:rFonts w:hint="eastAsia"/>
          <w:color w:val="000000"/>
          <w:spacing w:val="12"/>
          <w:szCs w:val="24"/>
        </w:rPr>
        <w:t>b）对动物的影响分析</w:t>
      </w:r>
    </w:p>
    <w:p>
      <w:pPr>
        <w:overflowPunct w:val="0"/>
        <w:adjustRightInd w:val="0"/>
        <w:snapToGrid w:val="0"/>
        <w:ind w:firstLine="528"/>
        <w:rPr>
          <w:rFonts w:hint="eastAsia"/>
          <w:color w:val="000000"/>
          <w:spacing w:val="12"/>
          <w:szCs w:val="24"/>
        </w:rPr>
      </w:pPr>
      <w:r>
        <w:rPr>
          <w:rFonts w:hint="eastAsia"/>
          <w:color w:val="000000"/>
          <w:spacing w:val="12"/>
          <w:szCs w:val="24"/>
        </w:rPr>
        <w:t>对野生动物的影响主要体现在两个方面：一方面是压占损毁，从而破坏植被使陆生动物失去赖以生存的条件。另一方面是人员的活动及设备噪声将会使施工区及周围一定范围内野生动物的活动和栖息产生一定影响，引起野生动物局部的迁移，使其群落组成和数量发生一定变化，然而，由于高速公路建设区四周分散着部分村庄，野生动物种类较少，且多为一些常见种类，因此这种不利影响是轻微的。</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4.3.3对土壤的影响</w:t>
      </w:r>
    </w:p>
    <w:p>
      <w:pPr>
        <w:overflowPunct w:val="0"/>
        <w:adjustRightInd w:val="0"/>
        <w:snapToGrid w:val="0"/>
        <w:ind w:firstLine="528"/>
        <w:rPr>
          <w:rFonts w:hint="eastAsia"/>
          <w:color w:val="000000"/>
          <w:spacing w:val="12"/>
          <w:szCs w:val="24"/>
        </w:rPr>
      </w:pPr>
      <w:r>
        <w:rPr>
          <w:rFonts w:hint="eastAsia"/>
          <w:color w:val="000000"/>
          <w:spacing w:val="12"/>
          <w:szCs w:val="24"/>
        </w:rPr>
        <w:t>高速公路在建设过程中，由于挖损、压占等，损毁原来稳定的土层和表层土壤，为加速土壤侵蚀提供了条件，可直接导致土地退化，降低土地生产力。其次，在运输工程中粉尘污染物通过自降和降水淋溶等途径进入土壤环境，从物理、化学和物理化学等方面影响周围土壤的孔隙度、团粒结构、酸碱度、土壤肥力及微量元素含量等，具体分析如下：</w:t>
      </w:r>
    </w:p>
    <w:p>
      <w:pPr>
        <w:overflowPunct w:val="0"/>
        <w:adjustRightInd w:val="0"/>
        <w:snapToGrid w:val="0"/>
        <w:ind w:firstLine="528"/>
        <w:rPr>
          <w:rFonts w:hint="eastAsia"/>
          <w:color w:val="000000"/>
          <w:spacing w:val="12"/>
          <w:szCs w:val="24"/>
        </w:rPr>
      </w:pPr>
      <w:r>
        <w:rPr>
          <w:rFonts w:hint="eastAsia"/>
          <w:color w:val="000000"/>
          <w:spacing w:val="12"/>
          <w:szCs w:val="24"/>
        </w:rPr>
        <w:t>a）粉尘量很少，不会改变附近土壤酸碱度；</w:t>
      </w:r>
    </w:p>
    <w:p>
      <w:pPr>
        <w:overflowPunct w:val="0"/>
        <w:adjustRightInd w:val="0"/>
        <w:snapToGrid w:val="0"/>
        <w:ind w:firstLine="528"/>
        <w:rPr>
          <w:rFonts w:hint="eastAsia"/>
          <w:color w:val="000000"/>
          <w:spacing w:val="12"/>
          <w:szCs w:val="24"/>
        </w:rPr>
      </w:pPr>
      <w:r>
        <w:rPr>
          <w:rFonts w:hint="eastAsia"/>
          <w:color w:val="000000"/>
          <w:spacing w:val="12"/>
          <w:szCs w:val="24"/>
        </w:rPr>
        <w:t>b）粉尘中重金属元素含量低且难以被植物直接吸收利用，因而对土壤和作物不会产生污染；</w:t>
      </w:r>
    </w:p>
    <w:p>
      <w:pPr>
        <w:overflowPunct w:val="0"/>
        <w:adjustRightInd w:val="0"/>
        <w:snapToGrid w:val="0"/>
        <w:ind w:firstLine="528"/>
        <w:rPr>
          <w:rFonts w:hint="eastAsia"/>
          <w:color w:val="000000"/>
          <w:spacing w:val="12"/>
          <w:szCs w:val="24"/>
        </w:rPr>
      </w:pPr>
      <w:r>
        <w:rPr>
          <w:rFonts w:hint="eastAsia"/>
          <w:color w:val="000000"/>
          <w:spacing w:val="12"/>
          <w:szCs w:val="24"/>
        </w:rPr>
        <w:t>c）从静态分析，粉尘在土壤中累积会增强土壤粘结性，造成土壤板结，并且降低了土壤孔隙度，使土壤表层严重结壳，阻碍土壤与大气的气体交换，从而抑制土壤微生物活动，影响土壤地力正常发挥，降低了土壤肥力。据安徽农学院研究，粉尘对土壤影响的实验结果，粉尘量达到每年每kg接纳2g粉尘条件下，经过20年的积累，方对土壤产生明显影响，运输产生的粉尘远远低于该数值，所以不会对土壤理化性质产生明显影响。</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4.3.4地质灾害的影响</w:t>
      </w:r>
    </w:p>
    <w:p>
      <w:pPr>
        <w:overflowPunct w:val="0"/>
        <w:adjustRightInd w:val="0"/>
        <w:snapToGrid w:val="0"/>
        <w:ind w:firstLine="528"/>
        <w:rPr>
          <w:rFonts w:hint="eastAsia"/>
          <w:color w:val="000000"/>
          <w:spacing w:val="12"/>
          <w:szCs w:val="24"/>
        </w:rPr>
      </w:pPr>
      <w:r>
        <w:rPr>
          <w:rFonts w:hint="eastAsia"/>
          <w:color w:val="000000"/>
          <w:spacing w:val="12"/>
          <w:szCs w:val="24"/>
        </w:rPr>
        <w:t>项目区已开展了地质灾害危险性评估工作，综合评估：项目区地质灾害具有点多面广、突发性强、破坏性强和群发性的特点。滑坡和泥石流是较常见的地质灾害类型，暴雨和单点暴雨发生频繁，高强度的降雨过程是激发滑坡、泥石流的主要诱发因素，而随着人口的增加和社会经济的快速发展，人类工程活动和社会经济的快速发展，人类工程活动对地质环境的扰动增加，加剧了滑坡、泥石流的活动和危害。结合本项目为一般建设项目，项目区周边没有地灾高发区域，也没有发育的地灾类型，项目建成后也不会引发新的地质灾害。</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4.3.5对水环境的影响</w:t>
      </w:r>
    </w:p>
    <w:p>
      <w:pPr>
        <w:overflowPunct w:val="0"/>
        <w:adjustRightInd w:val="0"/>
        <w:snapToGrid w:val="0"/>
        <w:ind w:firstLine="528"/>
        <w:rPr>
          <w:rFonts w:hint="eastAsia"/>
          <w:color w:val="000000"/>
          <w:spacing w:val="12"/>
          <w:szCs w:val="24"/>
        </w:rPr>
      </w:pPr>
      <w:r>
        <w:rPr>
          <w:rFonts w:hint="eastAsia"/>
          <w:color w:val="000000"/>
          <w:spacing w:val="12"/>
          <w:szCs w:val="24"/>
        </w:rPr>
        <w:t>高速公路建设的水污染主要在施工期。高速枢纽工程和隧道工程土石方开挖、回填、材料运输、弃土场弃土等过程产生的水土流失、扬尘、废土，以及施工机械跑、冒、滴、漏的污油和露天施工机械被雨水冲刷后产生一定量的含油污水，就近排入排水沟或排水管网。降雨冲刷路面产生的路面径流污水，增加地面水环境的污染负荷。</w:t>
      </w:r>
    </w:p>
    <w:p>
      <w:pPr>
        <w:overflowPunct w:val="0"/>
        <w:adjustRightInd w:val="0"/>
        <w:snapToGrid w:val="0"/>
        <w:ind w:firstLine="528"/>
        <w:rPr>
          <w:rFonts w:hint="eastAsia"/>
          <w:color w:val="000000"/>
          <w:spacing w:val="12"/>
          <w:szCs w:val="24"/>
        </w:rPr>
      </w:pPr>
      <w:r>
        <w:rPr>
          <w:rFonts w:hint="eastAsia"/>
          <w:color w:val="000000"/>
          <w:spacing w:val="12"/>
          <w:szCs w:val="24"/>
        </w:rPr>
        <w:t>工程建设所引起的水土流失，将使河流泥沙含量增大，水体使用功能降低。现场施工人员居住区产生的生活污水、生活垃圾和工程废水，有可能造成地表水和地下水污染。</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4.3.6对环境空气的影响</w:t>
      </w:r>
    </w:p>
    <w:p>
      <w:pPr>
        <w:overflowPunct w:val="0"/>
        <w:adjustRightInd w:val="0"/>
        <w:snapToGrid w:val="0"/>
        <w:ind w:firstLine="528"/>
        <w:rPr>
          <w:color w:val="000000"/>
          <w:spacing w:val="12"/>
          <w:szCs w:val="24"/>
          <w:highlight w:val="yellow"/>
        </w:rPr>
      </w:pPr>
      <w:r>
        <w:rPr>
          <w:rFonts w:hint="eastAsia"/>
          <w:color w:val="000000"/>
          <w:spacing w:val="12"/>
          <w:szCs w:val="24"/>
        </w:rPr>
        <w:t>高速公路建设工程在施工过程中对周围大气产生影响的环节较多，其中影响较大的有凿岩、爆破等产生的粉尘污染、交通运输扬尘以及大量的水泥、白灰等建筑材料在使用过程中产生的粉尘污染等。目前工程区空气质量良好，但工程一旦开工，各类机械设备骤增，生活附属设施的增加(如以油为燃料的汽车、空压机、铲运机、推土机等废气的排放、生活用锅炉的烟尘等)，将使大气中二氧化硫、二氧化氮、一氧化碳、飘尘、含铅量等指标明显上升，从而影响当地居民和施工人员的身体健康。临时用地范围距离村庄有一定距离，不会影响到当地居民。</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4.3.7固体废物的影响</w:t>
      </w:r>
    </w:p>
    <w:p>
      <w:pPr>
        <w:overflowPunct w:val="0"/>
        <w:adjustRightInd w:val="0"/>
        <w:snapToGrid w:val="0"/>
        <w:ind w:firstLine="528"/>
        <w:rPr>
          <w:rFonts w:hint="eastAsia"/>
          <w:color w:val="000000"/>
          <w:spacing w:val="12"/>
          <w:szCs w:val="24"/>
        </w:rPr>
      </w:pPr>
      <w:r>
        <w:rPr>
          <w:rFonts w:hint="eastAsia"/>
          <w:color w:val="000000"/>
          <w:spacing w:val="12"/>
          <w:szCs w:val="24"/>
        </w:rPr>
        <w:t>高速公路枢纽工程及隧道工程固体废物主要是指施工期间产生的废方弃料和生活垃圾。本建设项目第一期临时用地共涉及1个弃土场，弃土场位于地质条件相对稳定且发生地质灾害危险性小的区段，在弃土场的建设和弃渣过程中，《水保》都做了相应的水土保持措施比如：修筑排水沟和挡土墙等保护弃土场内的土体，防止滑坡和泥石流等自然灾害的发生。</w:t>
      </w:r>
    </w:p>
    <w:p>
      <w:pPr>
        <w:overflowPunct w:val="0"/>
        <w:adjustRightInd w:val="0"/>
        <w:snapToGrid w:val="0"/>
        <w:ind w:firstLine="528"/>
        <w:rPr>
          <w:color w:val="000000"/>
          <w:spacing w:val="12"/>
          <w:szCs w:val="24"/>
        </w:rPr>
      </w:pPr>
      <w:r>
        <w:rPr>
          <w:rFonts w:hint="eastAsia"/>
          <w:color w:val="000000"/>
          <w:spacing w:val="12"/>
          <w:szCs w:val="24"/>
        </w:rPr>
        <w:t>施工期间，施工人员将产生一定量的生活垃圾。生活垃圾应集中堆放、统一处理，减少对环境的影响。</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4.3.8社会环境的影响</w:t>
      </w:r>
    </w:p>
    <w:p>
      <w:pPr>
        <w:overflowPunct w:val="0"/>
        <w:adjustRightInd w:val="0"/>
        <w:snapToGrid w:val="0"/>
        <w:ind w:firstLine="528"/>
        <w:rPr>
          <w:rFonts w:hint="eastAsia"/>
          <w:color w:val="000000"/>
          <w:spacing w:val="12"/>
          <w:szCs w:val="24"/>
        </w:rPr>
      </w:pPr>
      <w:r>
        <w:rPr>
          <w:rFonts w:hint="eastAsia"/>
          <w:color w:val="000000"/>
          <w:spacing w:val="12"/>
          <w:szCs w:val="24"/>
        </w:rPr>
        <w:t>西富高速为西畴县的经济发展提供有利条件，同时也要看到，工程建设征地会对居民的农业生产及经济生活带来一定不利影响。但工程已考虑对该部分受影响居民赔偿土地，尽量使其生活水平不低于原有水平，甚至有所提高。</w:t>
      </w:r>
    </w:p>
    <w:p>
      <w:pPr>
        <w:overflowPunct w:val="0"/>
        <w:adjustRightInd w:val="0"/>
        <w:snapToGrid w:val="0"/>
        <w:ind w:firstLine="528"/>
        <w:rPr>
          <w:rFonts w:hint="eastAsia"/>
          <w:color w:val="000000"/>
          <w:spacing w:val="12"/>
          <w:szCs w:val="24"/>
        </w:rPr>
      </w:pPr>
      <w:r>
        <w:rPr>
          <w:rFonts w:hint="eastAsia"/>
          <w:color w:val="000000"/>
          <w:spacing w:val="12"/>
          <w:szCs w:val="24"/>
        </w:rPr>
        <w:t>西富高速的建设对加快地方建设、拉动地方经济具有巨大的作用。高速公路的建设，必将造就一个良好的社会环境。</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4.3.9道路交通的影响</w:t>
      </w:r>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西畴至富宁高速公路建设项目（西畴段）第一期临时用地1#弃土场、1#拌合站位于西富高速公路左侧，有农村道路链接，道路通达性良好，复垦后不影响道路继续使用。</w:t>
      </w:r>
    </w:p>
    <w:p>
      <w:pPr>
        <w:overflowPunct w:val="0"/>
        <w:adjustRightInd w:val="0"/>
        <w:snapToGrid w:val="0"/>
        <w:ind w:firstLine="528"/>
        <w:rPr>
          <w:color w:val="000000"/>
          <w:spacing w:val="12"/>
          <w:szCs w:val="24"/>
        </w:rPr>
      </w:pPr>
      <w:r>
        <w:rPr>
          <w:rFonts w:hint="eastAsia"/>
          <w:color w:val="000000"/>
          <w:spacing w:val="12"/>
          <w:szCs w:val="24"/>
        </w:rPr>
        <w:t>综上临时用地使用结束后，道路交通设施能满足当地村民正常使用，无需新增道路设施。</w:t>
      </w:r>
    </w:p>
    <w:p>
      <w:pPr>
        <w:pStyle w:val="4"/>
        <w:spacing w:before="0" w:after="0"/>
        <w:ind w:firstLine="0" w:firstLineChars="0"/>
        <w:rPr>
          <w:color w:val="000000"/>
          <w:kern w:val="0"/>
          <w:szCs w:val="30"/>
        </w:rPr>
      </w:pPr>
      <w:bookmarkStart w:id="68" w:name="_Toc13443"/>
      <w:bookmarkStart w:id="69" w:name="_Toc35614678"/>
      <w:r>
        <w:rPr>
          <w:rFonts w:hint="eastAsia"/>
          <w:color w:val="000000"/>
          <w:kern w:val="0"/>
          <w:szCs w:val="30"/>
        </w:rPr>
        <w:t>4</w:t>
      </w:r>
      <w:r>
        <w:rPr>
          <w:color w:val="000000"/>
          <w:kern w:val="0"/>
          <w:szCs w:val="30"/>
        </w:rPr>
        <w:t>.4土地复垦适应性评价</w:t>
      </w:r>
      <w:bookmarkEnd w:id="63"/>
      <w:bookmarkEnd w:id="68"/>
      <w:bookmarkEnd w:id="69"/>
    </w:p>
    <w:p>
      <w:pPr>
        <w:pStyle w:val="5"/>
        <w:adjustRightInd w:val="0"/>
        <w:snapToGrid w:val="0"/>
        <w:spacing w:before="0" w:after="0" w:line="360" w:lineRule="auto"/>
        <w:ind w:left="101" w:hanging="100" w:hangingChars="36"/>
        <w:rPr>
          <w:rFonts w:hint="eastAsia"/>
          <w:color w:val="000000"/>
          <w:szCs w:val="28"/>
        </w:rPr>
      </w:pPr>
      <w:bookmarkStart w:id="70" w:name="_Toc300856160"/>
      <w:bookmarkStart w:id="71" w:name="_Toc300662889"/>
      <w:bookmarkStart w:id="72" w:name="_Toc300659639"/>
      <w:bookmarkStart w:id="73" w:name="_Toc300659487"/>
      <w:bookmarkStart w:id="74" w:name="_Toc300659488"/>
      <w:bookmarkStart w:id="75" w:name="_Toc300659640"/>
      <w:bookmarkStart w:id="76" w:name="_Toc232219836"/>
      <w:bookmarkStart w:id="77" w:name="_Toc259295714"/>
      <w:r>
        <w:rPr>
          <w:rFonts w:hint="eastAsia"/>
          <w:color w:val="000000"/>
          <w:szCs w:val="28"/>
        </w:rPr>
        <w:t>4.4.1评价原则和依据</w:t>
      </w:r>
      <w:bookmarkEnd w:id="70"/>
      <w:bookmarkEnd w:id="71"/>
      <w:bookmarkEnd w:id="72"/>
      <w:bookmarkEnd w:id="73"/>
    </w:p>
    <w:p>
      <w:pPr>
        <w:overflowPunct w:val="0"/>
        <w:adjustRightInd w:val="0"/>
        <w:snapToGrid w:val="0"/>
        <w:ind w:firstLine="528"/>
        <w:outlineLvl w:val="2"/>
        <w:rPr>
          <w:rFonts w:hint="eastAsia"/>
          <w:color w:val="000000"/>
          <w:spacing w:val="12"/>
          <w:szCs w:val="24"/>
        </w:rPr>
      </w:pPr>
      <w:r>
        <w:rPr>
          <w:rFonts w:hint="eastAsia"/>
          <w:color w:val="000000"/>
          <w:spacing w:val="12"/>
          <w:szCs w:val="24"/>
        </w:rPr>
        <w:t>a）评价原则</w:t>
      </w:r>
      <w:bookmarkEnd w:id="74"/>
      <w:bookmarkEnd w:id="75"/>
    </w:p>
    <w:p>
      <w:pPr>
        <w:overflowPunct w:val="0"/>
        <w:adjustRightInd w:val="0"/>
        <w:snapToGrid w:val="0"/>
        <w:ind w:firstLine="528"/>
        <w:rPr>
          <w:rFonts w:hint="eastAsia"/>
          <w:color w:val="000000"/>
          <w:spacing w:val="12"/>
          <w:szCs w:val="24"/>
        </w:rPr>
      </w:pPr>
      <w:r>
        <w:rPr>
          <w:rFonts w:hint="eastAsia"/>
          <w:color w:val="000000"/>
          <w:spacing w:val="12"/>
          <w:szCs w:val="24"/>
        </w:rPr>
        <w:t>土地复垦适宜性评价应包括以下原则：</w:t>
      </w:r>
    </w:p>
    <w:p>
      <w:pPr>
        <w:overflowPunct w:val="0"/>
        <w:adjustRightInd w:val="0"/>
        <w:snapToGrid w:val="0"/>
        <w:ind w:firstLine="528"/>
        <w:rPr>
          <w:rFonts w:hint="eastAsia"/>
          <w:color w:val="000000"/>
          <w:spacing w:val="12"/>
          <w:szCs w:val="24"/>
        </w:rPr>
      </w:pPr>
      <w:r>
        <w:rPr>
          <w:rFonts w:hint="eastAsia"/>
          <w:color w:val="000000"/>
          <w:spacing w:val="12"/>
          <w:szCs w:val="24"/>
        </w:rPr>
        <w:t>1）因地制宜原则；</w:t>
      </w:r>
    </w:p>
    <w:p>
      <w:pPr>
        <w:overflowPunct w:val="0"/>
        <w:adjustRightInd w:val="0"/>
        <w:snapToGrid w:val="0"/>
        <w:ind w:firstLine="528"/>
        <w:rPr>
          <w:rFonts w:hint="eastAsia"/>
          <w:color w:val="000000"/>
          <w:spacing w:val="12"/>
          <w:szCs w:val="24"/>
        </w:rPr>
      </w:pPr>
      <w:r>
        <w:rPr>
          <w:rFonts w:hint="eastAsia"/>
          <w:color w:val="000000"/>
          <w:spacing w:val="12"/>
          <w:szCs w:val="24"/>
        </w:rPr>
        <w:t>2）土地复垦耕地优先和综合效益最佳原则；</w:t>
      </w:r>
    </w:p>
    <w:p>
      <w:pPr>
        <w:overflowPunct w:val="0"/>
        <w:adjustRightInd w:val="0"/>
        <w:snapToGrid w:val="0"/>
        <w:ind w:firstLine="528"/>
        <w:rPr>
          <w:rFonts w:hint="eastAsia"/>
          <w:color w:val="000000"/>
          <w:spacing w:val="12"/>
          <w:szCs w:val="24"/>
        </w:rPr>
      </w:pPr>
      <w:r>
        <w:rPr>
          <w:rFonts w:hint="eastAsia"/>
          <w:color w:val="000000"/>
          <w:spacing w:val="12"/>
          <w:szCs w:val="24"/>
        </w:rPr>
        <w:t>3）主导性限制因素与综合平衡原则；</w:t>
      </w:r>
    </w:p>
    <w:p>
      <w:pPr>
        <w:overflowPunct w:val="0"/>
        <w:adjustRightInd w:val="0"/>
        <w:snapToGrid w:val="0"/>
        <w:ind w:firstLine="528"/>
        <w:rPr>
          <w:rFonts w:hint="eastAsia"/>
          <w:color w:val="000000"/>
          <w:spacing w:val="12"/>
          <w:szCs w:val="24"/>
        </w:rPr>
      </w:pPr>
      <w:r>
        <w:rPr>
          <w:rFonts w:hint="eastAsia"/>
          <w:color w:val="000000"/>
          <w:spacing w:val="12"/>
          <w:szCs w:val="24"/>
        </w:rPr>
        <w:t>4）复垦后土地可持续利用原则；</w:t>
      </w:r>
    </w:p>
    <w:p>
      <w:pPr>
        <w:overflowPunct w:val="0"/>
        <w:adjustRightInd w:val="0"/>
        <w:snapToGrid w:val="0"/>
        <w:ind w:firstLine="528"/>
        <w:rPr>
          <w:rFonts w:hint="eastAsia"/>
          <w:color w:val="000000"/>
          <w:spacing w:val="12"/>
          <w:szCs w:val="24"/>
        </w:rPr>
      </w:pPr>
      <w:r>
        <w:rPr>
          <w:rFonts w:hint="eastAsia"/>
          <w:color w:val="000000"/>
          <w:spacing w:val="12"/>
          <w:szCs w:val="24"/>
        </w:rPr>
        <w:t>5）经济可行、技术合理性原则；</w:t>
      </w:r>
    </w:p>
    <w:p>
      <w:pPr>
        <w:overflowPunct w:val="0"/>
        <w:adjustRightInd w:val="0"/>
        <w:snapToGrid w:val="0"/>
        <w:ind w:firstLine="528"/>
        <w:rPr>
          <w:rFonts w:hint="eastAsia"/>
          <w:color w:val="000000"/>
          <w:spacing w:val="12"/>
          <w:szCs w:val="24"/>
        </w:rPr>
      </w:pPr>
      <w:r>
        <w:rPr>
          <w:rFonts w:hint="eastAsia"/>
          <w:color w:val="000000"/>
          <w:spacing w:val="12"/>
          <w:szCs w:val="24"/>
        </w:rPr>
        <w:t>6）社会因素和经济因素相结合原则。</w:t>
      </w:r>
    </w:p>
    <w:p>
      <w:pPr>
        <w:overflowPunct w:val="0"/>
        <w:adjustRightInd w:val="0"/>
        <w:snapToGrid w:val="0"/>
        <w:ind w:firstLine="528"/>
        <w:outlineLvl w:val="2"/>
        <w:rPr>
          <w:rFonts w:hint="eastAsia"/>
          <w:color w:val="000000"/>
          <w:spacing w:val="12"/>
          <w:szCs w:val="24"/>
        </w:rPr>
      </w:pPr>
      <w:bookmarkStart w:id="78" w:name="_Toc300659641"/>
      <w:bookmarkStart w:id="79" w:name="_Toc300659489"/>
      <w:r>
        <w:rPr>
          <w:rFonts w:hint="eastAsia"/>
          <w:color w:val="000000"/>
          <w:spacing w:val="12"/>
          <w:szCs w:val="24"/>
        </w:rPr>
        <w:t>b）评价依据</w:t>
      </w:r>
      <w:bookmarkEnd w:id="78"/>
      <w:bookmarkEnd w:id="79"/>
    </w:p>
    <w:p>
      <w:pPr>
        <w:overflowPunct w:val="0"/>
        <w:adjustRightInd w:val="0"/>
        <w:snapToGrid w:val="0"/>
        <w:ind w:firstLine="528"/>
        <w:rPr>
          <w:rFonts w:hint="eastAsia"/>
          <w:color w:val="000000"/>
          <w:spacing w:val="12"/>
          <w:szCs w:val="24"/>
        </w:rPr>
      </w:pPr>
      <w:r>
        <w:rPr>
          <w:rFonts w:hint="eastAsia"/>
          <w:color w:val="000000"/>
          <w:spacing w:val="12"/>
          <w:szCs w:val="24"/>
        </w:rPr>
        <w:t>1）《土壤环境质量标准》(GB15618-1995)；</w:t>
      </w:r>
    </w:p>
    <w:p>
      <w:pPr>
        <w:overflowPunct w:val="0"/>
        <w:adjustRightInd w:val="0"/>
        <w:snapToGrid w:val="0"/>
        <w:ind w:firstLine="528"/>
        <w:rPr>
          <w:rFonts w:hint="eastAsia"/>
          <w:color w:val="000000"/>
          <w:spacing w:val="12"/>
          <w:szCs w:val="24"/>
        </w:rPr>
      </w:pPr>
      <w:r>
        <w:rPr>
          <w:rFonts w:hint="eastAsia"/>
          <w:color w:val="000000"/>
          <w:spacing w:val="12"/>
          <w:szCs w:val="24"/>
        </w:rPr>
        <w:t>2）《农、林、牧生产用地污染控制标准》；</w:t>
      </w:r>
    </w:p>
    <w:p>
      <w:pPr>
        <w:overflowPunct w:val="0"/>
        <w:adjustRightInd w:val="0"/>
        <w:snapToGrid w:val="0"/>
        <w:ind w:firstLine="528"/>
        <w:rPr>
          <w:rFonts w:hint="eastAsia"/>
          <w:color w:val="000000"/>
          <w:spacing w:val="12"/>
          <w:szCs w:val="24"/>
        </w:rPr>
      </w:pPr>
      <w:r>
        <w:rPr>
          <w:rFonts w:hint="eastAsia"/>
          <w:color w:val="000000"/>
          <w:spacing w:val="12"/>
          <w:szCs w:val="24"/>
        </w:rPr>
        <w:t>3）《土地复垦质量控制标准》；</w:t>
      </w:r>
    </w:p>
    <w:p>
      <w:pPr>
        <w:overflowPunct w:val="0"/>
        <w:adjustRightInd w:val="0"/>
        <w:snapToGrid w:val="0"/>
        <w:ind w:firstLine="528"/>
        <w:rPr>
          <w:rFonts w:hint="eastAsia"/>
          <w:color w:val="000000"/>
          <w:spacing w:val="12"/>
          <w:szCs w:val="24"/>
        </w:rPr>
      </w:pPr>
      <w:r>
        <w:rPr>
          <w:rFonts w:hint="eastAsia"/>
          <w:color w:val="000000"/>
          <w:spacing w:val="12"/>
          <w:szCs w:val="24"/>
        </w:rPr>
        <w:t>4）《土地开发整理项目规划设计规范》(TD/T1012-2000)；</w:t>
      </w:r>
    </w:p>
    <w:p>
      <w:pPr>
        <w:overflowPunct w:val="0"/>
        <w:adjustRightInd w:val="0"/>
        <w:snapToGrid w:val="0"/>
        <w:ind w:firstLine="528"/>
        <w:rPr>
          <w:rFonts w:hint="eastAsia"/>
          <w:color w:val="000000"/>
          <w:spacing w:val="12"/>
          <w:szCs w:val="24"/>
        </w:rPr>
      </w:pPr>
      <w:r>
        <w:rPr>
          <w:rFonts w:hint="eastAsia"/>
          <w:color w:val="000000"/>
          <w:spacing w:val="12"/>
          <w:szCs w:val="24"/>
        </w:rPr>
        <w:t>5）《基本农田保护条例》(1998年);</w:t>
      </w:r>
    </w:p>
    <w:p>
      <w:pPr>
        <w:overflowPunct w:val="0"/>
        <w:adjustRightInd w:val="0"/>
        <w:snapToGrid w:val="0"/>
        <w:ind w:firstLine="528"/>
        <w:rPr>
          <w:rFonts w:hint="eastAsia"/>
          <w:color w:val="000000"/>
          <w:spacing w:val="12"/>
          <w:szCs w:val="24"/>
        </w:rPr>
      </w:pPr>
      <w:r>
        <w:rPr>
          <w:rFonts w:hint="eastAsia"/>
          <w:color w:val="000000"/>
          <w:spacing w:val="12"/>
          <w:szCs w:val="24"/>
        </w:rPr>
        <w:t>6）《耕地后备资源调查与评价技术规程》(2003);</w:t>
      </w:r>
    </w:p>
    <w:p>
      <w:pPr>
        <w:overflowPunct w:val="0"/>
        <w:adjustRightInd w:val="0"/>
        <w:snapToGrid w:val="0"/>
        <w:ind w:firstLine="528"/>
        <w:rPr>
          <w:color w:val="000000"/>
          <w:spacing w:val="12"/>
          <w:szCs w:val="24"/>
        </w:rPr>
      </w:pPr>
      <w:r>
        <w:rPr>
          <w:rFonts w:hint="eastAsia"/>
          <w:color w:val="000000"/>
          <w:spacing w:val="12"/>
          <w:szCs w:val="24"/>
        </w:rPr>
        <w:t>7）有关部门的规划政策要求</w:t>
      </w:r>
      <w:r>
        <w:rPr>
          <w:color w:val="000000"/>
          <w:spacing w:val="12"/>
          <w:szCs w:val="24"/>
        </w:rPr>
        <w:t>。</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4.4.</w:t>
      </w:r>
      <w:bookmarkEnd w:id="76"/>
      <w:bookmarkEnd w:id="77"/>
      <w:r>
        <w:rPr>
          <w:rFonts w:hint="eastAsia"/>
          <w:color w:val="000000"/>
          <w:szCs w:val="28"/>
        </w:rPr>
        <w:t>2土地复垦适宜性评价</w:t>
      </w:r>
    </w:p>
    <w:p>
      <w:pPr>
        <w:overflowPunct w:val="0"/>
        <w:adjustRightInd w:val="0"/>
        <w:snapToGrid w:val="0"/>
        <w:ind w:firstLine="528"/>
        <w:rPr>
          <w:rFonts w:hint="eastAsia"/>
          <w:color w:val="000000"/>
          <w:spacing w:val="12"/>
          <w:szCs w:val="24"/>
        </w:rPr>
      </w:pPr>
      <w:r>
        <w:rPr>
          <w:rFonts w:hint="eastAsia"/>
          <w:color w:val="000000"/>
          <w:spacing w:val="12"/>
          <w:szCs w:val="24"/>
        </w:rPr>
        <w:t>土地适宜性评价是以具体的土地利用方式和类型对土地条件的要求，逐个与土地资源类型的性质相互匹配并确认其适宜性的过程，依据其结果确定土地复垦后的土地利用方向。依据分级标准对复垦土地适宜性进行分级评价：</w:t>
      </w:r>
    </w:p>
    <w:p>
      <w:pPr>
        <w:overflowPunct w:val="0"/>
        <w:adjustRightInd w:val="0"/>
        <w:snapToGrid w:val="0"/>
        <w:ind w:firstLine="528"/>
        <w:outlineLvl w:val="2"/>
        <w:rPr>
          <w:rFonts w:hint="eastAsia"/>
          <w:color w:val="000000"/>
          <w:spacing w:val="12"/>
          <w:szCs w:val="24"/>
        </w:rPr>
      </w:pPr>
      <w:r>
        <w:rPr>
          <w:rFonts w:hint="eastAsia"/>
          <w:color w:val="000000"/>
          <w:spacing w:val="12"/>
          <w:szCs w:val="24"/>
        </w:rPr>
        <w:t>a）复垦土地适宜性评价单元类型的划分</w:t>
      </w:r>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评价单元是土地适宜性评价的基本单元，是评价的具体对象。土地对农林利用类型的适宜性和适宜程度及其地域分布状况，都是通过评价单元及组合状况来反映的。根据损毁预测分析及复垦责任范围的划定，2个临时用地全部纳入复垦范围。考虑土地利用现状、复垦方向及拟损毁分析等因素，本复垦方案将需进行土地适宜性评价的2个临时用地划分为2个评价单元：弃土场、拌合站。</w:t>
      </w:r>
      <w:bookmarkStart w:id="333" w:name="_GoBack"/>
      <w:bookmarkEnd w:id="333"/>
    </w:p>
    <w:p>
      <w:pPr>
        <w:overflowPunct w:val="0"/>
        <w:adjustRightInd w:val="0"/>
        <w:snapToGrid w:val="0"/>
        <w:ind w:firstLine="528"/>
        <w:outlineLvl w:val="2"/>
        <w:rPr>
          <w:rFonts w:hint="eastAsia"/>
          <w:color w:val="000000"/>
          <w:spacing w:val="12"/>
          <w:szCs w:val="24"/>
        </w:rPr>
      </w:pPr>
      <w:r>
        <w:rPr>
          <w:rFonts w:hint="eastAsia"/>
          <w:color w:val="000000"/>
          <w:spacing w:val="12"/>
          <w:szCs w:val="24"/>
        </w:rPr>
        <w:t>b）复垦土地适宜性评价参评因素的选择</w:t>
      </w:r>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根据复垦区的实际情况、复垦前的土地用途，参考《土地复垦质量控制标准》、《农用地质量分等规程》（GB/T28407-2012）、《农用地定级规程》（GB/T28405-2012）、《农用地估价规程》（GB/T28406-2012》等资料，选择土壤质地、地形坡度、土壤有机质含量、土地利用现状、灌溉条件、排水条件、有效土层厚度、交通条件和水土流失现状等9项因子，评价本项目待复垦土地的宜水宜旱情况。80分以上为宜水田类、水浇地；60-80分为宜旱地类；30-60分为宜林宜种植园地类。土地复垦适宜性评价标准和权重指数见表4-8。</w:t>
      </w:r>
    </w:p>
    <w:p>
      <w:pPr>
        <w:overflowPunct w:val="0"/>
        <w:adjustRightInd w:val="0"/>
        <w:snapToGrid w:val="0"/>
        <w:ind w:firstLine="420"/>
        <w:jc w:val="center"/>
        <w:rPr>
          <w:rFonts w:eastAsia="黑体"/>
          <w:color w:val="000000"/>
          <w:kern w:val="4"/>
          <w:sz w:val="21"/>
          <w:szCs w:val="21"/>
          <w:highlight w:val="yellow"/>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8</w:t>
      </w:r>
      <w:r>
        <w:rPr>
          <w:rFonts w:eastAsia="黑体"/>
          <w:color w:val="000000"/>
          <w:kern w:val="4"/>
          <w:sz w:val="21"/>
          <w:szCs w:val="21"/>
        </w:rPr>
        <w:t>土地复垦适宜性评价标准和权重指数表</w:t>
      </w:r>
    </w:p>
    <w:tbl>
      <w:tblPr>
        <w:tblStyle w:val="25"/>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2065"/>
        <w:gridCol w:w="1127"/>
        <w:gridCol w:w="1315"/>
        <w:gridCol w:w="1885"/>
        <w:gridCol w:w="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299" w:type="dxa"/>
            <w:noWrap w:val="0"/>
            <w:vAlign w:val="center"/>
          </w:tcPr>
          <w:p>
            <w:pPr>
              <w:pStyle w:val="46"/>
              <w:jc w:val="center"/>
              <w:rPr>
                <w:rFonts w:eastAsia="仿宋_GB2312"/>
                <w:color w:val="000000"/>
                <w:kern w:val="0"/>
                <w:szCs w:val="21"/>
              </w:rPr>
            </w:pPr>
            <w:r>
              <w:rPr>
                <w:rFonts w:eastAsia="仿宋_GB2312"/>
                <w:color w:val="000000"/>
                <w:kern w:val="0"/>
                <w:szCs w:val="21"/>
              </w:rPr>
              <w:t>因子及满分</w:t>
            </w: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指标</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权重指数</w:t>
            </w:r>
          </w:p>
        </w:tc>
        <w:tc>
          <w:tcPr>
            <w:tcW w:w="1315" w:type="dxa"/>
            <w:noWrap w:val="0"/>
            <w:vAlign w:val="center"/>
          </w:tcPr>
          <w:p>
            <w:pPr>
              <w:pStyle w:val="46"/>
              <w:jc w:val="center"/>
              <w:rPr>
                <w:rFonts w:eastAsia="仿宋_GB2312"/>
                <w:color w:val="000000"/>
                <w:kern w:val="0"/>
                <w:szCs w:val="21"/>
              </w:rPr>
            </w:pPr>
            <w:r>
              <w:rPr>
                <w:rFonts w:eastAsia="仿宋_GB2312"/>
                <w:color w:val="000000"/>
                <w:kern w:val="0"/>
                <w:szCs w:val="21"/>
              </w:rPr>
              <w:t>因子及满分</w:t>
            </w: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指标</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权重指数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土壤质地(12)</w:t>
            </w: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壤土</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12</w:t>
            </w:r>
          </w:p>
        </w:tc>
        <w:tc>
          <w:tcPr>
            <w:tcW w:w="1315"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灌溉条件(10)</w:t>
            </w: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有稳定灌溉条件</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粘土、砂壤土</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9</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灌溉水源保证一般</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重粘土、砂土</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7</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灌溉水源保证差</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砂质土、砾质</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4</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无灌溉水源保证</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石质</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0</w:t>
            </w:r>
          </w:p>
        </w:tc>
        <w:tc>
          <w:tcPr>
            <w:tcW w:w="1315"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排水条件(10)</w:t>
            </w: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排水好</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地形坡度(°)(12)</w:t>
            </w: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&lt;2</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12</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排水一般</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2—6</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10</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排水差</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6—15</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8</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无</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15—25</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6</w:t>
            </w:r>
          </w:p>
        </w:tc>
        <w:tc>
          <w:tcPr>
            <w:tcW w:w="1315"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有效土层厚度(cm)(12)</w:t>
            </w: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&gt;150</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&gt;25</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4</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80-150</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土壤有机质含量(g.kg-1)(15)</w:t>
            </w: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&gt;4%</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15</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30-80</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4%-1%</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10</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&lt;30</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0.6%-1%</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5</w:t>
            </w:r>
          </w:p>
        </w:tc>
        <w:tc>
          <w:tcPr>
            <w:tcW w:w="1315"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交通条件(8)</w:t>
            </w: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好</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&lt;0.6%</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一般</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土地利用现状(15)</w:t>
            </w: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水田</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15</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差</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旱地、水浇地</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10</w:t>
            </w:r>
          </w:p>
        </w:tc>
        <w:tc>
          <w:tcPr>
            <w:tcW w:w="1315" w:type="dxa"/>
            <w:vMerge w:val="restart"/>
            <w:noWrap w:val="0"/>
            <w:vAlign w:val="center"/>
          </w:tcPr>
          <w:p>
            <w:pPr>
              <w:pStyle w:val="46"/>
              <w:jc w:val="center"/>
              <w:rPr>
                <w:rFonts w:eastAsia="仿宋_GB2312"/>
                <w:color w:val="000000"/>
                <w:kern w:val="0"/>
                <w:szCs w:val="21"/>
              </w:rPr>
            </w:pPr>
            <w:r>
              <w:rPr>
                <w:rFonts w:eastAsia="仿宋_GB2312"/>
                <w:color w:val="000000"/>
                <w:kern w:val="0"/>
                <w:szCs w:val="21"/>
              </w:rPr>
              <w:t>水土流失现状(5)</w:t>
            </w: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无</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hint="eastAsia" w:eastAsia="仿宋_GB2312"/>
                <w:color w:val="000000"/>
                <w:kern w:val="0"/>
                <w:szCs w:val="21"/>
              </w:rPr>
              <w:t>种植</w:t>
            </w:r>
            <w:r>
              <w:rPr>
                <w:rFonts w:eastAsia="仿宋_GB2312"/>
                <w:color w:val="000000"/>
                <w:kern w:val="0"/>
                <w:szCs w:val="21"/>
              </w:rPr>
              <w:t>园地、林地</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6</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轻度</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牧草地、其他草地</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3</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中度</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 w:type="dxa"/>
            <w:vMerge w:val="continue"/>
            <w:noWrap w:val="0"/>
            <w:vAlign w:val="center"/>
          </w:tcPr>
          <w:p>
            <w:pPr>
              <w:pStyle w:val="46"/>
              <w:jc w:val="center"/>
              <w:rPr>
                <w:rFonts w:eastAsia="仿宋_GB2312"/>
                <w:color w:val="000000"/>
                <w:kern w:val="0"/>
                <w:szCs w:val="21"/>
              </w:rPr>
            </w:pPr>
          </w:p>
        </w:tc>
        <w:tc>
          <w:tcPr>
            <w:tcW w:w="2065" w:type="dxa"/>
            <w:noWrap w:val="0"/>
            <w:vAlign w:val="center"/>
          </w:tcPr>
          <w:p>
            <w:pPr>
              <w:pStyle w:val="46"/>
              <w:jc w:val="center"/>
              <w:rPr>
                <w:rFonts w:eastAsia="仿宋_GB2312"/>
                <w:color w:val="000000"/>
                <w:kern w:val="0"/>
                <w:szCs w:val="21"/>
              </w:rPr>
            </w:pPr>
            <w:r>
              <w:rPr>
                <w:rFonts w:eastAsia="仿宋_GB2312"/>
                <w:color w:val="000000"/>
                <w:kern w:val="0"/>
                <w:szCs w:val="21"/>
              </w:rPr>
              <w:t>裸土地、裸岩石砾地</w:t>
            </w:r>
          </w:p>
        </w:tc>
        <w:tc>
          <w:tcPr>
            <w:tcW w:w="1127" w:type="dxa"/>
            <w:noWrap w:val="0"/>
            <w:vAlign w:val="center"/>
          </w:tcPr>
          <w:p>
            <w:pPr>
              <w:pStyle w:val="46"/>
              <w:jc w:val="center"/>
              <w:rPr>
                <w:rFonts w:eastAsia="仿宋_GB2312"/>
                <w:color w:val="000000"/>
                <w:kern w:val="0"/>
                <w:szCs w:val="21"/>
              </w:rPr>
            </w:pPr>
            <w:r>
              <w:rPr>
                <w:rFonts w:eastAsia="仿宋_GB2312"/>
                <w:color w:val="000000"/>
                <w:kern w:val="0"/>
                <w:szCs w:val="21"/>
              </w:rPr>
              <w:t>0</w:t>
            </w:r>
          </w:p>
        </w:tc>
        <w:tc>
          <w:tcPr>
            <w:tcW w:w="1315" w:type="dxa"/>
            <w:vMerge w:val="continue"/>
            <w:noWrap w:val="0"/>
            <w:vAlign w:val="center"/>
          </w:tcPr>
          <w:p>
            <w:pPr>
              <w:pStyle w:val="46"/>
              <w:jc w:val="center"/>
              <w:rPr>
                <w:rFonts w:eastAsia="仿宋_GB2312"/>
                <w:color w:val="000000"/>
                <w:kern w:val="0"/>
                <w:szCs w:val="21"/>
              </w:rPr>
            </w:pPr>
          </w:p>
        </w:tc>
        <w:tc>
          <w:tcPr>
            <w:tcW w:w="1885" w:type="dxa"/>
            <w:noWrap w:val="0"/>
            <w:vAlign w:val="center"/>
          </w:tcPr>
          <w:p>
            <w:pPr>
              <w:pStyle w:val="46"/>
              <w:jc w:val="center"/>
              <w:rPr>
                <w:rFonts w:eastAsia="仿宋_GB2312"/>
                <w:color w:val="000000"/>
                <w:kern w:val="0"/>
                <w:szCs w:val="21"/>
              </w:rPr>
            </w:pPr>
            <w:r>
              <w:rPr>
                <w:rFonts w:eastAsia="仿宋_GB2312"/>
                <w:color w:val="000000"/>
                <w:kern w:val="0"/>
                <w:szCs w:val="21"/>
              </w:rPr>
              <w:t>重度</w:t>
            </w:r>
          </w:p>
        </w:tc>
        <w:tc>
          <w:tcPr>
            <w:tcW w:w="837" w:type="dxa"/>
            <w:noWrap w:val="0"/>
            <w:vAlign w:val="center"/>
          </w:tcPr>
          <w:p>
            <w:pPr>
              <w:pStyle w:val="46"/>
              <w:jc w:val="center"/>
              <w:rPr>
                <w:rFonts w:eastAsia="仿宋_GB2312"/>
                <w:color w:val="000000"/>
                <w:kern w:val="0"/>
                <w:szCs w:val="21"/>
              </w:rPr>
            </w:pPr>
            <w:r>
              <w:rPr>
                <w:rFonts w:eastAsia="仿宋_GB2312"/>
                <w:color w:val="000000"/>
                <w:kern w:val="0"/>
                <w:szCs w:val="21"/>
              </w:rPr>
              <w:t>0</w:t>
            </w:r>
          </w:p>
        </w:tc>
      </w:tr>
    </w:tbl>
    <w:p>
      <w:pPr>
        <w:overflowPunct w:val="0"/>
        <w:adjustRightInd w:val="0"/>
        <w:snapToGrid w:val="0"/>
        <w:ind w:firstLine="528"/>
        <w:outlineLvl w:val="2"/>
        <w:rPr>
          <w:rFonts w:hint="eastAsia"/>
          <w:color w:val="000000"/>
          <w:spacing w:val="12"/>
          <w:szCs w:val="24"/>
        </w:rPr>
      </w:pPr>
      <w:r>
        <w:rPr>
          <w:rFonts w:hint="eastAsia"/>
          <w:color w:val="000000"/>
          <w:spacing w:val="12"/>
          <w:szCs w:val="24"/>
        </w:rPr>
        <w:t>c）待复垦土地适宜性评价结果</w:t>
      </w:r>
    </w:p>
    <w:p>
      <w:pPr>
        <w:overflowPunct w:val="0"/>
        <w:adjustRightInd w:val="0"/>
        <w:snapToGrid w:val="0"/>
        <w:ind w:firstLine="528"/>
        <w:rPr>
          <w:color w:val="000000"/>
          <w:spacing w:val="12"/>
          <w:szCs w:val="24"/>
          <w:highlight w:val="yellow"/>
        </w:rPr>
        <w:sectPr>
          <w:footerReference r:id="rId18" w:type="default"/>
          <w:pgSz w:w="11906" w:h="16838"/>
          <w:pgMar w:top="1440" w:right="1797" w:bottom="1440" w:left="1797" w:header="851" w:footer="992" w:gutter="0"/>
          <w:cols w:space="720" w:num="1"/>
          <w:docGrid w:type="lines" w:linePitch="312" w:charSpace="0"/>
        </w:sectPr>
      </w:pPr>
      <w:r>
        <w:rPr>
          <w:rFonts w:hint="eastAsia"/>
          <w:color w:val="000000"/>
          <w:spacing w:val="12"/>
          <w:szCs w:val="24"/>
        </w:rPr>
        <w:t>仔细调查实地各类参评单元的土地质量状况，将参评单元的土地质量分布与复垦土地主要限制因素的标准进行逐项比配，综合分析得出土地质量各项指标分值结果，详见表4-9。</w:t>
      </w:r>
    </w:p>
    <w:p>
      <w:pPr>
        <w:ind w:right="210" w:firstLine="0" w:firstLineChars="0"/>
        <w:jc w:val="center"/>
        <w:rPr>
          <w:rFonts w:hint="eastAsia" w:eastAsia="黑体"/>
          <w:color w:val="000000"/>
          <w:kern w:val="4"/>
          <w:sz w:val="21"/>
          <w:szCs w:val="21"/>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9</w:t>
      </w:r>
      <w:r>
        <w:rPr>
          <w:rFonts w:eastAsia="黑体"/>
          <w:color w:val="000000"/>
          <w:kern w:val="4"/>
          <w:sz w:val="21"/>
          <w:szCs w:val="21"/>
        </w:rPr>
        <w:t>待复垦土地适应性评价结果表</w:t>
      </w:r>
    </w:p>
    <w:tbl>
      <w:tblPr>
        <w:tblStyle w:val="25"/>
        <w:tblW w:w="1416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02"/>
        <w:gridCol w:w="769"/>
        <w:gridCol w:w="1092"/>
        <w:gridCol w:w="1153"/>
        <w:gridCol w:w="1595"/>
        <w:gridCol w:w="1105"/>
        <w:gridCol w:w="1008"/>
        <w:gridCol w:w="770"/>
        <w:gridCol w:w="765"/>
        <w:gridCol w:w="974"/>
        <w:gridCol w:w="821"/>
        <w:gridCol w:w="847"/>
        <w:gridCol w:w="668"/>
        <w:gridCol w:w="13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71" w:type="dxa"/>
            <w:gridSpan w:val="2"/>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评价单元</w:t>
            </w:r>
          </w:p>
        </w:tc>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w:t>
            </w:r>
          </w:p>
        </w:tc>
        <w:tc>
          <w:tcPr>
            <w:tcW w:w="11100" w:type="dxa"/>
            <w:gridSpan w:val="11"/>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71" w:type="dxa"/>
            <w:gridSpan w:val="2"/>
            <w:vMerge w:val="continue"/>
            <w:noWrap/>
            <w:vAlign w:val="center"/>
          </w:tcPr>
          <w:p>
            <w:pPr>
              <w:widowControl/>
              <w:spacing w:line="240" w:lineRule="auto"/>
              <w:ind w:firstLine="0" w:firstLineChars="0"/>
              <w:jc w:val="center"/>
              <w:rPr>
                <w:color w:val="000000"/>
                <w:sz w:val="21"/>
                <w:szCs w:val="21"/>
              </w:rPr>
            </w:pPr>
          </w:p>
        </w:tc>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hm</w:t>
            </w:r>
            <w:r>
              <w:rPr>
                <w:color w:val="000000"/>
                <w:kern w:val="0"/>
                <w:sz w:val="21"/>
                <w:szCs w:val="21"/>
                <w:vertAlign w:val="superscript"/>
                <w:lang w:bidi="ar"/>
              </w:rPr>
              <w:t>2</w:t>
            </w:r>
          </w:p>
        </w:tc>
        <w:tc>
          <w:tcPr>
            <w:tcW w:w="115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土壤质地</w:t>
            </w:r>
          </w:p>
        </w:tc>
        <w:tc>
          <w:tcPr>
            <w:tcW w:w="159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地形坡度</w:t>
            </w:r>
          </w:p>
        </w:tc>
        <w:tc>
          <w:tcPr>
            <w:tcW w:w="110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土壤有机质含量</w:t>
            </w:r>
          </w:p>
        </w:tc>
        <w:tc>
          <w:tcPr>
            <w:tcW w:w="100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土地利用现状</w:t>
            </w:r>
          </w:p>
        </w:tc>
        <w:tc>
          <w:tcPr>
            <w:tcW w:w="77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灌溉条件</w:t>
            </w:r>
          </w:p>
        </w:tc>
        <w:tc>
          <w:tcPr>
            <w:tcW w:w="76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排水条件</w:t>
            </w:r>
          </w:p>
        </w:tc>
        <w:tc>
          <w:tcPr>
            <w:tcW w:w="97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有效土层厚度</w:t>
            </w:r>
          </w:p>
        </w:tc>
        <w:tc>
          <w:tcPr>
            <w:tcW w:w="82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交通条件</w:t>
            </w:r>
          </w:p>
        </w:tc>
        <w:tc>
          <w:tcPr>
            <w:tcW w:w="84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水土流失现状</w:t>
            </w:r>
          </w:p>
        </w:tc>
        <w:tc>
          <w:tcPr>
            <w:tcW w:w="66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总分</w:t>
            </w:r>
          </w:p>
        </w:tc>
        <w:tc>
          <w:tcPr>
            <w:tcW w:w="139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适宜性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20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平台</w:t>
            </w:r>
          </w:p>
        </w:tc>
        <w:tc>
          <w:tcPr>
            <w:tcW w:w="1092"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1.7007</w:t>
            </w:r>
          </w:p>
        </w:tc>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w:t>
            </w:r>
          </w:p>
        </w:tc>
        <w:tc>
          <w:tcPr>
            <w:tcW w:w="15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110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00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w:t>
            </w:r>
          </w:p>
        </w:tc>
        <w:tc>
          <w:tcPr>
            <w:tcW w:w="7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7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w:t>
            </w:r>
          </w:p>
        </w:tc>
        <w:tc>
          <w:tcPr>
            <w:tcW w:w="9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82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6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56</w:t>
            </w:r>
          </w:p>
        </w:tc>
        <w:tc>
          <w:tcPr>
            <w:tcW w:w="139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202" w:type="dxa"/>
            <w:vMerge w:val="continue"/>
            <w:noWrap/>
            <w:vAlign w:val="center"/>
          </w:tcPr>
          <w:p>
            <w:pPr>
              <w:widowControl/>
              <w:spacing w:line="240" w:lineRule="auto"/>
              <w:ind w:firstLine="0" w:firstLineChars="0"/>
              <w:jc w:val="center"/>
              <w:rPr>
                <w:color w:val="000000"/>
                <w:sz w:val="21"/>
                <w:szCs w:val="21"/>
              </w:rPr>
            </w:pPr>
          </w:p>
        </w:tc>
        <w:tc>
          <w:tcPr>
            <w:tcW w:w="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边坡</w:t>
            </w:r>
          </w:p>
        </w:tc>
        <w:tc>
          <w:tcPr>
            <w:tcW w:w="1092"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0.2235</w:t>
            </w:r>
          </w:p>
        </w:tc>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w:t>
            </w:r>
          </w:p>
        </w:tc>
        <w:tc>
          <w:tcPr>
            <w:tcW w:w="15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10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00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w:t>
            </w:r>
          </w:p>
        </w:tc>
        <w:tc>
          <w:tcPr>
            <w:tcW w:w="7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7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w:t>
            </w:r>
          </w:p>
        </w:tc>
        <w:tc>
          <w:tcPr>
            <w:tcW w:w="9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82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6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54</w:t>
            </w:r>
          </w:p>
        </w:tc>
        <w:tc>
          <w:tcPr>
            <w:tcW w:w="139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7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rFonts w:hint="eastAsia"/>
                <w:color w:val="000000"/>
                <w:sz w:val="21"/>
                <w:szCs w:val="21"/>
              </w:rPr>
              <w:t>1#拌合站</w:t>
            </w:r>
          </w:p>
        </w:tc>
        <w:tc>
          <w:tcPr>
            <w:tcW w:w="1092"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2.2464</w:t>
            </w:r>
          </w:p>
        </w:tc>
        <w:tc>
          <w:tcPr>
            <w:tcW w:w="1153"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7</w:t>
            </w:r>
          </w:p>
        </w:tc>
        <w:tc>
          <w:tcPr>
            <w:tcW w:w="1595"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6</w:t>
            </w:r>
          </w:p>
        </w:tc>
        <w:tc>
          <w:tcPr>
            <w:tcW w:w="1105"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5</w:t>
            </w:r>
          </w:p>
        </w:tc>
        <w:tc>
          <w:tcPr>
            <w:tcW w:w="1008"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10</w:t>
            </w:r>
          </w:p>
        </w:tc>
        <w:tc>
          <w:tcPr>
            <w:tcW w:w="770"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3</w:t>
            </w:r>
          </w:p>
        </w:tc>
        <w:tc>
          <w:tcPr>
            <w:tcW w:w="765"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8</w:t>
            </w:r>
          </w:p>
        </w:tc>
        <w:tc>
          <w:tcPr>
            <w:tcW w:w="974"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5</w:t>
            </w:r>
          </w:p>
        </w:tc>
        <w:tc>
          <w:tcPr>
            <w:tcW w:w="821"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5</w:t>
            </w:r>
          </w:p>
        </w:tc>
        <w:tc>
          <w:tcPr>
            <w:tcW w:w="847"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4</w:t>
            </w:r>
          </w:p>
        </w:tc>
        <w:tc>
          <w:tcPr>
            <w:tcW w:w="668"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53</w:t>
            </w:r>
          </w:p>
        </w:tc>
        <w:tc>
          <w:tcPr>
            <w:tcW w:w="1394"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乔木林地</w:t>
            </w:r>
          </w:p>
        </w:tc>
      </w:tr>
    </w:tbl>
    <w:p>
      <w:pPr>
        <w:ind w:firstLine="480"/>
        <w:rPr>
          <w:rFonts w:hint="eastAsia"/>
          <w:color w:val="000000"/>
          <w:kern w:val="4"/>
          <w:highlight w:val="yellow"/>
        </w:rPr>
        <w:sectPr>
          <w:footerReference r:id="rId19" w:type="default"/>
          <w:pgSz w:w="16838" w:h="11906" w:orient="landscape"/>
          <w:pgMar w:top="1797" w:right="1440" w:bottom="1797" w:left="1440" w:header="851" w:footer="992" w:gutter="0"/>
          <w:cols w:space="720" w:num="1"/>
          <w:docGrid w:type="lines" w:linePitch="326" w:charSpace="0"/>
        </w:sectPr>
      </w:pPr>
    </w:p>
    <w:p>
      <w:pPr>
        <w:pStyle w:val="5"/>
        <w:adjustRightInd w:val="0"/>
        <w:snapToGrid w:val="0"/>
        <w:spacing w:before="0" w:after="0" w:line="360" w:lineRule="auto"/>
        <w:ind w:left="101" w:hanging="100" w:hangingChars="36"/>
        <w:rPr>
          <w:rFonts w:hint="eastAsia"/>
          <w:color w:val="000000"/>
          <w:szCs w:val="28"/>
        </w:rPr>
      </w:pPr>
      <w:bookmarkStart w:id="80" w:name="_Toc232219841"/>
      <w:bookmarkStart w:id="81" w:name="_Toc259295719"/>
      <w:r>
        <w:rPr>
          <w:rFonts w:hint="eastAsia"/>
          <w:color w:val="000000"/>
          <w:szCs w:val="28"/>
        </w:rPr>
        <w:t>4.4.3土地复垦规划利用类型</w:t>
      </w:r>
      <w:bookmarkEnd w:id="80"/>
      <w:bookmarkEnd w:id="81"/>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复垦适宜性评价可以得出，复垦的适宜方向主要为乔木林地比较适宜。结合本项目土地损毁前土地的使用功能和周边情况，根据土地利用现状，复垦责任范围共4.1706hm</w:t>
      </w:r>
      <w:r>
        <w:rPr>
          <w:color w:val="000000"/>
          <w:spacing w:val="12"/>
          <w:szCs w:val="24"/>
        </w:rPr>
        <w:t>²</w:t>
      </w:r>
      <w:r>
        <w:rPr>
          <w:rFonts w:hint="eastAsia"/>
          <w:color w:val="000000"/>
          <w:spacing w:val="12"/>
          <w:szCs w:val="24"/>
        </w:rPr>
        <w:t>，待复垦土地面积4.1706hm</w:t>
      </w:r>
      <w:r>
        <w:rPr>
          <w:color w:val="000000"/>
          <w:spacing w:val="12"/>
          <w:szCs w:val="24"/>
        </w:rPr>
        <w:t>²</w:t>
      </w:r>
      <w:r>
        <w:rPr>
          <w:rFonts w:hint="eastAsia"/>
          <w:color w:val="000000"/>
          <w:spacing w:val="12"/>
          <w:szCs w:val="24"/>
        </w:rPr>
        <w:t>。土地复垦规划土地利用类型见表4-10。</w:t>
      </w:r>
    </w:p>
    <w:p>
      <w:pPr>
        <w:ind w:right="210" w:firstLine="420"/>
        <w:jc w:val="right"/>
        <w:rPr>
          <w:rFonts w:hint="eastAsia" w:eastAsia="黑体"/>
          <w:color w:val="000000"/>
          <w:kern w:val="0"/>
          <w:sz w:val="21"/>
          <w:szCs w:val="21"/>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10</w:t>
      </w:r>
      <w:r>
        <w:rPr>
          <w:rFonts w:eastAsia="黑体"/>
          <w:color w:val="000000"/>
          <w:kern w:val="4"/>
          <w:sz w:val="21"/>
          <w:szCs w:val="21"/>
        </w:rPr>
        <w:t>项目区土地复垦规划利用类型表</w:t>
      </w:r>
      <w:r>
        <w:rPr>
          <w:rFonts w:eastAsia="黑体"/>
          <w:color w:val="000000"/>
          <w:kern w:val="0"/>
          <w:sz w:val="21"/>
          <w:szCs w:val="21"/>
        </w:rPr>
        <w:t>单位：</w:t>
      </w:r>
      <w:r>
        <w:rPr>
          <w:rFonts w:hint="eastAsia" w:eastAsia="黑体"/>
          <w:color w:val="000000"/>
          <w:kern w:val="0"/>
          <w:sz w:val="21"/>
          <w:szCs w:val="21"/>
        </w:rPr>
        <w:t xml:space="preserve">        hm</w:t>
      </w:r>
      <w:r>
        <w:rPr>
          <w:rFonts w:eastAsia="黑体"/>
          <w:color w:val="000000"/>
          <w:kern w:val="0"/>
          <w:sz w:val="21"/>
          <w:szCs w:val="21"/>
        </w:rPr>
        <w:t>²</w:t>
      </w:r>
    </w:p>
    <w:tbl>
      <w:tblPr>
        <w:tblStyle w:val="25"/>
        <w:tblW w:w="852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1061"/>
        <w:gridCol w:w="750"/>
        <w:gridCol w:w="1557"/>
        <w:gridCol w:w="2297"/>
        <w:gridCol w:w="17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58" w:type="dxa"/>
            <w:noWrap/>
            <w:vAlign w:val="center"/>
          </w:tcPr>
          <w:p>
            <w:pPr>
              <w:widowControl/>
              <w:spacing w:line="240" w:lineRule="auto"/>
              <w:ind w:firstLine="0" w:firstLineChars="0"/>
              <w:jc w:val="center"/>
              <w:textAlignment w:val="center"/>
              <w:rPr>
                <w:color w:val="000000"/>
                <w:sz w:val="21"/>
                <w:szCs w:val="21"/>
              </w:rPr>
            </w:pPr>
            <w:bookmarkStart w:id="82" w:name="_Toc306776407"/>
            <w:bookmarkStart w:id="83" w:name="_Toc35614679"/>
            <w:r>
              <w:rPr>
                <w:color w:val="000000"/>
                <w:kern w:val="0"/>
                <w:sz w:val="21"/>
                <w:szCs w:val="21"/>
                <w:lang w:bidi="ar"/>
              </w:rPr>
              <w:t>所在县域</w:t>
            </w:r>
          </w:p>
        </w:tc>
        <w:tc>
          <w:tcPr>
            <w:tcW w:w="1811"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评价单元</w:t>
            </w:r>
          </w:p>
        </w:tc>
        <w:tc>
          <w:tcPr>
            <w:tcW w:w="15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复垦责任范围</w:t>
            </w:r>
          </w:p>
        </w:tc>
        <w:tc>
          <w:tcPr>
            <w:tcW w:w="229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待复垦土地面积</w:t>
            </w:r>
          </w:p>
        </w:tc>
        <w:tc>
          <w:tcPr>
            <w:tcW w:w="17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适宜性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58" w:type="dxa"/>
            <w:vMerge w:val="restart"/>
            <w:noWrap/>
            <w:vAlign w:val="center"/>
          </w:tcPr>
          <w:p>
            <w:pPr>
              <w:widowControl/>
              <w:spacing w:line="240" w:lineRule="auto"/>
              <w:ind w:firstLine="0" w:firstLineChars="0"/>
              <w:jc w:val="center"/>
              <w:rPr>
                <w:color w:val="000000"/>
                <w:sz w:val="21"/>
                <w:szCs w:val="21"/>
              </w:rPr>
            </w:pPr>
            <w:r>
              <w:rPr>
                <w:rFonts w:hint="eastAsia"/>
                <w:color w:val="000000"/>
                <w:sz w:val="21"/>
                <w:szCs w:val="21"/>
              </w:rPr>
              <w:t>西畴县</w:t>
            </w:r>
          </w:p>
        </w:tc>
        <w:tc>
          <w:tcPr>
            <w:tcW w:w="1061" w:type="dxa"/>
            <w:vMerge w:val="restart"/>
            <w:noWrap/>
            <w:vAlign w:val="center"/>
          </w:tcPr>
          <w:p>
            <w:pPr>
              <w:widowControl/>
              <w:spacing w:line="240" w:lineRule="auto"/>
              <w:ind w:firstLine="0" w:firstLineChars="0"/>
              <w:jc w:val="center"/>
              <w:textAlignment w:val="center"/>
              <w:rPr>
                <w:rFonts w:hint="eastAsia"/>
                <w:color w:val="000000"/>
                <w:sz w:val="21"/>
                <w:szCs w:val="21"/>
              </w:rPr>
            </w:pPr>
            <w:r>
              <w:rPr>
                <w:color w:val="000000"/>
                <w:kern w:val="0"/>
                <w:sz w:val="21"/>
                <w:szCs w:val="21"/>
                <w:lang w:bidi="ar"/>
              </w:rPr>
              <w:t>1#</w:t>
            </w:r>
            <w:r>
              <w:rPr>
                <w:rFonts w:hint="eastAsia"/>
                <w:color w:val="000000"/>
                <w:kern w:val="0"/>
                <w:sz w:val="21"/>
                <w:szCs w:val="21"/>
                <w:lang w:bidi="ar"/>
              </w:rPr>
              <w:t>弃土场</w:t>
            </w:r>
          </w:p>
        </w:tc>
        <w:tc>
          <w:tcPr>
            <w:tcW w:w="7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平台</w:t>
            </w:r>
          </w:p>
        </w:tc>
        <w:tc>
          <w:tcPr>
            <w:tcW w:w="1557"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1.7007</w:t>
            </w:r>
          </w:p>
        </w:tc>
        <w:tc>
          <w:tcPr>
            <w:tcW w:w="2297"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1.7007</w:t>
            </w:r>
          </w:p>
        </w:tc>
        <w:tc>
          <w:tcPr>
            <w:tcW w:w="1702" w:type="dxa"/>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乔木林地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58" w:type="dxa"/>
            <w:vMerge w:val="continue"/>
            <w:noWrap/>
            <w:vAlign w:val="center"/>
          </w:tcPr>
          <w:p>
            <w:pPr>
              <w:widowControl/>
              <w:spacing w:line="240" w:lineRule="auto"/>
              <w:ind w:firstLine="0" w:firstLineChars="0"/>
              <w:jc w:val="center"/>
              <w:rPr>
                <w:color w:val="000000"/>
                <w:sz w:val="21"/>
                <w:szCs w:val="21"/>
              </w:rPr>
            </w:pPr>
          </w:p>
        </w:tc>
        <w:tc>
          <w:tcPr>
            <w:tcW w:w="1061" w:type="dxa"/>
            <w:vMerge w:val="continue"/>
            <w:noWrap/>
            <w:vAlign w:val="center"/>
          </w:tcPr>
          <w:p>
            <w:pPr>
              <w:widowControl/>
              <w:spacing w:line="240" w:lineRule="auto"/>
              <w:ind w:firstLine="0" w:firstLineChars="0"/>
              <w:jc w:val="center"/>
              <w:rPr>
                <w:color w:val="000000"/>
                <w:sz w:val="21"/>
                <w:szCs w:val="21"/>
              </w:rPr>
            </w:pPr>
          </w:p>
        </w:tc>
        <w:tc>
          <w:tcPr>
            <w:tcW w:w="7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边坡</w:t>
            </w:r>
          </w:p>
        </w:tc>
        <w:tc>
          <w:tcPr>
            <w:tcW w:w="1557"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0.2235</w:t>
            </w:r>
          </w:p>
        </w:tc>
        <w:tc>
          <w:tcPr>
            <w:tcW w:w="2297"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0.2235</w:t>
            </w:r>
          </w:p>
        </w:tc>
        <w:tc>
          <w:tcPr>
            <w:tcW w:w="1702" w:type="dxa"/>
            <w:noWrap w:val="0"/>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乔木林地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58" w:type="dxa"/>
            <w:vMerge w:val="continue"/>
            <w:noWrap/>
            <w:vAlign w:val="center"/>
          </w:tcPr>
          <w:p>
            <w:pPr>
              <w:widowControl/>
              <w:spacing w:line="240" w:lineRule="auto"/>
              <w:ind w:firstLine="0" w:firstLineChars="0"/>
              <w:jc w:val="center"/>
              <w:rPr>
                <w:color w:val="000000"/>
                <w:sz w:val="21"/>
                <w:szCs w:val="21"/>
              </w:rPr>
            </w:pPr>
          </w:p>
        </w:tc>
        <w:tc>
          <w:tcPr>
            <w:tcW w:w="1061" w:type="dxa"/>
            <w:vMerge w:val="continue"/>
            <w:noWrap/>
            <w:vAlign w:val="center"/>
          </w:tcPr>
          <w:p>
            <w:pPr>
              <w:widowControl/>
              <w:spacing w:line="240" w:lineRule="auto"/>
              <w:ind w:firstLine="0" w:firstLineChars="0"/>
              <w:jc w:val="center"/>
              <w:rPr>
                <w:color w:val="000000"/>
                <w:sz w:val="21"/>
                <w:szCs w:val="21"/>
              </w:rPr>
            </w:pPr>
          </w:p>
        </w:tc>
        <w:tc>
          <w:tcPr>
            <w:tcW w:w="7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557"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1.9242</w:t>
            </w:r>
          </w:p>
        </w:tc>
        <w:tc>
          <w:tcPr>
            <w:tcW w:w="2297"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1.9242</w:t>
            </w:r>
          </w:p>
        </w:tc>
        <w:tc>
          <w:tcPr>
            <w:tcW w:w="17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58" w:type="dxa"/>
            <w:vMerge w:val="continue"/>
            <w:noWrap/>
            <w:vAlign w:val="center"/>
          </w:tcPr>
          <w:p>
            <w:pPr>
              <w:widowControl/>
              <w:spacing w:line="240" w:lineRule="auto"/>
              <w:ind w:firstLine="0" w:firstLineChars="0"/>
              <w:jc w:val="center"/>
              <w:rPr>
                <w:color w:val="000000"/>
                <w:sz w:val="21"/>
                <w:szCs w:val="21"/>
              </w:rPr>
            </w:pPr>
          </w:p>
        </w:tc>
        <w:tc>
          <w:tcPr>
            <w:tcW w:w="1811"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1#拌合站</w:t>
            </w:r>
          </w:p>
        </w:tc>
        <w:tc>
          <w:tcPr>
            <w:tcW w:w="1557"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2.2464</w:t>
            </w:r>
          </w:p>
        </w:tc>
        <w:tc>
          <w:tcPr>
            <w:tcW w:w="2297"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2.2464</w:t>
            </w:r>
          </w:p>
        </w:tc>
        <w:tc>
          <w:tcPr>
            <w:tcW w:w="1702" w:type="dxa"/>
            <w:noWrap/>
            <w:vAlign w:val="center"/>
          </w:tcPr>
          <w:p>
            <w:pPr>
              <w:widowControl/>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乔木林地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969" w:type="dxa"/>
            <w:gridSpan w:val="3"/>
            <w:noWrap w:val="0"/>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合计</w:t>
            </w:r>
          </w:p>
        </w:tc>
        <w:tc>
          <w:tcPr>
            <w:tcW w:w="1557"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2297"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4.1706</w:t>
            </w:r>
          </w:p>
        </w:tc>
        <w:tc>
          <w:tcPr>
            <w:tcW w:w="1702" w:type="dxa"/>
            <w:noWrap w:val="0"/>
            <w:vAlign w:val="bottom"/>
          </w:tcPr>
          <w:p>
            <w:pPr>
              <w:widowControl/>
              <w:spacing w:line="240" w:lineRule="auto"/>
              <w:ind w:firstLine="0" w:firstLineChars="0"/>
              <w:jc w:val="center"/>
              <w:textAlignment w:val="bottom"/>
              <w:rPr>
                <w:color w:val="000000"/>
                <w:sz w:val="21"/>
                <w:szCs w:val="21"/>
              </w:rPr>
            </w:pPr>
            <w:r>
              <w:rPr>
                <w:color w:val="000000"/>
                <w:kern w:val="0"/>
                <w:sz w:val="21"/>
                <w:szCs w:val="21"/>
                <w:lang w:bidi="ar"/>
              </w:rPr>
              <w:t>-</w:t>
            </w:r>
          </w:p>
        </w:tc>
      </w:tr>
    </w:tbl>
    <w:p>
      <w:pPr>
        <w:pStyle w:val="4"/>
        <w:spacing w:before="0" w:after="0"/>
        <w:ind w:firstLine="0" w:firstLineChars="0"/>
        <w:rPr>
          <w:color w:val="000000"/>
          <w:kern w:val="0"/>
          <w:szCs w:val="30"/>
        </w:rPr>
      </w:pPr>
      <w:bookmarkStart w:id="84" w:name="_Toc418"/>
      <w:r>
        <w:rPr>
          <w:rFonts w:hint="eastAsia"/>
          <w:color w:val="000000"/>
          <w:kern w:val="0"/>
          <w:szCs w:val="30"/>
        </w:rPr>
        <w:t>4</w:t>
      </w:r>
      <w:r>
        <w:rPr>
          <w:color w:val="000000"/>
          <w:kern w:val="0"/>
          <w:szCs w:val="30"/>
        </w:rPr>
        <w:t>.5水土资源平衡分析</w:t>
      </w:r>
      <w:bookmarkEnd w:id="82"/>
      <w:bookmarkEnd w:id="83"/>
      <w:bookmarkEnd w:id="84"/>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4.5.1水资源平衡分析</w:t>
      </w:r>
    </w:p>
    <w:p>
      <w:pPr>
        <w:ind w:firstLine="480"/>
      </w:pPr>
      <w:r>
        <w:rPr>
          <w:rFonts w:hint="eastAsia"/>
        </w:rPr>
        <w:t>根据项目区临时损毁单元现状为林地，已编制《恢复林业生产条件实施方案》，方案中已规划种植树种及管护期，本方案中采用还原地类复垦的原则，复垦后地类为林地，且复垦单元面积较小，对周边生态系统破坏较小，恢复林业生产速度较快，无需设置人工灌溉措施，通过天然降雨进行灌溉，可满足该区域林木生长要求。</w:t>
      </w:r>
    </w:p>
    <w:p>
      <w:pPr>
        <w:pStyle w:val="5"/>
        <w:adjustRightInd w:val="0"/>
        <w:snapToGrid w:val="0"/>
        <w:spacing w:before="0" w:after="0" w:line="360" w:lineRule="auto"/>
        <w:ind w:left="101" w:hanging="100" w:hangingChars="36"/>
        <w:rPr>
          <w:rFonts w:hint="eastAsia"/>
          <w:color w:val="000000"/>
          <w:szCs w:val="28"/>
        </w:rPr>
      </w:pPr>
      <w:bookmarkStart w:id="85" w:name="_Toc188451982"/>
      <w:bookmarkStart w:id="86" w:name="_Toc188452230"/>
      <w:bookmarkStart w:id="87" w:name="_Toc228011817"/>
      <w:bookmarkStart w:id="88" w:name="_Toc228011814"/>
      <w:bookmarkStart w:id="89" w:name="_Toc188451978"/>
      <w:bookmarkStart w:id="90" w:name="_Toc188451980"/>
      <w:bookmarkStart w:id="91" w:name="_Toc194658558"/>
      <w:bookmarkStart w:id="92" w:name="_Toc188452233"/>
      <w:bookmarkStart w:id="93" w:name="_Toc194658559"/>
      <w:bookmarkStart w:id="94" w:name="_Toc194658562"/>
      <w:bookmarkStart w:id="95" w:name="_Toc228011813"/>
      <w:bookmarkStart w:id="96" w:name="_Toc228011815"/>
      <w:bookmarkStart w:id="97" w:name="_Toc228011816"/>
      <w:bookmarkStart w:id="98" w:name="_Toc188451979"/>
      <w:bookmarkStart w:id="99" w:name="_Toc188452232"/>
      <w:bookmarkStart w:id="100" w:name="_Toc188451981"/>
      <w:bookmarkStart w:id="101" w:name="_Toc194658561"/>
      <w:bookmarkStart w:id="102" w:name="_Toc188452234"/>
      <w:bookmarkStart w:id="103" w:name="_Toc188452231"/>
      <w:bookmarkStart w:id="104" w:name="_Toc194658560"/>
      <w:r>
        <w:rPr>
          <w:rFonts w:hint="eastAsia"/>
          <w:color w:val="000000"/>
          <w:szCs w:val="28"/>
        </w:rPr>
        <w:t>4.5.2土资源平衡分析</w:t>
      </w:r>
    </w:p>
    <w:p>
      <w:pPr>
        <w:overflowPunct w:val="0"/>
        <w:adjustRightInd w:val="0"/>
        <w:snapToGrid w:val="0"/>
        <w:ind w:firstLine="528"/>
        <w:rPr>
          <w:rFonts w:hint="eastAsia"/>
          <w:color w:val="000000"/>
          <w:spacing w:val="12"/>
          <w:szCs w:val="24"/>
        </w:rPr>
      </w:pPr>
      <w:r>
        <w:rPr>
          <w:rFonts w:hint="eastAsia"/>
          <w:color w:val="000000"/>
          <w:spacing w:val="12"/>
          <w:szCs w:val="24"/>
        </w:rPr>
        <w:t>1、土源供给量分析</w:t>
      </w:r>
    </w:p>
    <w:p>
      <w:pPr>
        <w:overflowPunct w:val="0"/>
        <w:adjustRightInd w:val="0"/>
        <w:snapToGrid w:val="0"/>
        <w:ind w:firstLine="528"/>
        <w:rPr>
          <w:rFonts w:hint="eastAsia"/>
          <w:color w:val="000000"/>
          <w:spacing w:val="12"/>
          <w:szCs w:val="24"/>
        </w:rPr>
      </w:pPr>
      <w:r>
        <w:rPr>
          <w:rFonts w:hint="eastAsia"/>
          <w:color w:val="000000"/>
          <w:spacing w:val="12"/>
          <w:szCs w:val="24"/>
        </w:rPr>
        <w:t>项目施工前对各临时损毁单元进行剥土，剥离标准：林地剥离0.4m，根据《水保》设计，本工程共计剥离表土16682.40m</w:t>
      </w:r>
      <w:r>
        <w:rPr>
          <w:color w:val="000000"/>
          <w:spacing w:val="12"/>
          <w:szCs w:val="24"/>
        </w:rPr>
        <w:t>³</w:t>
      </w:r>
      <w:r>
        <w:rPr>
          <w:rFonts w:hint="eastAsia"/>
          <w:color w:val="000000"/>
          <w:spacing w:val="12"/>
          <w:szCs w:val="24"/>
        </w:rPr>
        <w:t>，全部堆放于就近设置的表土堆存点内。</w:t>
      </w:r>
    </w:p>
    <w:p>
      <w:pPr>
        <w:overflowPunct w:val="0"/>
        <w:adjustRightInd w:val="0"/>
        <w:snapToGrid w:val="0"/>
        <w:ind w:firstLine="528"/>
        <w:rPr>
          <w:rFonts w:hint="eastAsia"/>
          <w:color w:val="000000"/>
          <w:spacing w:val="12"/>
          <w:szCs w:val="24"/>
        </w:rPr>
      </w:pPr>
      <w:r>
        <w:rPr>
          <w:rFonts w:hint="eastAsia"/>
          <w:color w:val="000000"/>
          <w:spacing w:val="12"/>
          <w:szCs w:val="24"/>
        </w:rPr>
        <w:t>表土堆存点设置在弃土场内部和拌合站内部，表土堆存方式为弃土场与表土堆存点共同存放方式，弃土表土根据地形、运输条件等选择堆放在弃土场一角和拌合站一角，堆土边坡大于1：1.8，总堆高尽量控制在5m-7m内，弃土与表土分开堆放，表面适当拍实，临时外侧拦挡用编织袋挡墙挡护，临时覆盖采用彩条布或土工布。</w:t>
      </w:r>
    </w:p>
    <w:p>
      <w:pPr>
        <w:ind w:right="210" w:firstLine="0" w:firstLineChars="0"/>
        <w:jc w:val="center"/>
        <w:rPr>
          <w:rFonts w:hint="eastAsia" w:eastAsia="黑体"/>
          <w:color w:val="000000"/>
          <w:kern w:val="4"/>
          <w:sz w:val="21"/>
          <w:szCs w:val="21"/>
        </w:rPr>
      </w:pPr>
      <w:r>
        <w:rPr>
          <w:rFonts w:hint="eastAsia" w:eastAsia="黑体"/>
          <w:color w:val="000000"/>
          <w:kern w:val="4"/>
          <w:sz w:val="21"/>
          <w:szCs w:val="21"/>
        </w:rPr>
        <w:br w:type="page"/>
      </w:r>
      <w:r>
        <w:rPr>
          <w:rFonts w:hint="eastAsia" w:eastAsia="黑体"/>
          <w:color w:val="000000"/>
          <w:kern w:val="4"/>
          <w:sz w:val="21"/>
          <w:szCs w:val="21"/>
        </w:rPr>
        <w:t>表4-11表土堆存点信息表</w:t>
      </w:r>
    </w:p>
    <w:tbl>
      <w:tblPr>
        <w:tblStyle w:val="25"/>
        <w:tblW w:w="852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14"/>
        <w:gridCol w:w="1520"/>
        <w:gridCol w:w="1100"/>
        <w:gridCol w:w="1350"/>
        <w:gridCol w:w="950"/>
        <w:gridCol w:w="1090"/>
        <w:gridCol w:w="21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县域</w:t>
            </w:r>
          </w:p>
        </w:tc>
        <w:tc>
          <w:tcPr>
            <w:tcW w:w="152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表土堆存点名称</w:t>
            </w:r>
          </w:p>
        </w:tc>
        <w:tc>
          <w:tcPr>
            <w:tcW w:w="11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设置位置</w:t>
            </w:r>
          </w:p>
        </w:tc>
        <w:tc>
          <w:tcPr>
            <w:tcW w:w="135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表土堆存面积（hm²）</w:t>
            </w:r>
          </w:p>
        </w:tc>
        <w:tc>
          <w:tcPr>
            <w:tcW w:w="95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平均堆高（m）</w:t>
            </w:r>
          </w:p>
        </w:tc>
        <w:tc>
          <w:tcPr>
            <w:tcW w:w="109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堆放土方量（m³）</w:t>
            </w:r>
          </w:p>
        </w:tc>
        <w:tc>
          <w:tcPr>
            <w:tcW w:w="2104"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堆存方式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14" w:type="dxa"/>
            <w:vMerge w:val="restart"/>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西畴县</w:t>
            </w:r>
          </w:p>
        </w:tc>
        <w:tc>
          <w:tcPr>
            <w:tcW w:w="152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1#表土堆存点</w:t>
            </w:r>
          </w:p>
        </w:tc>
        <w:tc>
          <w:tcPr>
            <w:tcW w:w="11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r>
              <w:rPr>
                <w:rFonts w:hint="eastAsia"/>
                <w:color w:val="000000"/>
                <w:kern w:val="0"/>
                <w:sz w:val="21"/>
                <w:szCs w:val="21"/>
                <w:lang w:bidi="ar"/>
              </w:rPr>
              <w:t>弃土场</w:t>
            </w:r>
          </w:p>
        </w:tc>
        <w:tc>
          <w:tcPr>
            <w:tcW w:w="1350"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0.1283</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090"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7696.80</w:t>
            </w:r>
          </w:p>
        </w:tc>
        <w:tc>
          <w:tcPr>
            <w:tcW w:w="210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台体型堆放，编织袋拦挡，土工布覆盖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14" w:type="dxa"/>
            <w:vMerge w:val="continue"/>
            <w:noWrap/>
            <w:vAlign w:val="center"/>
          </w:tcPr>
          <w:p>
            <w:pPr>
              <w:widowControl/>
              <w:spacing w:line="240" w:lineRule="auto"/>
              <w:ind w:firstLine="0" w:firstLineChars="0"/>
              <w:jc w:val="center"/>
              <w:rPr>
                <w:color w:val="000000"/>
                <w:sz w:val="21"/>
                <w:szCs w:val="21"/>
              </w:rPr>
            </w:pPr>
          </w:p>
        </w:tc>
        <w:tc>
          <w:tcPr>
            <w:tcW w:w="152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2#表土堆存点</w:t>
            </w:r>
          </w:p>
        </w:tc>
        <w:tc>
          <w:tcPr>
            <w:tcW w:w="11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r>
              <w:rPr>
                <w:rFonts w:hint="eastAsia"/>
                <w:color w:val="000000"/>
                <w:kern w:val="0"/>
                <w:sz w:val="21"/>
                <w:szCs w:val="21"/>
                <w:lang w:bidi="ar"/>
              </w:rPr>
              <w:t>拌合站</w:t>
            </w:r>
          </w:p>
        </w:tc>
        <w:tc>
          <w:tcPr>
            <w:tcW w:w="1350"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0.1498</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090"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8985.60</w:t>
            </w:r>
          </w:p>
        </w:tc>
        <w:tc>
          <w:tcPr>
            <w:tcW w:w="2104"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14" w:type="dxa"/>
            <w:vMerge w:val="continue"/>
            <w:noWrap/>
            <w:vAlign w:val="center"/>
          </w:tcPr>
          <w:p>
            <w:pPr>
              <w:widowControl/>
              <w:spacing w:line="240" w:lineRule="auto"/>
              <w:ind w:firstLine="0" w:firstLineChars="0"/>
              <w:jc w:val="center"/>
              <w:rPr>
                <w:color w:val="000000"/>
                <w:sz w:val="21"/>
                <w:szCs w:val="21"/>
              </w:rPr>
            </w:pPr>
          </w:p>
        </w:tc>
        <w:tc>
          <w:tcPr>
            <w:tcW w:w="2620"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350"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0.2781</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090"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16682.40</w:t>
            </w:r>
          </w:p>
        </w:tc>
        <w:tc>
          <w:tcPr>
            <w:tcW w:w="210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r>
    </w:tbl>
    <w:p>
      <w:pPr>
        <w:overflowPunct w:val="0"/>
        <w:adjustRightInd w:val="0"/>
        <w:snapToGrid w:val="0"/>
        <w:ind w:firstLine="528"/>
        <w:rPr>
          <w:rFonts w:hint="eastAsia"/>
          <w:color w:val="000000"/>
          <w:spacing w:val="12"/>
          <w:szCs w:val="24"/>
        </w:rPr>
      </w:pPr>
      <w:r>
        <w:rPr>
          <w:rFonts w:hint="eastAsia"/>
          <w:color w:val="000000"/>
          <w:spacing w:val="12"/>
          <w:szCs w:val="24"/>
        </w:rPr>
        <w:t>2、表土需求量计算</w:t>
      </w:r>
    </w:p>
    <w:p>
      <w:pPr>
        <w:overflowPunct w:val="0"/>
        <w:adjustRightInd w:val="0"/>
        <w:snapToGrid w:val="0"/>
        <w:ind w:firstLine="528"/>
        <w:rPr>
          <w:rFonts w:hint="eastAsia"/>
          <w:color w:val="000000"/>
          <w:spacing w:val="12"/>
          <w:szCs w:val="24"/>
        </w:rPr>
      </w:pPr>
      <w:r>
        <w:rPr>
          <w:rFonts w:hint="eastAsia"/>
          <w:color w:val="000000"/>
          <w:spacing w:val="12"/>
          <w:szCs w:val="24"/>
        </w:rPr>
        <w:t>根据西畴至富宁高速公路建设项目（西畴段）第一期临时用地损毁土地分析情况，土地复垦范围主要是弃土场、拌合站损毁区域。各复垦单元具体覆土标准如下。</w:t>
      </w:r>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复垦区域：本方案复垦方向为林地，按40cm计算，复垦为林地4.1706hm</w:t>
      </w:r>
      <w:r>
        <w:rPr>
          <w:color w:val="000000"/>
          <w:spacing w:val="12"/>
          <w:szCs w:val="24"/>
          <w:vertAlign w:val="superscript"/>
        </w:rPr>
        <w:t>2</w:t>
      </w:r>
      <w:r>
        <w:rPr>
          <w:rFonts w:hint="eastAsia"/>
          <w:color w:val="000000"/>
          <w:spacing w:val="12"/>
          <w:szCs w:val="24"/>
        </w:rPr>
        <w:t>，覆土方量为16682.40m</w:t>
      </w:r>
      <w:r>
        <w:rPr>
          <w:color w:val="000000"/>
          <w:spacing w:val="12"/>
          <w:szCs w:val="24"/>
        </w:rPr>
        <w:t>³</w:t>
      </w:r>
      <w:r>
        <w:rPr>
          <w:rFonts w:hint="eastAsia"/>
          <w:color w:val="000000"/>
          <w:spacing w:val="12"/>
          <w:szCs w:val="24"/>
        </w:rPr>
        <w:t>。具体单元覆土量见表4-12。</w:t>
      </w:r>
    </w:p>
    <w:p>
      <w:pPr>
        <w:ind w:right="210" w:firstLine="2730" w:firstLineChars="1300"/>
        <w:rPr>
          <w:rFonts w:eastAsia="黑体"/>
          <w:color w:val="000000"/>
          <w:kern w:val="4"/>
          <w:sz w:val="21"/>
          <w:szCs w:val="21"/>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12复垦单元表土计算表</w:t>
      </w:r>
    </w:p>
    <w:tbl>
      <w:tblPr>
        <w:tblStyle w:val="25"/>
        <w:tblW w:w="874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01"/>
        <w:gridCol w:w="687"/>
        <w:gridCol w:w="658"/>
        <w:gridCol w:w="1065"/>
        <w:gridCol w:w="1142"/>
        <w:gridCol w:w="1016"/>
        <w:gridCol w:w="1064"/>
        <w:gridCol w:w="939"/>
        <w:gridCol w:w="17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restart"/>
            <w:noWrap/>
            <w:vAlign w:val="center"/>
          </w:tcPr>
          <w:p>
            <w:pPr>
              <w:widowControl/>
              <w:spacing w:line="240" w:lineRule="auto"/>
              <w:ind w:firstLine="0" w:firstLineChars="0"/>
              <w:jc w:val="center"/>
              <w:rPr>
                <w:color w:val="000000"/>
                <w:sz w:val="21"/>
                <w:szCs w:val="21"/>
              </w:rPr>
            </w:pPr>
            <w:r>
              <w:rPr>
                <w:color w:val="000000"/>
                <w:kern w:val="0"/>
                <w:sz w:val="21"/>
                <w:szCs w:val="21"/>
                <w:lang w:bidi="ar"/>
              </w:rPr>
              <w:t>县域</w:t>
            </w:r>
          </w:p>
        </w:tc>
        <w:tc>
          <w:tcPr>
            <w:tcW w:w="1345" w:type="dxa"/>
            <w:gridSpan w:val="2"/>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功能区</w:t>
            </w:r>
          </w:p>
        </w:tc>
        <w:tc>
          <w:tcPr>
            <w:tcW w:w="3223" w:type="dxa"/>
            <w:gridSpan w:val="3"/>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表土需求量</w:t>
            </w:r>
          </w:p>
        </w:tc>
        <w:tc>
          <w:tcPr>
            <w:tcW w:w="3771" w:type="dxa"/>
            <w:gridSpan w:val="3"/>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continue"/>
            <w:noWrap/>
            <w:vAlign w:val="center"/>
          </w:tcPr>
          <w:p>
            <w:pPr>
              <w:widowControl/>
              <w:spacing w:line="240" w:lineRule="auto"/>
              <w:ind w:firstLine="0" w:firstLineChars="0"/>
              <w:jc w:val="center"/>
              <w:rPr>
                <w:color w:val="000000"/>
                <w:sz w:val="21"/>
                <w:szCs w:val="21"/>
              </w:rPr>
            </w:pPr>
          </w:p>
        </w:tc>
        <w:tc>
          <w:tcPr>
            <w:tcW w:w="1345" w:type="dxa"/>
            <w:gridSpan w:val="2"/>
            <w:vMerge w:val="continue"/>
            <w:noWrap w:val="0"/>
            <w:vAlign w:val="center"/>
          </w:tcPr>
          <w:p>
            <w:pPr>
              <w:widowControl/>
              <w:spacing w:line="240" w:lineRule="auto"/>
              <w:ind w:firstLine="0" w:firstLineChars="0"/>
              <w:jc w:val="center"/>
              <w:rPr>
                <w:color w:val="000000"/>
                <w:sz w:val="21"/>
                <w:szCs w:val="21"/>
              </w:rPr>
            </w:pPr>
          </w:p>
        </w:tc>
        <w:tc>
          <w:tcPr>
            <w:tcW w:w="10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覆土面积</w:t>
            </w:r>
          </w:p>
        </w:tc>
        <w:tc>
          <w:tcPr>
            <w:tcW w:w="114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覆土厚度</w:t>
            </w:r>
          </w:p>
        </w:tc>
        <w:tc>
          <w:tcPr>
            <w:tcW w:w="10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覆土量</w:t>
            </w:r>
          </w:p>
        </w:tc>
        <w:tc>
          <w:tcPr>
            <w:tcW w:w="106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运输土方量</w:t>
            </w:r>
          </w:p>
        </w:tc>
        <w:tc>
          <w:tcPr>
            <w:tcW w:w="9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运输距离</w:t>
            </w:r>
          </w:p>
        </w:tc>
        <w:tc>
          <w:tcPr>
            <w:tcW w:w="1768"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continue"/>
            <w:noWrap/>
            <w:vAlign w:val="center"/>
          </w:tcPr>
          <w:p>
            <w:pPr>
              <w:widowControl/>
              <w:spacing w:line="240" w:lineRule="auto"/>
              <w:ind w:firstLine="0" w:firstLineChars="0"/>
              <w:jc w:val="center"/>
              <w:rPr>
                <w:color w:val="000000"/>
                <w:sz w:val="21"/>
                <w:szCs w:val="21"/>
              </w:rPr>
            </w:pPr>
          </w:p>
        </w:tc>
        <w:tc>
          <w:tcPr>
            <w:tcW w:w="1345" w:type="dxa"/>
            <w:gridSpan w:val="2"/>
            <w:vMerge w:val="continue"/>
            <w:noWrap w:val="0"/>
            <w:vAlign w:val="center"/>
          </w:tcPr>
          <w:p>
            <w:pPr>
              <w:widowControl/>
              <w:spacing w:line="240" w:lineRule="auto"/>
              <w:ind w:firstLine="0" w:firstLineChars="0"/>
              <w:jc w:val="center"/>
              <w:rPr>
                <w:color w:val="000000"/>
                <w:sz w:val="21"/>
                <w:szCs w:val="21"/>
              </w:rPr>
            </w:pPr>
          </w:p>
        </w:tc>
        <w:tc>
          <w:tcPr>
            <w:tcW w:w="10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hm</w:t>
            </w:r>
            <w:r>
              <w:rPr>
                <w:color w:val="000000"/>
                <w:kern w:val="0"/>
                <w:sz w:val="21"/>
                <w:szCs w:val="21"/>
                <w:vertAlign w:val="superscript"/>
                <w:lang w:bidi="ar"/>
              </w:rPr>
              <w:t>2</w:t>
            </w:r>
          </w:p>
        </w:tc>
        <w:tc>
          <w:tcPr>
            <w:tcW w:w="114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w:t>
            </w:r>
          </w:p>
        </w:tc>
        <w:tc>
          <w:tcPr>
            <w:tcW w:w="10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w:t>
            </w:r>
            <w:r>
              <w:rPr>
                <w:color w:val="000000"/>
                <w:kern w:val="0"/>
                <w:sz w:val="21"/>
                <w:szCs w:val="21"/>
                <w:vertAlign w:val="superscript"/>
                <w:lang w:bidi="ar"/>
              </w:rPr>
              <w:t>3</w:t>
            </w:r>
          </w:p>
        </w:tc>
        <w:tc>
          <w:tcPr>
            <w:tcW w:w="106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w:t>
            </w:r>
            <w:r>
              <w:rPr>
                <w:color w:val="000000"/>
                <w:kern w:val="0"/>
                <w:sz w:val="21"/>
                <w:szCs w:val="21"/>
                <w:vertAlign w:val="superscript"/>
                <w:lang w:bidi="ar"/>
              </w:rPr>
              <w:t>3</w:t>
            </w:r>
          </w:p>
        </w:tc>
        <w:tc>
          <w:tcPr>
            <w:tcW w:w="9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km</w:t>
            </w:r>
          </w:p>
        </w:tc>
        <w:tc>
          <w:tcPr>
            <w:tcW w:w="1768" w:type="dxa"/>
            <w:vMerge w:val="continue"/>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restart"/>
            <w:noWrap/>
            <w:vAlign w:val="center"/>
          </w:tcPr>
          <w:p>
            <w:pPr>
              <w:widowControl/>
              <w:spacing w:line="240" w:lineRule="auto"/>
              <w:ind w:firstLine="0" w:firstLineChars="0"/>
              <w:jc w:val="center"/>
              <w:rPr>
                <w:color w:val="000000"/>
                <w:sz w:val="21"/>
                <w:szCs w:val="21"/>
              </w:rPr>
            </w:pPr>
            <w:r>
              <w:rPr>
                <w:rFonts w:hint="eastAsia"/>
                <w:color w:val="000000"/>
                <w:sz w:val="21"/>
                <w:szCs w:val="21"/>
              </w:rPr>
              <w:t>西畴县</w:t>
            </w:r>
          </w:p>
        </w:tc>
        <w:tc>
          <w:tcPr>
            <w:tcW w:w="687"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6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平台</w:t>
            </w:r>
          </w:p>
        </w:tc>
        <w:tc>
          <w:tcPr>
            <w:tcW w:w="10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1.7007</w:t>
            </w:r>
          </w:p>
        </w:tc>
        <w:tc>
          <w:tcPr>
            <w:tcW w:w="11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w:t>
            </w:r>
          </w:p>
        </w:tc>
        <w:tc>
          <w:tcPr>
            <w:tcW w:w="10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6802.80</w:t>
            </w:r>
          </w:p>
        </w:tc>
        <w:tc>
          <w:tcPr>
            <w:tcW w:w="106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6802.80</w:t>
            </w:r>
          </w:p>
        </w:tc>
        <w:tc>
          <w:tcPr>
            <w:tcW w:w="9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0~0.5</w:t>
            </w:r>
          </w:p>
        </w:tc>
        <w:tc>
          <w:tcPr>
            <w:tcW w:w="17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continue"/>
            <w:noWrap/>
            <w:vAlign w:val="center"/>
          </w:tcPr>
          <w:p>
            <w:pPr>
              <w:widowControl/>
              <w:spacing w:line="240" w:lineRule="auto"/>
              <w:ind w:firstLine="0" w:firstLineChars="0"/>
              <w:jc w:val="center"/>
              <w:rPr>
                <w:color w:val="000000"/>
                <w:sz w:val="21"/>
                <w:szCs w:val="21"/>
              </w:rPr>
            </w:pPr>
          </w:p>
        </w:tc>
        <w:tc>
          <w:tcPr>
            <w:tcW w:w="687" w:type="dxa"/>
            <w:vMerge w:val="continue"/>
            <w:noWrap/>
            <w:vAlign w:val="center"/>
          </w:tcPr>
          <w:p>
            <w:pPr>
              <w:widowControl/>
              <w:spacing w:line="240" w:lineRule="auto"/>
              <w:ind w:firstLine="0" w:firstLineChars="0"/>
              <w:jc w:val="center"/>
              <w:rPr>
                <w:color w:val="000000"/>
                <w:sz w:val="21"/>
                <w:szCs w:val="21"/>
              </w:rPr>
            </w:pPr>
          </w:p>
        </w:tc>
        <w:tc>
          <w:tcPr>
            <w:tcW w:w="6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边坡</w:t>
            </w:r>
          </w:p>
        </w:tc>
        <w:tc>
          <w:tcPr>
            <w:tcW w:w="10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0.2235</w:t>
            </w:r>
          </w:p>
        </w:tc>
        <w:tc>
          <w:tcPr>
            <w:tcW w:w="11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w:t>
            </w:r>
          </w:p>
        </w:tc>
        <w:tc>
          <w:tcPr>
            <w:tcW w:w="10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894.00</w:t>
            </w:r>
          </w:p>
        </w:tc>
        <w:tc>
          <w:tcPr>
            <w:tcW w:w="106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894.00</w:t>
            </w:r>
          </w:p>
        </w:tc>
        <w:tc>
          <w:tcPr>
            <w:tcW w:w="9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0~0.5</w:t>
            </w:r>
          </w:p>
        </w:tc>
        <w:tc>
          <w:tcPr>
            <w:tcW w:w="17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continue"/>
            <w:noWrap/>
            <w:vAlign w:val="center"/>
          </w:tcPr>
          <w:p>
            <w:pPr>
              <w:widowControl/>
              <w:spacing w:line="240" w:lineRule="auto"/>
              <w:ind w:firstLine="0" w:firstLineChars="0"/>
              <w:jc w:val="center"/>
              <w:rPr>
                <w:color w:val="000000"/>
                <w:sz w:val="21"/>
                <w:szCs w:val="21"/>
              </w:rPr>
            </w:pPr>
          </w:p>
        </w:tc>
        <w:tc>
          <w:tcPr>
            <w:tcW w:w="687" w:type="dxa"/>
            <w:vMerge w:val="continue"/>
            <w:noWrap/>
            <w:vAlign w:val="center"/>
          </w:tcPr>
          <w:p>
            <w:pPr>
              <w:widowControl/>
              <w:spacing w:line="240" w:lineRule="auto"/>
              <w:ind w:firstLine="0" w:firstLineChars="0"/>
              <w:jc w:val="center"/>
              <w:rPr>
                <w:color w:val="000000"/>
                <w:sz w:val="21"/>
                <w:szCs w:val="21"/>
              </w:rPr>
            </w:pPr>
          </w:p>
        </w:tc>
        <w:tc>
          <w:tcPr>
            <w:tcW w:w="6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c>
          <w:tcPr>
            <w:tcW w:w="10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1.9242</w:t>
            </w:r>
          </w:p>
        </w:tc>
        <w:tc>
          <w:tcPr>
            <w:tcW w:w="11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w:t>
            </w:r>
          </w:p>
        </w:tc>
        <w:tc>
          <w:tcPr>
            <w:tcW w:w="10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7696.80</w:t>
            </w:r>
          </w:p>
        </w:tc>
        <w:tc>
          <w:tcPr>
            <w:tcW w:w="106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7696.80</w:t>
            </w:r>
          </w:p>
        </w:tc>
        <w:tc>
          <w:tcPr>
            <w:tcW w:w="9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0~0.5</w:t>
            </w:r>
          </w:p>
        </w:tc>
        <w:tc>
          <w:tcPr>
            <w:tcW w:w="17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continue"/>
            <w:noWrap/>
            <w:vAlign w:val="center"/>
          </w:tcPr>
          <w:p>
            <w:pPr>
              <w:widowControl/>
              <w:spacing w:line="240" w:lineRule="auto"/>
              <w:ind w:firstLine="0" w:firstLineChars="0"/>
              <w:jc w:val="center"/>
              <w:rPr>
                <w:color w:val="000000"/>
                <w:sz w:val="21"/>
                <w:szCs w:val="21"/>
              </w:rPr>
            </w:pPr>
          </w:p>
        </w:tc>
        <w:tc>
          <w:tcPr>
            <w:tcW w:w="1345" w:type="dxa"/>
            <w:gridSpan w:val="2"/>
            <w:noWrap/>
            <w:vAlign w:val="center"/>
          </w:tcPr>
          <w:p>
            <w:pPr>
              <w:widowControl/>
              <w:spacing w:line="240" w:lineRule="auto"/>
              <w:ind w:firstLine="0" w:firstLineChars="0"/>
              <w:jc w:val="center"/>
              <w:textAlignment w:val="center"/>
              <w:rPr>
                <w:color w:val="000000"/>
                <w:kern w:val="0"/>
                <w:sz w:val="21"/>
                <w:szCs w:val="21"/>
                <w:lang w:bidi="ar"/>
              </w:rPr>
            </w:pPr>
            <w:r>
              <w:rPr>
                <w:rFonts w:hint="eastAsia"/>
                <w:color w:val="000000"/>
                <w:kern w:val="0"/>
                <w:sz w:val="21"/>
                <w:szCs w:val="21"/>
                <w:lang w:bidi="ar"/>
              </w:rPr>
              <w:t>1#拌合站</w:t>
            </w:r>
          </w:p>
        </w:tc>
        <w:tc>
          <w:tcPr>
            <w:tcW w:w="1065"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2.2464</w:t>
            </w:r>
          </w:p>
        </w:tc>
        <w:tc>
          <w:tcPr>
            <w:tcW w:w="1142"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0.4</w:t>
            </w:r>
          </w:p>
        </w:tc>
        <w:tc>
          <w:tcPr>
            <w:tcW w:w="1016"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8985.60</w:t>
            </w:r>
          </w:p>
        </w:tc>
        <w:tc>
          <w:tcPr>
            <w:tcW w:w="1064"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8985.60</w:t>
            </w:r>
          </w:p>
        </w:tc>
        <w:tc>
          <w:tcPr>
            <w:tcW w:w="939"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0~0.5</w:t>
            </w:r>
          </w:p>
        </w:tc>
        <w:tc>
          <w:tcPr>
            <w:tcW w:w="1768"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2#表土堆存点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401" w:type="dxa"/>
            <w:vMerge w:val="continue"/>
            <w:noWrap/>
            <w:vAlign w:val="center"/>
          </w:tcPr>
          <w:p>
            <w:pPr>
              <w:widowControl/>
              <w:spacing w:line="240" w:lineRule="auto"/>
              <w:ind w:firstLine="0" w:firstLineChars="0"/>
              <w:jc w:val="center"/>
              <w:rPr>
                <w:color w:val="000000"/>
                <w:sz w:val="21"/>
                <w:szCs w:val="21"/>
              </w:rPr>
            </w:pPr>
          </w:p>
        </w:tc>
        <w:tc>
          <w:tcPr>
            <w:tcW w:w="1345"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06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14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0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16682.40</w:t>
            </w:r>
          </w:p>
        </w:tc>
        <w:tc>
          <w:tcPr>
            <w:tcW w:w="106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16682.40</w:t>
            </w:r>
          </w:p>
        </w:tc>
        <w:tc>
          <w:tcPr>
            <w:tcW w:w="9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7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r>
    </w:tbl>
    <w:p>
      <w:pPr>
        <w:overflowPunct w:val="0"/>
        <w:adjustRightInd w:val="0"/>
        <w:snapToGrid w:val="0"/>
        <w:ind w:firstLine="528"/>
        <w:rPr>
          <w:color w:val="000000"/>
          <w:spacing w:val="12"/>
          <w:szCs w:val="24"/>
        </w:rPr>
      </w:pPr>
      <w:r>
        <w:rPr>
          <w:color w:val="000000"/>
          <w:spacing w:val="12"/>
          <w:szCs w:val="24"/>
        </w:rPr>
        <w:t>3、</w:t>
      </w:r>
      <w:r>
        <w:rPr>
          <w:color w:val="000000"/>
          <w:spacing w:val="12"/>
          <w:szCs w:val="24"/>
          <w:lang w:val="en-GB"/>
        </w:rPr>
        <w:t>土资源平衡分析</w:t>
      </w:r>
    </w:p>
    <w:p>
      <w:pPr>
        <w:overflowPunct w:val="0"/>
        <w:adjustRightInd w:val="0"/>
        <w:snapToGrid w:val="0"/>
        <w:ind w:firstLine="528"/>
        <w:rPr>
          <w:color w:val="000000"/>
          <w:spacing w:val="12"/>
          <w:szCs w:val="24"/>
        </w:rPr>
      </w:pPr>
      <w:r>
        <w:rPr>
          <w:rFonts w:hint="eastAsia"/>
          <w:color w:val="000000"/>
          <w:spacing w:val="12"/>
          <w:szCs w:val="24"/>
        </w:rPr>
        <w:t>西畴至富宁高速公路</w:t>
      </w:r>
      <w:r>
        <w:rPr>
          <w:color w:val="000000"/>
          <w:spacing w:val="12"/>
          <w:szCs w:val="24"/>
        </w:rPr>
        <w:t>建设项目</w:t>
      </w:r>
      <w:r>
        <w:rPr>
          <w:rFonts w:hint="eastAsia"/>
          <w:color w:val="000000"/>
          <w:spacing w:val="12"/>
          <w:szCs w:val="24"/>
        </w:rPr>
        <w:t>（西畴段）</w:t>
      </w:r>
      <w:r>
        <w:rPr>
          <w:color w:val="000000"/>
          <w:spacing w:val="12"/>
          <w:szCs w:val="24"/>
        </w:rPr>
        <w:t>第</w:t>
      </w:r>
      <w:r>
        <w:rPr>
          <w:rFonts w:hint="eastAsia"/>
          <w:color w:val="000000"/>
          <w:spacing w:val="12"/>
          <w:szCs w:val="24"/>
        </w:rPr>
        <w:t>一</w:t>
      </w:r>
      <w:r>
        <w:rPr>
          <w:color w:val="000000"/>
          <w:spacing w:val="12"/>
          <w:szCs w:val="24"/>
        </w:rPr>
        <w:t>期临时用地共剥离表土</w:t>
      </w:r>
      <w:r>
        <w:rPr>
          <w:rFonts w:hint="eastAsia"/>
          <w:color w:val="000000"/>
          <w:spacing w:val="12"/>
          <w:szCs w:val="24"/>
        </w:rPr>
        <w:t>16682.40</w:t>
      </w:r>
      <w:r>
        <w:rPr>
          <w:color w:val="000000"/>
          <w:spacing w:val="12"/>
          <w:szCs w:val="24"/>
        </w:rPr>
        <w:t>m³，本次复垦需要回覆表土</w:t>
      </w:r>
      <w:r>
        <w:rPr>
          <w:rFonts w:hint="eastAsia"/>
          <w:color w:val="000000"/>
          <w:spacing w:val="12"/>
          <w:szCs w:val="24"/>
        </w:rPr>
        <w:t>16682.40</w:t>
      </w:r>
      <w:r>
        <w:rPr>
          <w:color w:val="000000"/>
          <w:spacing w:val="12"/>
          <w:szCs w:val="24"/>
        </w:rPr>
        <w:t>m³，由此可见，供土量</w:t>
      </w:r>
      <w:r>
        <w:rPr>
          <w:rFonts w:hint="eastAsia"/>
          <w:color w:val="000000"/>
          <w:spacing w:val="12"/>
          <w:szCs w:val="24"/>
        </w:rPr>
        <w:t>等于</w:t>
      </w:r>
      <w:r>
        <w:rPr>
          <w:color w:val="000000"/>
          <w:spacing w:val="12"/>
          <w:szCs w:val="24"/>
        </w:rPr>
        <w:t>需土量，因此，</w:t>
      </w:r>
      <w:r>
        <w:rPr>
          <w:rFonts w:hint="eastAsia"/>
          <w:color w:val="000000"/>
          <w:spacing w:val="12"/>
          <w:szCs w:val="24"/>
        </w:rPr>
        <w:t>西畴至富宁高速公路</w:t>
      </w:r>
      <w:r>
        <w:rPr>
          <w:color w:val="000000"/>
          <w:spacing w:val="12"/>
          <w:szCs w:val="24"/>
        </w:rPr>
        <w:t>建设项目</w:t>
      </w:r>
      <w:r>
        <w:rPr>
          <w:rFonts w:hint="eastAsia"/>
          <w:color w:val="000000"/>
          <w:spacing w:val="12"/>
          <w:szCs w:val="24"/>
        </w:rPr>
        <w:t>（西畴段）</w:t>
      </w:r>
      <w:r>
        <w:rPr>
          <w:color w:val="000000"/>
          <w:spacing w:val="12"/>
          <w:szCs w:val="24"/>
        </w:rPr>
        <w:t>第</w:t>
      </w:r>
      <w:r>
        <w:rPr>
          <w:rFonts w:hint="eastAsia"/>
          <w:color w:val="000000"/>
          <w:spacing w:val="12"/>
          <w:szCs w:val="24"/>
        </w:rPr>
        <w:t>一</w:t>
      </w:r>
      <w:r>
        <w:rPr>
          <w:color w:val="000000"/>
          <w:spacing w:val="12"/>
          <w:szCs w:val="24"/>
        </w:rPr>
        <w:t>期临时用地供需土资源达到平衡。</w:t>
      </w:r>
    </w:p>
    <w:p>
      <w:pPr>
        <w:overflowPunct w:val="0"/>
        <w:adjustRightInd w:val="0"/>
        <w:snapToGrid w:val="0"/>
        <w:ind w:firstLine="528"/>
        <w:rPr>
          <w:color w:val="000000"/>
          <w:spacing w:val="12"/>
          <w:szCs w:val="24"/>
        </w:rPr>
      </w:pPr>
      <w:r>
        <w:rPr>
          <w:color w:val="000000"/>
          <w:spacing w:val="12"/>
          <w:szCs w:val="24"/>
        </w:rPr>
        <w:t>4、弃土平衡分析</w:t>
      </w:r>
    </w:p>
    <w:p>
      <w:pPr>
        <w:overflowPunct w:val="0"/>
        <w:adjustRightInd w:val="0"/>
        <w:snapToGrid w:val="0"/>
        <w:ind w:firstLine="528"/>
        <w:rPr>
          <w:rFonts w:hint="eastAsia"/>
          <w:color w:val="000000"/>
          <w:spacing w:val="12"/>
          <w:szCs w:val="24"/>
          <w:highlight w:val="yellow"/>
        </w:rPr>
      </w:pPr>
      <w:r>
        <w:rPr>
          <w:rFonts w:hint="eastAsia"/>
          <w:color w:val="000000"/>
          <w:spacing w:val="12"/>
          <w:szCs w:val="24"/>
        </w:rPr>
        <w:t>西畴至富宁高速公路</w:t>
      </w:r>
      <w:r>
        <w:rPr>
          <w:color w:val="000000"/>
          <w:spacing w:val="12"/>
          <w:szCs w:val="24"/>
        </w:rPr>
        <w:t>建设项目</w:t>
      </w:r>
      <w:r>
        <w:rPr>
          <w:rFonts w:hint="eastAsia"/>
          <w:color w:val="000000"/>
          <w:spacing w:val="12"/>
          <w:szCs w:val="24"/>
        </w:rPr>
        <w:t>（西畴段）弃土13.4694万</w:t>
      </w:r>
      <w:r>
        <w:rPr>
          <w:color w:val="000000"/>
          <w:spacing w:val="12"/>
          <w:szCs w:val="24"/>
        </w:rPr>
        <w:t>m³</w:t>
      </w:r>
      <w:r>
        <w:rPr>
          <w:rFonts w:hint="eastAsia"/>
          <w:color w:val="000000"/>
          <w:spacing w:val="12"/>
          <w:szCs w:val="24"/>
        </w:rPr>
        <w:t>，弃土场内表土堆放量0.7697万</w:t>
      </w:r>
      <w:r>
        <w:rPr>
          <w:color w:val="000000"/>
          <w:spacing w:val="12"/>
          <w:szCs w:val="24"/>
        </w:rPr>
        <w:t>m³</w:t>
      </w:r>
      <w:r>
        <w:rPr>
          <w:rFonts w:hint="eastAsia"/>
          <w:color w:val="000000"/>
          <w:spacing w:val="12"/>
          <w:szCs w:val="24"/>
        </w:rPr>
        <w:t>，项目共设计1个弃土场对项目建设过程中产生的弃渣弃土进行堆放，设计容量共15.3936万</w:t>
      </w:r>
      <w:r>
        <w:rPr>
          <w:color w:val="000000"/>
          <w:spacing w:val="12"/>
          <w:szCs w:val="24"/>
        </w:rPr>
        <w:t>m³</w:t>
      </w:r>
      <w:r>
        <w:rPr>
          <w:rFonts w:hint="eastAsia"/>
          <w:color w:val="000000"/>
          <w:spacing w:val="12"/>
          <w:szCs w:val="24"/>
        </w:rPr>
        <w:t>，本项目内弃土达到平衡。弃土场占地面积容积如下4-13。</w:t>
      </w:r>
    </w:p>
    <w:p>
      <w:pPr>
        <w:ind w:right="210" w:firstLine="0" w:firstLineChars="0"/>
        <w:jc w:val="center"/>
        <w:rPr>
          <w:rFonts w:eastAsia="黑体"/>
          <w:color w:val="000000"/>
          <w:kern w:val="4"/>
          <w:sz w:val="21"/>
          <w:szCs w:val="21"/>
        </w:rPr>
      </w:pPr>
    </w:p>
    <w:p>
      <w:pPr>
        <w:ind w:right="210" w:firstLine="0" w:firstLineChars="0"/>
        <w:jc w:val="center"/>
        <w:rPr>
          <w:rFonts w:eastAsia="黑体"/>
          <w:color w:val="000000"/>
          <w:kern w:val="4"/>
          <w:sz w:val="21"/>
          <w:szCs w:val="21"/>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13弃土场容积表</w:t>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tbl>
      <w:tblPr>
        <w:tblStyle w:val="25"/>
        <w:tblW w:w="852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875"/>
        <w:gridCol w:w="1803"/>
        <w:gridCol w:w="1636"/>
        <w:gridCol w:w="1909"/>
        <w:gridCol w:w="14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689" w:type="dxa"/>
            <w:gridSpan w:val="2"/>
            <w:noWrap/>
            <w:vAlign w:val="center"/>
          </w:tcPr>
          <w:p>
            <w:pPr>
              <w:widowControl/>
              <w:spacing w:line="240" w:lineRule="auto"/>
              <w:ind w:firstLine="0" w:firstLineChars="0"/>
              <w:jc w:val="center"/>
              <w:textAlignment w:val="center"/>
              <w:rPr>
                <w:color w:val="000000"/>
                <w:kern w:val="0"/>
                <w:sz w:val="21"/>
                <w:szCs w:val="21"/>
                <w:lang w:bidi="ar"/>
              </w:rPr>
            </w:pPr>
            <w:bookmarkStart w:id="105" w:name="_Toc35614680"/>
            <w:bookmarkStart w:id="106" w:name="_Toc306776408"/>
            <w:r>
              <w:rPr>
                <w:color w:val="000000"/>
                <w:kern w:val="0"/>
                <w:sz w:val="21"/>
                <w:szCs w:val="21"/>
                <w:lang w:bidi="ar"/>
              </w:rPr>
              <w:t>地块编号</w:t>
            </w:r>
          </w:p>
        </w:tc>
        <w:tc>
          <w:tcPr>
            <w:tcW w:w="18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占地面积（hm²）</w:t>
            </w:r>
          </w:p>
        </w:tc>
        <w:tc>
          <w:tcPr>
            <w:tcW w:w="1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平均堆高（m）</w:t>
            </w:r>
          </w:p>
        </w:tc>
        <w:tc>
          <w:tcPr>
            <w:tcW w:w="190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设计容土量（m³）</w:t>
            </w:r>
          </w:p>
        </w:tc>
        <w:tc>
          <w:tcPr>
            <w:tcW w:w="149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弃土量（m³）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4"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875" w:type="dxa"/>
            <w:noWrap/>
            <w:vAlign w:val="center"/>
          </w:tcPr>
          <w:p>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平台</w:t>
            </w:r>
          </w:p>
        </w:tc>
        <w:tc>
          <w:tcPr>
            <w:tcW w:w="1803"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1.7007</w:t>
            </w:r>
          </w:p>
        </w:tc>
        <w:tc>
          <w:tcPr>
            <w:tcW w:w="1636" w:type="dxa"/>
            <w:noWrap/>
            <w:vAlign w:val="center"/>
          </w:tcPr>
          <w:p>
            <w:pPr>
              <w:widowControl/>
              <w:spacing w:line="240" w:lineRule="auto"/>
              <w:ind w:firstLine="0" w:firstLineChars="0"/>
              <w:jc w:val="center"/>
              <w:textAlignment w:val="center"/>
              <w:rPr>
                <w:color w:val="000000"/>
                <w:sz w:val="21"/>
                <w:szCs w:val="21"/>
              </w:rPr>
            </w:pPr>
            <w:r>
              <w:rPr>
                <w:rFonts w:eastAsia="等线"/>
                <w:color w:val="000000"/>
                <w:kern w:val="0"/>
                <w:sz w:val="21"/>
                <w:szCs w:val="21"/>
                <w:lang w:bidi="ar"/>
              </w:rPr>
              <w:t>8</w:t>
            </w:r>
          </w:p>
        </w:tc>
        <w:tc>
          <w:tcPr>
            <w:tcW w:w="1909" w:type="dxa"/>
            <w:noWrap/>
            <w:vAlign w:val="center"/>
          </w:tcPr>
          <w:p>
            <w:pPr>
              <w:widowControl/>
              <w:spacing w:line="240" w:lineRule="auto"/>
              <w:ind w:firstLine="0" w:firstLineChars="0"/>
              <w:jc w:val="center"/>
              <w:textAlignment w:val="center"/>
              <w:rPr>
                <w:color w:val="000000"/>
                <w:sz w:val="21"/>
                <w:szCs w:val="21"/>
              </w:rPr>
            </w:pPr>
            <w:r>
              <w:rPr>
                <w:rFonts w:eastAsia="等线"/>
                <w:color w:val="000000"/>
                <w:kern w:val="0"/>
                <w:sz w:val="21"/>
                <w:szCs w:val="21"/>
                <w:lang w:bidi="ar"/>
              </w:rPr>
              <w:t>136056</w:t>
            </w:r>
          </w:p>
        </w:tc>
        <w:tc>
          <w:tcPr>
            <w:tcW w:w="1491" w:type="dxa"/>
            <w:noWrap/>
            <w:vAlign w:val="center"/>
          </w:tcPr>
          <w:p>
            <w:pPr>
              <w:widowControl/>
              <w:spacing w:line="240" w:lineRule="auto"/>
              <w:ind w:firstLine="0" w:firstLineChars="0"/>
              <w:jc w:val="center"/>
              <w:textAlignment w:val="center"/>
              <w:rPr>
                <w:color w:val="000000"/>
                <w:sz w:val="21"/>
                <w:szCs w:val="21"/>
              </w:rPr>
            </w:pPr>
            <w:r>
              <w:rPr>
                <w:rFonts w:eastAsia="等线"/>
                <w:color w:val="000000"/>
                <w:kern w:val="0"/>
                <w:sz w:val="21"/>
                <w:szCs w:val="21"/>
                <w:lang w:bidi="ar"/>
              </w:rPr>
              <w:t>119049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4" w:type="dxa"/>
            <w:vMerge w:val="continue"/>
            <w:noWrap/>
            <w:vAlign w:val="center"/>
          </w:tcPr>
          <w:p>
            <w:pPr>
              <w:widowControl/>
              <w:spacing w:line="240" w:lineRule="auto"/>
              <w:ind w:firstLine="0" w:firstLineChars="0"/>
              <w:jc w:val="center"/>
              <w:textAlignment w:val="center"/>
              <w:rPr>
                <w:color w:val="000000"/>
                <w:kern w:val="0"/>
                <w:sz w:val="21"/>
                <w:szCs w:val="21"/>
                <w:lang w:bidi="ar"/>
              </w:rPr>
            </w:pPr>
          </w:p>
        </w:tc>
        <w:tc>
          <w:tcPr>
            <w:tcW w:w="875" w:type="dxa"/>
            <w:noWrap/>
            <w:vAlign w:val="center"/>
          </w:tcPr>
          <w:p>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边坡</w:t>
            </w:r>
          </w:p>
        </w:tc>
        <w:tc>
          <w:tcPr>
            <w:tcW w:w="1803"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0.2235</w:t>
            </w:r>
          </w:p>
        </w:tc>
        <w:tc>
          <w:tcPr>
            <w:tcW w:w="1636"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等线"/>
                <w:color w:val="000000"/>
                <w:kern w:val="0"/>
                <w:sz w:val="21"/>
                <w:szCs w:val="21"/>
                <w:lang w:bidi="ar"/>
              </w:rPr>
              <w:t>8</w:t>
            </w:r>
          </w:p>
        </w:tc>
        <w:tc>
          <w:tcPr>
            <w:tcW w:w="1909"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等线"/>
                <w:color w:val="000000"/>
                <w:kern w:val="0"/>
                <w:sz w:val="21"/>
                <w:szCs w:val="21"/>
                <w:lang w:bidi="ar"/>
              </w:rPr>
              <w:t>17880</w:t>
            </w:r>
          </w:p>
        </w:tc>
        <w:tc>
          <w:tcPr>
            <w:tcW w:w="1491"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等线"/>
                <w:color w:val="000000"/>
                <w:kern w:val="0"/>
                <w:sz w:val="21"/>
                <w:szCs w:val="21"/>
                <w:lang w:bidi="ar"/>
              </w:rPr>
              <w:t>15645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4" w:type="dxa"/>
            <w:vMerge w:val="continue"/>
            <w:noWrap/>
            <w:vAlign w:val="center"/>
          </w:tcPr>
          <w:p>
            <w:pPr>
              <w:widowControl/>
              <w:spacing w:line="240" w:lineRule="auto"/>
              <w:ind w:firstLine="0" w:firstLineChars="0"/>
              <w:jc w:val="center"/>
              <w:textAlignment w:val="center"/>
              <w:rPr>
                <w:color w:val="000000"/>
                <w:kern w:val="0"/>
                <w:sz w:val="21"/>
                <w:szCs w:val="21"/>
                <w:lang w:bidi="ar"/>
              </w:rPr>
            </w:pPr>
          </w:p>
        </w:tc>
        <w:tc>
          <w:tcPr>
            <w:tcW w:w="875" w:type="dxa"/>
            <w:noWrap/>
            <w:vAlign w:val="center"/>
          </w:tcPr>
          <w:p>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小计</w:t>
            </w:r>
          </w:p>
        </w:tc>
        <w:tc>
          <w:tcPr>
            <w:tcW w:w="1803"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1.9242</w:t>
            </w:r>
          </w:p>
        </w:tc>
        <w:tc>
          <w:tcPr>
            <w:tcW w:w="1636"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等线"/>
                <w:color w:val="000000"/>
                <w:kern w:val="0"/>
                <w:sz w:val="21"/>
                <w:szCs w:val="21"/>
                <w:lang w:bidi="ar"/>
              </w:rPr>
              <w:t>8</w:t>
            </w:r>
          </w:p>
        </w:tc>
        <w:tc>
          <w:tcPr>
            <w:tcW w:w="1909"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等线"/>
                <w:color w:val="000000"/>
                <w:kern w:val="0"/>
                <w:sz w:val="21"/>
                <w:szCs w:val="21"/>
                <w:lang w:bidi="ar"/>
              </w:rPr>
              <w:t>153936</w:t>
            </w:r>
          </w:p>
        </w:tc>
        <w:tc>
          <w:tcPr>
            <w:tcW w:w="1491"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等线"/>
                <w:color w:val="000000"/>
                <w:kern w:val="0"/>
                <w:sz w:val="21"/>
                <w:szCs w:val="21"/>
                <w:lang w:bidi="ar"/>
              </w:rPr>
              <w:t>134694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689" w:type="dxa"/>
            <w:gridSpan w:val="2"/>
            <w:noWrap/>
            <w:vAlign w:val="center"/>
          </w:tcPr>
          <w:p>
            <w:pPr>
              <w:widowControl/>
              <w:spacing w:line="240" w:lineRule="auto"/>
              <w:ind w:firstLine="0" w:firstLineChars="0"/>
              <w:jc w:val="center"/>
              <w:textAlignment w:val="bottom"/>
              <w:rPr>
                <w:color w:val="000000"/>
                <w:kern w:val="0"/>
                <w:sz w:val="21"/>
                <w:szCs w:val="21"/>
                <w:lang w:bidi="ar"/>
              </w:rPr>
            </w:pPr>
            <w:r>
              <w:rPr>
                <w:color w:val="000000"/>
                <w:kern w:val="0"/>
                <w:sz w:val="21"/>
                <w:szCs w:val="21"/>
                <w:lang w:bidi="ar"/>
              </w:rPr>
              <w:t>总计</w:t>
            </w:r>
          </w:p>
        </w:tc>
        <w:tc>
          <w:tcPr>
            <w:tcW w:w="1803" w:type="dxa"/>
            <w:noWrap/>
            <w:vAlign w:val="bottom"/>
          </w:tcPr>
          <w:p>
            <w:pPr>
              <w:widowControl/>
              <w:spacing w:line="240" w:lineRule="auto"/>
              <w:ind w:firstLine="0" w:firstLineChars="0"/>
              <w:jc w:val="center"/>
              <w:textAlignment w:val="bottom"/>
              <w:rPr>
                <w:color w:val="000000"/>
                <w:sz w:val="21"/>
                <w:szCs w:val="21"/>
              </w:rPr>
            </w:pPr>
            <w:r>
              <w:rPr>
                <w:rFonts w:eastAsia="宋体"/>
                <w:color w:val="000000"/>
                <w:kern w:val="0"/>
                <w:sz w:val="21"/>
                <w:szCs w:val="21"/>
                <w:lang w:bidi="ar"/>
              </w:rPr>
              <w:t>1.9242</w:t>
            </w:r>
          </w:p>
        </w:tc>
        <w:tc>
          <w:tcPr>
            <w:tcW w:w="1636" w:type="dxa"/>
            <w:noWrap/>
            <w:vAlign w:val="bottom"/>
          </w:tcPr>
          <w:p>
            <w:pPr>
              <w:widowControl/>
              <w:spacing w:line="240" w:lineRule="auto"/>
              <w:ind w:firstLine="0" w:firstLineChars="0"/>
              <w:jc w:val="center"/>
              <w:textAlignment w:val="bottom"/>
              <w:rPr>
                <w:color w:val="000000"/>
                <w:sz w:val="21"/>
                <w:szCs w:val="21"/>
              </w:rPr>
            </w:pPr>
            <w:r>
              <w:rPr>
                <w:rFonts w:eastAsia="宋体"/>
                <w:color w:val="000000"/>
                <w:kern w:val="0"/>
                <w:sz w:val="21"/>
                <w:szCs w:val="21"/>
                <w:lang w:bidi="ar"/>
              </w:rPr>
              <w:t>-</w:t>
            </w:r>
          </w:p>
        </w:tc>
        <w:tc>
          <w:tcPr>
            <w:tcW w:w="1909" w:type="dxa"/>
            <w:noWrap/>
            <w:vAlign w:val="bottom"/>
          </w:tcPr>
          <w:p>
            <w:pPr>
              <w:widowControl/>
              <w:spacing w:line="240" w:lineRule="auto"/>
              <w:ind w:firstLine="0" w:firstLineChars="0"/>
              <w:jc w:val="center"/>
              <w:textAlignment w:val="bottom"/>
              <w:rPr>
                <w:color w:val="000000"/>
                <w:sz w:val="21"/>
                <w:szCs w:val="21"/>
              </w:rPr>
            </w:pPr>
            <w:r>
              <w:rPr>
                <w:rFonts w:eastAsia="宋体"/>
                <w:color w:val="000000"/>
                <w:kern w:val="0"/>
                <w:sz w:val="21"/>
                <w:szCs w:val="21"/>
                <w:lang w:bidi="ar"/>
              </w:rPr>
              <w:t>153936</w:t>
            </w:r>
          </w:p>
        </w:tc>
        <w:tc>
          <w:tcPr>
            <w:tcW w:w="1491" w:type="dxa"/>
            <w:noWrap/>
            <w:vAlign w:val="bottom"/>
          </w:tcPr>
          <w:p>
            <w:pPr>
              <w:widowControl/>
              <w:spacing w:line="240" w:lineRule="auto"/>
              <w:ind w:firstLine="0" w:firstLineChars="0"/>
              <w:jc w:val="center"/>
              <w:textAlignment w:val="bottom"/>
              <w:rPr>
                <w:color w:val="000000"/>
                <w:sz w:val="21"/>
                <w:szCs w:val="21"/>
              </w:rPr>
            </w:pPr>
            <w:r>
              <w:rPr>
                <w:rFonts w:eastAsia="宋体"/>
                <w:color w:val="000000"/>
                <w:kern w:val="0"/>
                <w:sz w:val="21"/>
                <w:szCs w:val="21"/>
                <w:lang w:bidi="ar"/>
              </w:rPr>
              <w:t>134694</w:t>
            </w:r>
          </w:p>
        </w:tc>
      </w:tr>
    </w:tbl>
    <w:p>
      <w:pPr>
        <w:pStyle w:val="4"/>
        <w:spacing w:before="0" w:after="0"/>
        <w:ind w:firstLine="0" w:firstLineChars="0"/>
        <w:rPr>
          <w:color w:val="000000"/>
          <w:kern w:val="0"/>
          <w:szCs w:val="30"/>
        </w:rPr>
      </w:pPr>
      <w:bookmarkStart w:id="107" w:name="_Toc8988"/>
      <w:r>
        <w:rPr>
          <w:rFonts w:hint="eastAsia"/>
          <w:color w:val="000000"/>
          <w:kern w:val="0"/>
          <w:szCs w:val="30"/>
        </w:rPr>
        <w:t>4</w:t>
      </w:r>
      <w:r>
        <w:rPr>
          <w:color w:val="000000"/>
          <w:kern w:val="0"/>
          <w:szCs w:val="30"/>
        </w:rPr>
        <w:t>.6复垦的目标任务</w:t>
      </w:r>
      <w:bookmarkEnd w:id="105"/>
      <w:bookmarkEnd w:id="106"/>
      <w:bookmarkEnd w:id="107"/>
    </w:p>
    <w:p>
      <w:pPr>
        <w:overflowPunct w:val="0"/>
        <w:adjustRightInd w:val="0"/>
        <w:snapToGrid w:val="0"/>
        <w:ind w:firstLine="528"/>
        <w:rPr>
          <w:rFonts w:hint="eastAsia"/>
          <w:color w:val="000000"/>
          <w:spacing w:val="12"/>
          <w:szCs w:val="24"/>
        </w:rPr>
      </w:pPr>
      <w:r>
        <w:rPr>
          <w:rFonts w:hint="eastAsia"/>
          <w:color w:val="000000"/>
          <w:spacing w:val="12"/>
          <w:szCs w:val="24"/>
        </w:rPr>
        <w:t>复垦的目标就是对该建设项目在建设过程中压占、挖损等损毁的土地进行复垦综合整治。</w:t>
      </w:r>
    </w:p>
    <w:p>
      <w:pPr>
        <w:overflowPunct w:val="0"/>
        <w:adjustRightInd w:val="0"/>
        <w:snapToGrid w:val="0"/>
        <w:ind w:firstLine="528"/>
        <w:rPr>
          <w:rFonts w:hint="eastAsia"/>
          <w:color w:val="000000"/>
          <w:spacing w:val="12"/>
          <w:szCs w:val="24"/>
        </w:rPr>
      </w:pPr>
      <w:r>
        <w:rPr>
          <w:rFonts w:hint="eastAsia"/>
          <w:color w:val="000000"/>
          <w:spacing w:val="12"/>
          <w:szCs w:val="24"/>
        </w:rPr>
        <w:t>通过土地复垦采取预防和控制措施，减少损毁土地面积、恢复土地生产能力、提高土地利用率，保护并合理利用土地资源；通过土地复垦综合整治，减少水土流失导致的自然灾害的发生，保护周边的生态环境；通过土地复垦方案的实施，实现土地资源的可持续利用，改善或恢复生态环境，促进区域经济、社会和生态环境的和谐发展。</w:t>
      </w:r>
    </w:p>
    <w:p>
      <w:pPr>
        <w:overflowPunct w:val="0"/>
        <w:adjustRightInd w:val="0"/>
        <w:snapToGrid w:val="0"/>
        <w:ind w:firstLine="528"/>
        <w:rPr>
          <w:color w:val="000000"/>
          <w:spacing w:val="12"/>
          <w:szCs w:val="24"/>
        </w:rPr>
      </w:pPr>
      <w:r>
        <w:rPr>
          <w:rFonts w:hint="eastAsia"/>
          <w:color w:val="000000"/>
          <w:spacing w:val="12"/>
          <w:szCs w:val="24"/>
        </w:rPr>
        <w:t>复垦后，复垦责任范围内土地得到综合利用，复垦前后的土地利用结构调整详见表4-14。</w:t>
      </w:r>
    </w:p>
    <w:p>
      <w:pPr>
        <w:overflowPunct w:val="0"/>
        <w:adjustRightInd w:val="0"/>
        <w:snapToGrid w:val="0"/>
        <w:ind w:firstLine="528"/>
        <w:rPr>
          <w:color w:val="000000"/>
          <w:spacing w:val="12"/>
          <w:szCs w:val="24"/>
        </w:rPr>
      </w:pPr>
      <w:r>
        <w:rPr>
          <w:color w:val="000000"/>
          <w:spacing w:val="12"/>
          <w:szCs w:val="24"/>
        </w:rPr>
        <w:t>土地复垦率：</w:t>
      </w:r>
    </w:p>
    <w:p>
      <w:pPr>
        <w:overflowPunct w:val="0"/>
        <w:adjustRightInd w:val="0"/>
        <w:snapToGrid w:val="0"/>
        <w:ind w:firstLine="528"/>
        <w:rPr>
          <w:color w:val="000000"/>
          <w:spacing w:val="12"/>
          <w:szCs w:val="24"/>
          <w:highlight w:val="yellow"/>
        </w:rPr>
      </w:pPr>
      <w:r>
        <w:rPr>
          <w:color w:val="000000"/>
          <w:spacing w:val="12"/>
          <w:szCs w:val="24"/>
        </w:rPr>
        <w:t>L(%)=P/Y×100%=</w:t>
      </w:r>
      <w:r>
        <w:rPr>
          <w:rFonts w:hint="eastAsia"/>
          <w:color w:val="000000"/>
          <w:kern w:val="0"/>
          <w:szCs w:val="24"/>
          <w:lang w:bidi="ar"/>
        </w:rPr>
        <w:t>4.1706</w:t>
      </w:r>
      <w:r>
        <w:rPr>
          <w:color w:val="000000"/>
          <w:spacing w:val="12"/>
          <w:szCs w:val="24"/>
        </w:rPr>
        <w:t>/</w:t>
      </w:r>
      <w:r>
        <w:rPr>
          <w:rFonts w:hint="eastAsia"/>
          <w:color w:val="000000"/>
          <w:spacing w:val="12"/>
          <w:szCs w:val="24"/>
        </w:rPr>
        <w:t>4.1706</w:t>
      </w:r>
      <w:r>
        <w:rPr>
          <w:color w:val="000000"/>
          <w:spacing w:val="12"/>
          <w:szCs w:val="24"/>
        </w:rPr>
        <w:t>×100%=</w:t>
      </w:r>
      <w:r>
        <w:rPr>
          <w:rFonts w:hint="eastAsia"/>
          <w:color w:val="000000"/>
          <w:spacing w:val="12"/>
          <w:szCs w:val="24"/>
        </w:rPr>
        <w:t>100</w:t>
      </w:r>
      <w:r>
        <w:rPr>
          <w:color w:val="000000"/>
          <w:spacing w:val="12"/>
          <w:szCs w:val="24"/>
        </w:rPr>
        <w:t>%</w:t>
      </w:r>
    </w:p>
    <w:p>
      <w:pPr>
        <w:overflowPunct w:val="0"/>
        <w:adjustRightInd w:val="0"/>
        <w:snapToGrid w:val="0"/>
        <w:ind w:firstLine="528"/>
        <w:rPr>
          <w:color w:val="000000"/>
          <w:spacing w:val="12"/>
          <w:szCs w:val="24"/>
        </w:rPr>
      </w:pPr>
      <w:r>
        <w:rPr>
          <w:color w:val="000000"/>
          <w:spacing w:val="12"/>
          <w:szCs w:val="24"/>
        </w:rPr>
        <w:t>式中：L——土地复垦率(以百分率表示)</w:t>
      </w:r>
    </w:p>
    <w:p>
      <w:pPr>
        <w:overflowPunct w:val="0"/>
        <w:adjustRightInd w:val="0"/>
        <w:snapToGrid w:val="0"/>
        <w:ind w:firstLine="528"/>
        <w:rPr>
          <w:color w:val="000000"/>
          <w:spacing w:val="12"/>
          <w:szCs w:val="24"/>
        </w:rPr>
      </w:pPr>
      <w:r>
        <w:rPr>
          <w:color w:val="000000"/>
          <w:spacing w:val="12"/>
          <w:szCs w:val="24"/>
        </w:rPr>
        <w:t>P——复垦土地面积(hm²)</w:t>
      </w:r>
    </w:p>
    <w:p>
      <w:pPr>
        <w:overflowPunct w:val="0"/>
        <w:adjustRightInd w:val="0"/>
        <w:snapToGrid w:val="0"/>
        <w:ind w:firstLine="528"/>
        <w:rPr>
          <w:color w:val="000000"/>
          <w:spacing w:val="12"/>
          <w:szCs w:val="24"/>
        </w:rPr>
      </w:pPr>
      <w:r>
        <w:rPr>
          <w:color w:val="000000"/>
          <w:spacing w:val="12"/>
          <w:szCs w:val="24"/>
        </w:rPr>
        <w:t>Y——复垦责任范围土地面积(hm²)</w:t>
      </w:r>
    </w:p>
    <w:p>
      <w:pPr>
        <w:overflowPunct w:val="0"/>
        <w:adjustRightInd w:val="0"/>
        <w:snapToGrid w:val="0"/>
        <w:ind w:firstLine="528"/>
        <w:rPr>
          <w:color w:val="000000"/>
          <w:spacing w:val="12"/>
          <w:szCs w:val="24"/>
        </w:rPr>
      </w:pPr>
      <w:r>
        <w:rPr>
          <w:color w:val="000000"/>
          <w:spacing w:val="12"/>
          <w:szCs w:val="24"/>
        </w:rPr>
        <w:t>本项目复垦责任范围面积为</w:t>
      </w:r>
      <w:r>
        <w:rPr>
          <w:rFonts w:hint="eastAsia"/>
          <w:color w:val="000000"/>
          <w:spacing w:val="12"/>
          <w:szCs w:val="24"/>
        </w:rPr>
        <w:t>4.1706</w:t>
      </w:r>
      <w:r>
        <w:rPr>
          <w:color w:val="000000"/>
          <w:spacing w:val="12"/>
          <w:szCs w:val="24"/>
        </w:rPr>
        <w:t>hm²。复垦土地面积为</w:t>
      </w:r>
      <w:r>
        <w:rPr>
          <w:rFonts w:hint="eastAsia"/>
          <w:color w:val="000000"/>
          <w:kern w:val="0"/>
          <w:szCs w:val="24"/>
          <w:lang w:bidi="ar"/>
        </w:rPr>
        <w:t>4.1706</w:t>
      </w:r>
      <w:r>
        <w:rPr>
          <w:color w:val="000000"/>
          <w:spacing w:val="12"/>
          <w:szCs w:val="24"/>
        </w:rPr>
        <w:t>hm²，复垦率</w:t>
      </w:r>
      <w:r>
        <w:rPr>
          <w:rFonts w:hint="eastAsia"/>
          <w:color w:val="000000"/>
          <w:spacing w:val="12"/>
          <w:szCs w:val="24"/>
        </w:rPr>
        <w:t>100</w:t>
      </w:r>
      <w:r>
        <w:rPr>
          <w:color w:val="000000"/>
          <w:spacing w:val="12"/>
          <w:szCs w:val="24"/>
        </w:rPr>
        <w:t>%。</w:t>
      </w:r>
      <w:bookmarkStart w:id="108" w:name="_Toc306776409"/>
      <w:bookmarkStart w:id="109" w:name="_Toc35614681"/>
    </w:p>
    <w:p>
      <w:pPr>
        <w:overflowPunct w:val="0"/>
        <w:adjustRightInd w:val="0"/>
        <w:snapToGrid w:val="0"/>
        <w:ind w:firstLine="420"/>
        <w:jc w:val="center"/>
        <w:rPr>
          <w:rFonts w:eastAsia="黑体"/>
          <w:color w:val="000000"/>
          <w:kern w:val="4"/>
          <w:sz w:val="21"/>
          <w:szCs w:val="21"/>
        </w:rPr>
      </w:pPr>
      <w:r>
        <w:rPr>
          <w:rFonts w:eastAsia="黑体"/>
          <w:color w:val="000000"/>
          <w:kern w:val="4"/>
          <w:sz w:val="21"/>
          <w:szCs w:val="21"/>
        </w:rPr>
        <w:t>表</w:t>
      </w:r>
      <w:r>
        <w:rPr>
          <w:rFonts w:hint="eastAsia" w:eastAsia="黑体"/>
          <w:color w:val="000000"/>
          <w:kern w:val="4"/>
          <w:sz w:val="21"/>
          <w:szCs w:val="21"/>
        </w:rPr>
        <w:t>4</w:t>
      </w:r>
      <w:r>
        <w:rPr>
          <w:rFonts w:eastAsia="黑体"/>
          <w:color w:val="000000"/>
          <w:kern w:val="4"/>
          <w:sz w:val="21"/>
          <w:szCs w:val="21"/>
        </w:rPr>
        <w:t>-</w:t>
      </w:r>
      <w:r>
        <w:rPr>
          <w:rFonts w:hint="eastAsia" w:eastAsia="黑体"/>
          <w:color w:val="000000"/>
          <w:kern w:val="4"/>
          <w:sz w:val="21"/>
          <w:szCs w:val="21"/>
        </w:rPr>
        <w:t>14</w:t>
      </w:r>
      <w:r>
        <w:rPr>
          <w:rFonts w:eastAsia="黑体"/>
          <w:color w:val="000000"/>
          <w:kern w:val="4"/>
          <w:sz w:val="21"/>
          <w:szCs w:val="21"/>
        </w:rPr>
        <w:t>复垦责任范围复垦前后土地利用结构调整表（总表）</w:t>
      </w:r>
    </w:p>
    <w:tbl>
      <w:tblPr>
        <w:tblStyle w:val="25"/>
        <w:tblW w:w="852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8"/>
        <w:gridCol w:w="1458"/>
        <w:gridCol w:w="1093"/>
        <w:gridCol w:w="849"/>
        <w:gridCol w:w="993"/>
        <w:gridCol w:w="853"/>
        <w:gridCol w:w="1289"/>
        <w:gridCol w:w="11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76" w:type="dxa"/>
            <w:gridSpan w:val="2"/>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地类编码</w:t>
            </w:r>
          </w:p>
        </w:tc>
        <w:tc>
          <w:tcPr>
            <w:tcW w:w="1942"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复垦前</w:t>
            </w:r>
          </w:p>
        </w:tc>
        <w:tc>
          <w:tcPr>
            <w:tcW w:w="1846"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复垦后</w:t>
            </w:r>
          </w:p>
        </w:tc>
        <w:tc>
          <w:tcPr>
            <w:tcW w:w="1289"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地类面积增减变化情况（+、-）</w:t>
            </w:r>
          </w:p>
        </w:tc>
        <w:tc>
          <w:tcPr>
            <w:tcW w:w="117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增减变化比例（%）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76" w:type="dxa"/>
            <w:gridSpan w:val="2"/>
            <w:vMerge w:val="continue"/>
            <w:noWrap/>
            <w:vAlign w:val="center"/>
          </w:tcPr>
          <w:p>
            <w:pPr>
              <w:widowControl/>
              <w:spacing w:line="240" w:lineRule="auto"/>
              <w:ind w:firstLine="0" w:firstLineChars="0"/>
              <w:jc w:val="center"/>
              <w:rPr>
                <w:color w:val="000000"/>
                <w:sz w:val="21"/>
                <w:szCs w:val="21"/>
              </w:rPr>
            </w:pPr>
          </w:p>
        </w:tc>
        <w:tc>
          <w:tcPr>
            <w:tcW w:w="109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c>
          <w:tcPr>
            <w:tcW w:w="84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比例（%）</w:t>
            </w:r>
          </w:p>
        </w:tc>
        <w:tc>
          <w:tcPr>
            <w:tcW w:w="99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面积（hm²）</w:t>
            </w:r>
          </w:p>
        </w:tc>
        <w:tc>
          <w:tcPr>
            <w:tcW w:w="85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比例（%）</w:t>
            </w:r>
          </w:p>
        </w:tc>
        <w:tc>
          <w:tcPr>
            <w:tcW w:w="1289" w:type="dxa"/>
            <w:vMerge w:val="continue"/>
            <w:noWrap w:val="0"/>
            <w:vAlign w:val="center"/>
          </w:tcPr>
          <w:p>
            <w:pPr>
              <w:widowControl/>
              <w:spacing w:line="240" w:lineRule="auto"/>
              <w:ind w:firstLine="0" w:firstLineChars="0"/>
              <w:jc w:val="center"/>
              <w:rPr>
                <w:color w:val="000000"/>
                <w:sz w:val="21"/>
                <w:szCs w:val="21"/>
              </w:rPr>
            </w:pPr>
          </w:p>
        </w:tc>
        <w:tc>
          <w:tcPr>
            <w:tcW w:w="117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8"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林地（03）</w:t>
            </w:r>
          </w:p>
        </w:tc>
        <w:tc>
          <w:tcPr>
            <w:tcW w:w="145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乔木林地（0301）</w:t>
            </w:r>
          </w:p>
        </w:tc>
        <w:tc>
          <w:tcPr>
            <w:tcW w:w="109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84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99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sz w:val="21"/>
                <w:szCs w:val="21"/>
              </w:rPr>
              <w:t>100</w:t>
            </w:r>
          </w:p>
        </w:tc>
        <w:tc>
          <w:tcPr>
            <w:tcW w:w="12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175" w:type="dxa"/>
            <w:noWrap/>
            <w:vAlign w:val="center"/>
          </w:tcPr>
          <w:p>
            <w:pPr>
              <w:widowControl/>
              <w:spacing w:line="240" w:lineRule="auto"/>
              <w:ind w:firstLine="0" w:firstLineChars="0"/>
              <w:jc w:val="center"/>
              <w:textAlignment w:val="center"/>
              <w:rPr>
                <w:color w:val="000000"/>
                <w:sz w:val="21"/>
                <w:szCs w:val="21"/>
              </w:rPr>
            </w:pPr>
            <w:r>
              <w:rPr>
                <w:color w:val="000000"/>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8" w:type="dxa"/>
            <w:vMerge w:val="continue"/>
            <w:noWrap w:val="0"/>
            <w:vAlign w:val="center"/>
          </w:tcPr>
          <w:p>
            <w:pPr>
              <w:widowControl/>
              <w:spacing w:line="240" w:lineRule="auto"/>
              <w:ind w:firstLine="0" w:firstLineChars="0"/>
              <w:jc w:val="center"/>
              <w:rPr>
                <w:color w:val="000000"/>
                <w:sz w:val="21"/>
                <w:szCs w:val="21"/>
              </w:rPr>
            </w:pPr>
          </w:p>
        </w:tc>
        <w:tc>
          <w:tcPr>
            <w:tcW w:w="145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灌木林地（0305）</w:t>
            </w:r>
          </w:p>
        </w:tc>
        <w:tc>
          <w:tcPr>
            <w:tcW w:w="109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849" w:type="dxa"/>
            <w:noWrap/>
            <w:vAlign w:val="center"/>
          </w:tcPr>
          <w:p>
            <w:pPr>
              <w:widowControl/>
              <w:spacing w:line="240" w:lineRule="auto"/>
              <w:ind w:firstLine="0" w:firstLineChars="0"/>
              <w:jc w:val="center"/>
              <w:textAlignment w:val="center"/>
              <w:rPr>
                <w:color w:val="000000"/>
                <w:sz w:val="21"/>
                <w:szCs w:val="21"/>
              </w:rPr>
            </w:pPr>
            <w:r>
              <w:rPr>
                <w:color w:val="000000"/>
                <w:sz w:val="21"/>
                <w:szCs w:val="21"/>
              </w:rPr>
              <w:t>100</w:t>
            </w:r>
          </w:p>
        </w:tc>
        <w:tc>
          <w:tcPr>
            <w:tcW w:w="99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2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1175" w:type="dxa"/>
            <w:noWrap/>
            <w:vAlign w:val="center"/>
          </w:tcPr>
          <w:p>
            <w:pPr>
              <w:widowControl/>
              <w:spacing w:line="240" w:lineRule="auto"/>
              <w:ind w:firstLine="0" w:firstLineChars="0"/>
              <w:jc w:val="center"/>
              <w:textAlignment w:val="center"/>
              <w:rPr>
                <w:color w:val="000000"/>
                <w:sz w:val="21"/>
                <w:szCs w:val="21"/>
              </w:rPr>
            </w:pPr>
            <w:r>
              <w:rPr>
                <w:color w:val="000000"/>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76"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109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849" w:type="dxa"/>
            <w:noWrap/>
            <w:vAlign w:val="center"/>
          </w:tcPr>
          <w:p>
            <w:pPr>
              <w:widowControl/>
              <w:spacing w:line="240" w:lineRule="auto"/>
              <w:ind w:firstLine="0" w:firstLineChars="0"/>
              <w:jc w:val="center"/>
              <w:textAlignment w:val="center"/>
              <w:rPr>
                <w:color w:val="000000"/>
                <w:sz w:val="21"/>
                <w:szCs w:val="21"/>
              </w:rPr>
            </w:pPr>
            <w:r>
              <w:rPr>
                <w:color w:val="000000"/>
                <w:sz w:val="21"/>
                <w:szCs w:val="21"/>
              </w:rPr>
              <w:t>100</w:t>
            </w:r>
          </w:p>
        </w:tc>
        <w:tc>
          <w:tcPr>
            <w:tcW w:w="99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sz w:val="21"/>
                <w:szCs w:val="21"/>
              </w:rPr>
              <w:t>100</w:t>
            </w:r>
          </w:p>
        </w:tc>
        <w:tc>
          <w:tcPr>
            <w:tcW w:w="12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1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r>
    </w:tbl>
    <w:p>
      <w:pPr>
        <w:pStyle w:val="3"/>
        <w:ind w:firstLine="0" w:firstLineChars="0"/>
        <w:jc w:val="both"/>
        <w:rPr>
          <w:rFonts w:hint="eastAsia"/>
        </w:rPr>
      </w:pPr>
      <w:bookmarkStart w:id="110" w:name="_Toc29787"/>
      <w:r>
        <w:rPr>
          <w:rFonts w:hint="eastAsia"/>
        </w:rPr>
        <w:t>5土地复垦质量要求与复垦措施</w:t>
      </w:r>
      <w:bookmarkEnd w:id="108"/>
      <w:bookmarkEnd w:id="109"/>
      <w:bookmarkEnd w:id="110"/>
    </w:p>
    <w:p>
      <w:pPr>
        <w:pStyle w:val="4"/>
        <w:spacing w:before="0" w:after="0"/>
        <w:ind w:firstLine="0" w:firstLineChars="0"/>
        <w:rPr>
          <w:color w:val="000000"/>
          <w:kern w:val="0"/>
          <w:szCs w:val="30"/>
        </w:rPr>
      </w:pPr>
      <w:bookmarkStart w:id="111" w:name="_Toc35614682"/>
      <w:bookmarkStart w:id="112" w:name="_Toc12038"/>
      <w:bookmarkStart w:id="113" w:name="_Toc306776410"/>
      <w:r>
        <w:rPr>
          <w:rFonts w:hint="eastAsia"/>
          <w:color w:val="000000"/>
          <w:kern w:val="0"/>
          <w:szCs w:val="30"/>
        </w:rPr>
        <w:t>5</w:t>
      </w:r>
      <w:r>
        <w:rPr>
          <w:color w:val="000000"/>
          <w:kern w:val="0"/>
          <w:szCs w:val="30"/>
        </w:rPr>
        <w:t>.1土地复垦质量要求</w:t>
      </w:r>
      <w:bookmarkEnd w:id="111"/>
      <w:bookmarkEnd w:id="112"/>
      <w:bookmarkEnd w:id="113"/>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5.1.1土地复垦质量控制原则</w:t>
      </w:r>
    </w:p>
    <w:p>
      <w:pPr>
        <w:overflowPunct w:val="0"/>
        <w:adjustRightInd w:val="0"/>
        <w:snapToGrid w:val="0"/>
        <w:ind w:firstLine="528"/>
        <w:rPr>
          <w:rFonts w:hint="eastAsia"/>
          <w:color w:val="000000"/>
          <w:spacing w:val="12"/>
          <w:szCs w:val="24"/>
        </w:rPr>
      </w:pPr>
      <w:bookmarkStart w:id="114" w:name="_Toc259295722"/>
      <w:bookmarkStart w:id="115" w:name="_Toc232219844"/>
      <w:bookmarkStart w:id="116" w:name="_Toc306776411"/>
      <w:r>
        <w:rPr>
          <w:rFonts w:hint="eastAsia"/>
          <w:color w:val="000000"/>
          <w:spacing w:val="12"/>
          <w:szCs w:val="24"/>
        </w:rPr>
        <w:t>1）符合国家政策规范、土地复垦技术标准(试行)，符合当地环境规划。</w:t>
      </w:r>
    </w:p>
    <w:p>
      <w:pPr>
        <w:overflowPunct w:val="0"/>
        <w:adjustRightInd w:val="0"/>
        <w:snapToGrid w:val="0"/>
        <w:ind w:firstLine="528"/>
        <w:rPr>
          <w:rFonts w:hint="eastAsia"/>
          <w:color w:val="000000"/>
          <w:spacing w:val="12"/>
          <w:szCs w:val="24"/>
        </w:rPr>
      </w:pPr>
      <w:r>
        <w:rPr>
          <w:rFonts w:hint="eastAsia"/>
          <w:color w:val="000000"/>
          <w:spacing w:val="12"/>
          <w:szCs w:val="24"/>
        </w:rPr>
        <w:t>2）依据技术经济合理，兼顾自然与土地类型，选择复垦土地的用途，因地制宜，综合治理，宜农则农，宜林则林，宜牧则牧，宜渔则渔，宜建则建，条件允许的地方，应优先复垦为耕地。</w:t>
      </w:r>
    </w:p>
    <w:p>
      <w:pPr>
        <w:overflowPunct w:val="0"/>
        <w:adjustRightInd w:val="0"/>
        <w:snapToGrid w:val="0"/>
        <w:ind w:firstLine="528"/>
        <w:rPr>
          <w:rFonts w:hint="eastAsia"/>
          <w:color w:val="000000"/>
          <w:spacing w:val="12"/>
          <w:szCs w:val="24"/>
        </w:rPr>
      </w:pPr>
      <w:r>
        <w:rPr>
          <w:rFonts w:hint="eastAsia"/>
          <w:color w:val="000000"/>
          <w:spacing w:val="12"/>
          <w:szCs w:val="24"/>
        </w:rPr>
        <w:t>3）复垦后的土地地形地貌应与当地自然景观、环境协调。</w:t>
      </w:r>
    </w:p>
    <w:p>
      <w:pPr>
        <w:overflowPunct w:val="0"/>
        <w:adjustRightInd w:val="0"/>
        <w:snapToGrid w:val="0"/>
        <w:ind w:firstLine="528"/>
        <w:rPr>
          <w:rFonts w:hint="eastAsia"/>
          <w:color w:val="000000"/>
          <w:spacing w:val="12"/>
          <w:szCs w:val="24"/>
        </w:rPr>
      </w:pPr>
      <w:r>
        <w:rPr>
          <w:rFonts w:hint="eastAsia"/>
          <w:color w:val="000000"/>
          <w:spacing w:val="12"/>
          <w:szCs w:val="24"/>
        </w:rPr>
        <w:t>4）保护土壤、水源、环境、生态、防止水土流失，次生灾害发生。</w:t>
      </w:r>
    </w:p>
    <w:p>
      <w:pPr>
        <w:overflowPunct w:val="0"/>
        <w:adjustRightInd w:val="0"/>
        <w:snapToGrid w:val="0"/>
        <w:ind w:firstLine="528"/>
        <w:rPr>
          <w:rFonts w:hint="eastAsia"/>
          <w:color w:val="000000"/>
          <w:spacing w:val="12"/>
          <w:szCs w:val="24"/>
        </w:rPr>
      </w:pPr>
      <w:r>
        <w:rPr>
          <w:rFonts w:hint="eastAsia"/>
          <w:color w:val="000000"/>
          <w:spacing w:val="12"/>
          <w:szCs w:val="24"/>
        </w:rPr>
        <w:t>5）立足经济、生态和社会效益统一、一致的原则。</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5.1.2复垦质量标准</w:t>
      </w:r>
    </w:p>
    <w:p>
      <w:pPr>
        <w:overflowPunct w:val="0"/>
        <w:adjustRightInd w:val="0"/>
        <w:snapToGrid w:val="0"/>
        <w:ind w:firstLine="528"/>
        <w:rPr>
          <w:rFonts w:hint="eastAsia"/>
          <w:color w:val="000000"/>
          <w:spacing w:val="12"/>
          <w:szCs w:val="24"/>
        </w:rPr>
      </w:pPr>
      <w:r>
        <w:rPr>
          <w:rFonts w:hint="eastAsia"/>
          <w:color w:val="000000"/>
          <w:spacing w:val="12"/>
          <w:szCs w:val="24"/>
        </w:rPr>
        <w:t>根据《土地复垦条例》（国务院令第592号）及国土资源部文件《关于组织土地复垦方案编报和审查有关问题的通知》（国土资发〔2007〕81号）和《土地复垦技术标准》（TD/T1036-2013）等文件、规范的规定，确定本土地复垦方案的规划标准符合实际、先进适用、经济合理。本项目位于丘陵地区，复垦主要土地类型为林地。根据《土地复垦技术标准》，各地类具体复垦标准见下：</w:t>
      </w:r>
    </w:p>
    <w:p>
      <w:pPr>
        <w:overflowPunct w:val="0"/>
        <w:adjustRightInd w:val="0"/>
        <w:snapToGrid w:val="0"/>
        <w:ind w:firstLine="528"/>
        <w:rPr>
          <w:color w:val="000000"/>
          <w:spacing w:val="12"/>
          <w:szCs w:val="24"/>
        </w:rPr>
      </w:pPr>
      <w:bookmarkStart w:id="117" w:name="_Toc35614683"/>
      <w:r>
        <w:rPr>
          <w:rFonts w:hint="eastAsia"/>
          <w:color w:val="000000"/>
          <w:spacing w:val="12"/>
          <w:szCs w:val="24"/>
        </w:rPr>
        <w:t>1）林地复垦质量标准</w:t>
      </w:r>
    </w:p>
    <w:p>
      <w:pPr>
        <w:overflowPunct w:val="0"/>
        <w:adjustRightInd w:val="0"/>
        <w:snapToGrid w:val="0"/>
        <w:ind w:firstLine="528"/>
        <w:rPr>
          <w:color w:val="000000"/>
          <w:spacing w:val="12"/>
          <w:szCs w:val="24"/>
        </w:rPr>
      </w:pPr>
      <w:r>
        <w:rPr>
          <w:rFonts w:hint="eastAsia"/>
          <w:color w:val="000000"/>
          <w:spacing w:val="12"/>
          <w:szCs w:val="24"/>
        </w:rPr>
        <w:t>临时用地土地复垦方向为乔木林地的，已编制《恢复林业生产条件实施方案》，本方案中对复垦方向为乔木林地的进行表土剥覆工程。覆土厚度为40cm。</w:t>
      </w:r>
    </w:p>
    <w:p>
      <w:pPr>
        <w:pStyle w:val="4"/>
        <w:spacing w:before="0" w:after="0"/>
        <w:ind w:firstLine="0" w:firstLineChars="0"/>
        <w:rPr>
          <w:color w:val="000000"/>
          <w:kern w:val="0"/>
          <w:szCs w:val="30"/>
        </w:rPr>
      </w:pPr>
      <w:bookmarkStart w:id="118" w:name="_Toc31145"/>
      <w:r>
        <w:rPr>
          <w:rFonts w:hint="eastAsia"/>
          <w:color w:val="000000"/>
          <w:kern w:val="0"/>
          <w:szCs w:val="30"/>
        </w:rPr>
        <w:t>5</w:t>
      </w:r>
      <w:r>
        <w:rPr>
          <w:color w:val="000000"/>
          <w:kern w:val="0"/>
          <w:szCs w:val="30"/>
        </w:rPr>
        <w:t>.2预防控制措施</w:t>
      </w:r>
      <w:bookmarkEnd w:id="114"/>
      <w:bookmarkEnd w:id="115"/>
      <w:bookmarkEnd w:id="116"/>
      <w:bookmarkEnd w:id="117"/>
      <w:bookmarkEnd w:id="118"/>
    </w:p>
    <w:p>
      <w:pPr>
        <w:overflowPunct w:val="0"/>
        <w:adjustRightInd w:val="0"/>
        <w:snapToGrid w:val="0"/>
        <w:ind w:firstLine="528"/>
        <w:rPr>
          <w:rFonts w:hint="eastAsia"/>
          <w:color w:val="000000"/>
          <w:spacing w:val="12"/>
          <w:szCs w:val="24"/>
        </w:rPr>
      </w:pPr>
      <w:r>
        <w:rPr>
          <w:rFonts w:hint="eastAsia"/>
          <w:color w:val="000000"/>
          <w:spacing w:val="12"/>
          <w:szCs w:val="24"/>
        </w:rPr>
        <w:t>按照“统一规划、源头控制、防复结合”的原则，按照项目特点、施工方式及工艺等，制定高速公路复垦工程的预防控制措施，主要包括以下几个方面：</w:t>
      </w:r>
    </w:p>
    <w:p>
      <w:pPr>
        <w:overflowPunct w:val="0"/>
        <w:adjustRightInd w:val="0"/>
        <w:snapToGrid w:val="0"/>
        <w:ind w:firstLine="528"/>
        <w:rPr>
          <w:rFonts w:hint="eastAsia"/>
          <w:color w:val="000000"/>
          <w:spacing w:val="12"/>
          <w:szCs w:val="24"/>
        </w:rPr>
      </w:pPr>
      <w:r>
        <w:rPr>
          <w:color w:val="000000"/>
          <w:spacing w:val="12"/>
        </w:rPr>
        <w:t>——</w:t>
      </w:r>
      <w:r>
        <w:rPr>
          <w:rFonts w:hint="eastAsia"/>
          <w:color w:val="000000"/>
          <w:spacing w:val="12"/>
          <w:szCs w:val="24"/>
        </w:rPr>
        <w:t>自然资源主管部门要把西富高速工程土地复垦任务纳入本行政区土地复垦规划，对工程所占用的土地资源进行合理性评价，合理控制建设单位的土地利用数量，不定期监督检查建设单位损坏、占用、压占土地情况，坚决杜绝建设单位乱占乱用土地资源的现象。</w:t>
      </w:r>
    </w:p>
    <w:p>
      <w:pPr>
        <w:overflowPunct w:val="0"/>
        <w:adjustRightInd w:val="0"/>
        <w:snapToGrid w:val="0"/>
        <w:ind w:firstLine="528"/>
        <w:rPr>
          <w:rFonts w:hint="eastAsia"/>
          <w:color w:val="000000"/>
          <w:spacing w:val="12"/>
          <w:szCs w:val="24"/>
        </w:rPr>
      </w:pPr>
      <w:r>
        <w:rPr>
          <w:color w:val="000000"/>
          <w:spacing w:val="12"/>
        </w:rPr>
        <w:t>——</w:t>
      </w:r>
      <w:r>
        <w:rPr>
          <w:rFonts w:hint="eastAsia"/>
          <w:color w:val="000000"/>
          <w:spacing w:val="12"/>
          <w:szCs w:val="24"/>
        </w:rPr>
        <w:t>土地复垦方案的编制，是根据经济合理的原则和自然条件以及土地损毁状态，因地制宜地确定复垦后的土地用途。与相关规划协调，制定的土地复垦规划设计方案与本地区土地复垦规划相衔接。</w:t>
      </w:r>
    </w:p>
    <w:p>
      <w:pPr>
        <w:overflowPunct w:val="0"/>
        <w:adjustRightInd w:val="0"/>
        <w:snapToGrid w:val="0"/>
        <w:ind w:firstLine="528"/>
        <w:rPr>
          <w:rFonts w:hint="eastAsia"/>
          <w:color w:val="000000"/>
          <w:spacing w:val="12"/>
          <w:szCs w:val="24"/>
        </w:rPr>
      </w:pPr>
      <w:r>
        <w:rPr>
          <w:color w:val="000000"/>
          <w:spacing w:val="12"/>
        </w:rPr>
        <w:t>——</w:t>
      </w:r>
      <w:r>
        <w:rPr>
          <w:rFonts w:hint="eastAsia"/>
          <w:color w:val="000000"/>
          <w:spacing w:val="12"/>
          <w:szCs w:val="24"/>
        </w:rPr>
        <w:t>《西畴至富宁高速公路建设项目（西畴段）第一期临时用地土地复垦方案》应当上报西畴县自然资源局审查，经审查同意后，积极实施。土地复垦规划设计方案确定的任务纳入建设计划和投资概算。</w:t>
      </w:r>
    </w:p>
    <w:p>
      <w:pPr>
        <w:overflowPunct w:val="0"/>
        <w:adjustRightInd w:val="0"/>
        <w:snapToGrid w:val="0"/>
        <w:ind w:firstLine="528"/>
        <w:rPr>
          <w:rFonts w:hint="eastAsia"/>
          <w:color w:val="000000"/>
          <w:spacing w:val="12"/>
          <w:szCs w:val="24"/>
          <w:highlight w:val="yellow"/>
        </w:rPr>
      </w:pPr>
      <w:r>
        <w:rPr>
          <w:color w:val="000000"/>
          <w:spacing w:val="12"/>
        </w:rPr>
        <w:t>——</w:t>
      </w:r>
      <w:r>
        <w:rPr>
          <w:rFonts w:hint="eastAsia"/>
          <w:color w:val="000000"/>
          <w:spacing w:val="12"/>
          <w:szCs w:val="24"/>
        </w:rPr>
        <w:t>建设单位应把在采挖、压占、固体废弃物压、排放占地之前单独堆放的剥离表土用于复垦土地的土壤改良。</w:t>
      </w:r>
    </w:p>
    <w:p>
      <w:pPr>
        <w:pStyle w:val="4"/>
        <w:spacing w:before="0" w:after="0"/>
        <w:ind w:firstLine="0" w:firstLineChars="0"/>
        <w:rPr>
          <w:color w:val="000000"/>
          <w:kern w:val="0"/>
          <w:szCs w:val="30"/>
        </w:rPr>
      </w:pPr>
      <w:bookmarkStart w:id="119" w:name="_Toc35614684"/>
      <w:bookmarkStart w:id="120" w:name="_Toc306776412"/>
      <w:bookmarkStart w:id="121" w:name="_Toc21927"/>
      <w:r>
        <w:rPr>
          <w:rFonts w:hint="eastAsia"/>
          <w:color w:val="000000"/>
          <w:kern w:val="0"/>
          <w:szCs w:val="30"/>
        </w:rPr>
        <w:t>5</w:t>
      </w:r>
      <w:r>
        <w:rPr>
          <w:color w:val="000000"/>
          <w:kern w:val="0"/>
          <w:szCs w:val="30"/>
        </w:rPr>
        <w:t>.3复垦措施</w:t>
      </w:r>
      <w:bookmarkEnd w:id="119"/>
      <w:bookmarkEnd w:id="120"/>
      <w:bookmarkEnd w:id="121"/>
    </w:p>
    <w:p>
      <w:pPr>
        <w:ind w:firstLine="528"/>
        <w:rPr>
          <w:rFonts w:hint="eastAsia"/>
          <w:color w:val="000000"/>
          <w:spacing w:val="12"/>
          <w:szCs w:val="24"/>
        </w:rPr>
      </w:pPr>
      <w:r>
        <w:rPr>
          <w:rFonts w:hint="eastAsia"/>
          <w:color w:val="000000"/>
          <w:spacing w:val="12"/>
          <w:szCs w:val="24"/>
        </w:rPr>
        <w:t>土地复垦措施应根据主体工程设计并结合《水保》等工程中已有的措施，既能保证土地复垦措施的针对性，又能避免重复和冲突。对主体工程和《水保》中已有的措施能够到达土地复垦要求在土地复垦方案不再设计；对主体工程和《水保》中已有的措施未能到达土地复垦要求的措施按照土地复垦的规程和要求重新设计和投资，按照土地复垦的要求对损毁土地进行复垦措施的设计。</w:t>
      </w:r>
    </w:p>
    <w:p>
      <w:pPr>
        <w:pStyle w:val="5"/>
        <w:adjustRightInd w:val="0"/>
        <w:snapToGrid w:val="0"/>
        <w:spacing w:before="0" w:after="0" w:line="360" w:lineRule="auto"/>
        <w:ind w:left="101" w:hanging="100" w:hangingChars="36"/>
        <w:rPr>
          <w:rFonts w:hint="eastAsia"/>
          <w:color w:val="000000"/>
          <w:szCs w:val="28"/>
        </w:rPr>
      </w:pPr>
      <w:bookmarkStart w:id="122" w:name="_Toc232219845"/>
      <w:bookmarkStart w:id="123" w:name="_Toc259295723"/>
      <w:r>
        <w:rPr>
          <w:rFonts w:hint="eastAsia"/>
          <w:color w:val="000000"/>
          <w:szCs w:val="28"/>
        </w:rPr>
        <w:t>5.3.1工程技术措施</w:t>
      </w:r>
      <w:bookmarkEnd w:id="122"/>
      <w:bookmarkEnd w:id="123"/>
    </w:p>
    <w:p>
      <w:pPr>
        <w:overflowPunct w:val="0"/>
        <w:adjustRightInd w:val="0"/>
        <w:snapToGrid w:val="0"/>
        <w:ind w:firstLine="528"/>
        <w:rPr>
          <w:rFonts w:hint="eastAsia"/>
          <w:color w:val="000000"/>
          <w:spacing w:val="12"/>
          <w:szCs w:val="24"/>
        </w:rPr>
      </w:pPr>
      <w:r>
        <w:rPr>
          <w:rFonts w:hint="eastAsia"/>
          <w:color w:val="000000"/>
          <w:spacing w:val="12"/>
          <w:szCs w:val="24"/>
        </w:rPr>
        <w:t>根据该项目建设时序结合土地复垦适宜性分析结果以及复垦单元，确定该复垦方案根据复垦地类采用工程技术措施，具体分析如下：</w:t>
      </w:r>
    </w:p>
    <w:p>
      <w:pPr>
        <w:overflowPunct w:val="0"/>
        <w:adjustRightInd w:val="0"/>
        <w:snapToGrid w:val="0"/>
        <w:ind w:firstLine="528"/>
        <w:rPr>
          <w:color w:val="000000"/>
          <w:spacing w:val="12"/>
          <w:szCs w:val="24"/>
        </w:rPr>
      </w:pPr>
      <w:r>
        <w:rPr>
          <w:rFonts w:hint="eastAsia"/>
          <w:color w:val="000000"/>
          <w:spacing w:val="12"/>
          <w:szCs w:val="24"/>
        </w:rPr>
        <w:t>a、土壤重构工程</w:t>
      </w:r>
    </w:p>
    <w:p>
      <w:pPr>
        <w:overflowPunct w:val="0"/>
        <w:adjustRightInd w:val="0"/>
        <w:snapToGrid w:val="0"/>
        <w:ind w:firstLine="528"/>
        <w:rPr>
          <w:rFonts w:hint="eastAsia"/>
          <w:color w:val="000000"/>
          <w:spacing w:val="12"/>
          <w:szCs w:val="24"/>
        </w:rPr>
      </w:pPr>
      <w:r>
        <w:rPr>
          <w:rFonts w:hint="eastAsia"/>
          <w:color w:val="000000"/>
          <w:spacing w:val="12"/>
          <w:szCs w:val="24"/>
        </w:rPr>
        <w:t>1）土壤剥覆工程：项目施工前临时损毁单元进行剥土，剥离标准：林地0.4m进行剥离；根据《水保》设计，本工程共计剥离表土16682.40m</w:t>
      </w:r>
      <w:r>
        <w:rPr>
          <w:color w:val="000000"/>
          <w:spacing w:val="12"/>
          <w:szCs w:val="24"/>
        </w:rPr>
        <w:t>³</w:t>
      </w:r>
      <w:r>
        <w:rPr>
          <w:rFonts w:hint="eastAsia"/>
          <w:color w:val="000000"/>
          <w:spacing w:val="12"/>
          <w:szCs w:val="24"/>
        </w:rPr>
        <w:t>，全部堆放于就近设置的表土堆存点内。</w:t>
      </w:r>
    </w:p>
    <w:p>
      <w:pPr>
        <w:overflowPunct w:val="0"/>
        <w:adjustRightInd w:val="0"/>
        <w:snapToGrid w:val="0"/>
        <w:ind w:firstLine="528"/>
        <w:rPr>
          <w:rFonts w:hint="eastAsia"/>
          <w:color w:val="000000"/>
          <w:spacing w:val="12"/>
          <w:szCs w:val="24"/>
        </w:rPr>
      </w:pPr>
      <w:r>
        <w:rPr>
          <w:rFonts w:hint="eastAsia"/>
          <w:color w:val="000000"/>
          <w:spacing w:val="12"/>
          <w:szCs w:val="24"/>
        </w:rPr>
        <w:t>2）清理工程：拌合站的拆除，需对拌合站内硬化地面进行拆除，才可进行复垦，硬化地面拆除4492.80m</w:t>
      </w:r>
      <w:r>
        <w:rPr>
          <w:rFonts w:hint="eastAsia"/>
          <w:color w:val="000000"/>
          <w:spacing w:val="12"/>
          <w:szCs w:val="24"/>
          <w:vertAlign w:val="superscript"/>
        </w:rPr>
        <w:t>3</w:t>
      </w:r>
      <w:r>
        <w:rPr>
          <w:rFonts w:hint="eastAsia"/>
          <w:color w:val="000000"/>
          <w:spacing w:val="12"/>
          <w:szCs w:val="24"/>
        </w:rPr>
        <w:t>，弃渣清运4492.80m</w:t>
      </w:r>
      <w:r>
        <w:rPr>
          <w:color w:val="000000"/>
          <w:spacing w:val="12"/>
          <w:szCs w:val="24"/>
        </w:rPr>
        <w:t>³</w:t>
      </w:r>
      <w:r>
        <w:rPr>
          <w:rFonts w:hint="eastAsia"/>
          <w:color w:val="000000"/>
          <w:spacing w:val="12"/>
          <w:szCs w:val="24"/>
        </w:rPr>
        <w:t>，运距0~0.5km。</w:t>
      </w:r>
    </w:p>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br w:type="page"/>
      </w:r>
      <w:r>
        <w:rPr>
          <w:rFonts w:eastAsia="黑体"/>
          <w:color w:val="000000"/>
          <w:sz w:val="21"/>
          <w:szCs w:val="21"/>
        </w:rPr>
        <w:t>表</w:t>
      </w:r>
      <w:r>
        <w:rPr>
          <w:rFonts w:hint="eastAsia" w:eastAsia="黑体"/>
          <w:color w:val="000000"/>
          <w:sz w:val="21"/>
          <w:szCs w:val="21"/>
        </w:rPr>
        <w:t>5</w:t>
      </w:r>
      <w:r>
        <w:rPr>
          <w:rFonts w:eastAsia="黑体"/>
          <w:color w:val="000000"/>
          <w:sz w:val="21"/>
          <w:szCs w:val="21"/>
        </w:rPr>
        <w:t>-</w:t>
      </w:r>
      <w:r>
        <w:rPr>
          <w:rFonts w:hint="eastAsia" w:eastAsia="黑体"/>
          <w:color w:val="000000"/>
          <w:sz w:val="21"/>
          <w:szCs w:val="21"/>
        </w:rPr>
        <w:t>1</w:t>
      </w:r>
      <w:r>
        <w:rPr>
          <w:rFonts w:eastAsia="黑体"/>
          <w:color w:val="000000"/>
          <w:sz w:val="21"/>
          <w:szCs w:val="21"/>
        </w:rPr>
        <w:t xml:space="preserve">     土地复垦措施一栏表</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57"/>
        <w:gridCol w:w="1702"/>
        <w:gridCol w:w="2551"/>
        <w:gridCol w:w="33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57"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1702"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清理工程</w:t>
            </w:r>
          </w:p>
        </w:tc>
        <w:tc>
          <w:tcPr>
            <w:tcW w:w="255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硬化地面拆除</w:t>
            </w:r>
          </w:p>
        </w:tc>
        <w:tc>
          <w:tcPr>
            <w:tcW w:w="331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拆除硬化地面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57" w:type="dxa"/>
            <w:vMerge w:val="continue"/>
            <w:shd w:val="clear" w:color="auto" w:fill="auto"/>
            <w:noWrap w:val="0"/>
            <w:vAlign w:val="center"/>
          </w:tcPr>
          <w:p>
            <w:pPr>
              <w:widowControl/>
              <w:spacing w:line="240" w:lineRule="auto"/>
              <w:ind w:firstLine="0" w:firstLineChars="0"/>
              <w:jc w:val="center"/>
              <w:rPr>
                <w:color w:val="000000"/>
                <w:sz w:val="21"/>
                <w:szCs w:val="21"/>
              </w:rPr>
            </w:pPr>
          </w:p>
        </w:tc>
        <w:tc>
          <w:tcPr>
            <w:tcW w:w="1702" w:type="dxa"/>
            <w:vMerge w:val="continue"/>
            <w:shd w:val="clear" w:color="auto" w:fill="auto"/>
            <w:noWrap w:val="0"/>
            <w:vAlign w:val="center"/>
          </w:tcPr>
          <w:p>
            <w:pPr>
              <w:widowControl/>
              <w:spacing w:line="240" w:lineRule="auto"/>
              <w:ind w:firstLine="0" w:firstLineChars="0"/>
              <w:jc w:val="center"/>
              <w:rPr>
                <w:color w:val="000000"/>
                <w:sz w:val="21"/>
                <w:szCs w:val="21"/>
              </w:rPr>
            </w:pPr>
          </w:p>
        </w:tc>
        <w:tc>
          <w:tcPr>
            <w:tcW w:w="2551" w:type="dxa"/>
            <w:shd w:val="clear" w:color="auto" w:fill="auto"/>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建筑垃圾清运</w:t>
            </w:r>
          </w:p>
        </w:tc>
        <w:tc>
          <w:tcPr>
            <w:tcW w:w="3315" w:type="dxa"/>
            <w:shd w:val="clear" w:color="auto" w:fill="FFFFFF"/>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运至就近</w:t>
            </w:r>
            <w:r>
              <w:rPr>
                <w:rFonts w:hint="eastAsia"/>
                <w:color w:val="000000"/>
                <w:kern w:val="0"/>
                <w:sz w:val="21"/>
                <w:szCs w:val="21"/>
                <w:lang w:bidi="ar"/>
              </w:rPr>
              <w:t>弃土场</w:t>
            </w:r>
            <w:r>
              <w:rPr>
                <w:color w:val="000000"/>
                <w:kern w:val="0"/>
                <w:sz w:val="21"/>
                <w:szCs w:val="21"/>
                <w:lang w:bidi="ar"/>
              </w:rPr>
              <w:t>填埋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57" w:type="dxa"/>
            <w:vMerge w:val="continue"/>
            <w:noWrap w:val="0"/>
            <w:vAlign w:val="center"/>
          </w:tcPr>
          <w:p>
            <w:pPr>
              <w:widowControl/>
              <w:spacing w:line="240" w:lineRule="auto"/>
              <w:ind w:firstLine="0" w:firstLineChars="0"/>
              <w:jc w:val="center"/>
              <w:rPr>
                <w:color w:val="000000"/>
                <w:sz w:val="21"/>
                <w:szCs w:val="21"/>
              </w:rPr>
            </w:pPr>
          </w:p>
        </w:tc>
        <w:tc>
          <w:tcPr>
            <w:tcW w:w="1702"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表土剥覆工程</w:t>
            </w:r>
          </w:p>
        </w:tc>
        <w:tc>
          <w:tcPr>
            <w:tcW w:w="255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运输表土</w:t>
            </w:r>
          </w:p>
        </w:tc>
        <w:tc>
          <w:tcPr>
            <w:tcW w:w="331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表土堆存点运输至相邻地块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57" w:type="dxa"/>
            <w:vMerge w:val="continue"/>
            <w:noWrap w:val="0"/>
            <w:vAlign w:val="center"/>
          </w:tcPr>
          <w:p>
            <w:pPr>
              <w:widowControl/>
              <w:spacing w:line="240" w:lineRule="auto"/>
              <w:ind w:firstLine="0" w:firstLineChars="0"/>
              <w:jc w:val="center"/>
              <w:rPr>
                <w:color w:val="000000"/>
                <w:sz w:val="21"/>
                <w:szCs w:val="21"/>
              </w:rPr>
            </w:pPr>
          </w:p>
        </w:tc>
        <w:tc>
          <w:tcPr>
            <w:tcW w:w="1702" w:type="dxa"/>
            <w:vMerge w:val="continue"/>
            <w:noWrap w:val="0"/>
            <w:vAlign w:val="center"/>
          </w:tcPr>
          <w:p>
            <w:pPr>
              <w:widowControl/>
              <w:spacing w:line="240" w:lineRule="auto"/>
              <w:ind w:firstLine="0" w:firstLineChars="0"/>
              <w:jc w:val="center"/>
              <w:rPr>
                <w:color w:val="000000"/>
                <w:sz w:val="21"/>
                <w:szCs w:val="21"/>
              </w:rPr>
            </w:pPr>
          </w:p>
        </w:tc>
        <w:tc>
          <w:tcPr>
            <w:tcW w:w="2551"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表土回覆</w:t>
            </w:r>
          </w:p>
        </w:tc>
        <w:tc>
          <w:tcPr>
            <w:tcW w:w="331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复垦</w:t>
            </w:r>
            <w:r>
              <w:rPr>
                <w:rFonts w:hint="eastAsia"/>
                <w:color w:val="000000"/>
                <w:kern w:val="0"/>
                <w:sz w:val="21"/>
                <w:szCs w:val="21"/>
                <w:lang w:bidi="ar"/>
              </w:rPr>
              <w:t>林地</w:t>
            </w:r>
            <w:r>
              <w:rPr>
                <w:color w:val="000000"/>
                <w:kern w:val="0"/>
                <w:sz w:val="21"/>
                <w:szCs w:val="21"/>
                <w:lang w:bidi="ar"/>
              </w:rPr>
              <w:t>覆土</w:t>
            </w:r>
          </w:p>
        </w:tc>
      </w:tr>
    </w:tbl>
    <w:p>
      <w:pPr>
        <w:pStyle w:val="4"/>
        <w:spacing w:before="0" w:after="0"/>
        <w:ind w:firstLine="0" w:firstLineChars="0"/>
        <w:rPr>
          <w:color w:val="000000"/>
          <w:kern w:val="0"/>
          <w:szCs w:val="30"/>
        </w:rPr>
      </w:pPr>
      <w:bookmarkStart w:id="124" w:name="_Toc31372"/>
      <w:bookmarkStart w:id="125" w:name="_Toc306776414"/>
      <w:bookmarkStart w:id="126" w:name="_Toc35614686"/>
      <w:r>
        <w:rPr>
          <w:rFonts w:hint="eastAsia"/>
          <w:color w:val="000000"/>
          <w:kern w:val="0"/>
          <w:szCs w:val="30"/>
        </w:rPr>
        <w:t>5</w:t>
      </w:r>
      <w:r>
        <w:rPr>
          <w:color w:val="000000"/>
          <w:kern w:val="0"/>
          <w:szCs w:val="30"/>
        </w:rPr>
        <w:t>.</w:t>
      </w:r>
      <w:r>
        <w:rPr>
          <w:rFonts w:hint="eastAsia"/>
          <w:color w:val="000000"/>
          <w:kern w:val="0"/>
          <w:szCs w:val="30"/>
        </w:rPr>
        <w:t>4</w:t>
      </w:r>
      <w:r>
        <w:rPr>
          <w:color w:val="000000"/>
          <w:kern w:val="0"/>
          <w:szCs w:val="30"/>
        </w:rPr>
        <w:t>管护措施</w:t>
      </w:r>
      <w:bookmarkEnd w:id="124"/>
      <w:bookmarkEnd w:id="125"/>
      <w:bookmarkEnd w:id="126"/>
    </w:p>
    <w:p>
      <w:pPr>
        <w:ind w:firstLine="528"/>
        <w:rPr>
          <w:color w:val="000000"/>
          <w:spacing w:val="12"/>
          <w:szCs w:val="24"/>
          <w:highlight w:val="yellow"/>
        </w:rPr>
        <w:sectPr>
          <w:footerReference r:id="rId20" w:type="default"/>
          <w:pgSz w:w="11906" w:h="16838"/>
          <w:pgMar w:top="1440" w:right="1797" w:bottom="1440" w:left="1797" w:header="851" w:footer="992" w:gutter="0"/>
          <w:cols w:space="720" w:num="1"/>
          <w:docGrid w:type="lines" w:linePitch="312" w:charSpace="0"/>
        </w:sectPr>
      </w:pPr>
      <w:r>
        <w:rPr>
          <w:rFonts w:hint="eastAsia"/>
          <w:color w:val="000000"/>
          <w:spacing w:val="12"/>
          <w:szCs w:val="24"/>
        </w:rPr>
        <w:t>复垦方向为林地的已编制《恢复林业生产条件实施方案》，方案中已设置林地管护期</w:t>
      </w:r>
      <w:r>
        <w:rPr>
          <w:rFonts w:hint="eastAsia"/>
          <w:color w:val="000000"/>
          <w:spacing w:val="12"/>
          <w:szCs w:val="24"/>
          <w:lang w:eastAsia="zh-CN"/>
        </w:rPr>
        <w:t>，</w:t>
      </w:r>
      <w:r>
        <w:rPr>
          <w:color w:val="000000"/>
          <w:spacing w:val="12"/>
          <w:szCs w:val="24"/>
        </w:rPr>
        <w:t>因此本方案中不设置管护期。</w:t>
      </w:r>
    </w:p>
    <w:p>
      <w:pPr>
        <w:pStyle w:val="3"/>
        <w:spacing w:before="0" w:after="0"/>
        <w:ind w:firstLine="0" w:firstLineChars="0"/>
        <w:jc w:val="both"/>
        <w:rPr>
          <w:color w:val="000000"/>
          <w:kern w:val="0"/>
          <w:szCs w:val="32"/>
        </w:rPr>
      </w:pPr>
      <w:bookmarkStart w:id="127" w:name="_Toc35614687"/>
      <w:bookmarkStart w:id="128" w:name="_Toc14834"/>
      <w:r>
        <w:rPr>
          <w:rFonts w:hint="eastAsia"/>
          <w:color w:val="000000"/>
          <w:kern w:val="0"/>
          <w:szCs w:val="32"/>
        </w:rPr>
        <w:t>6</w:t>
      </w:r>
      <w:r>
        <w:rPr>
          <w:color w:val="000000"/>
          <w:kern w:val="0"/>
          <w:szCs w:val="32"/>
        </w:rPr>
        <w:t>土地复垦工程设计及工程量测算</w:t>
      </w:r>
      <w:bookmarkEnd w:id="127"/>
      <w:bookmarkEnd w:id="128"/>
    </w:p>
    <w:p>
      <w:pPr>
        <w:pStyle w:val="4"/>
        <w:spacing w:before="0" w:after="0"/>
        <w:ind w:firstLine="0" w:firstLineChars="0"/>
        <w:rPr>
          <w:color w:val="000000"/>
          <w:kern w:val="0"/>
          <w:szCs w:val="30"/>
        </w:rPr>
      </w:pPr>
      <w:bookmarkStart w:id="129" w:name="_Toc35614688"/>
      <w:bookmarkStart w:id="130" w:name="_Toc10096"/>
      <w:bookmarkStart w:id="131" w:name="_Toc305068289"/>
      <w:r>
        <w:rPr>
          <w:rFonts w:hint="eastAsia"/>
          <w:color w:val="000000"/>
          <w:kern w:val="0"/>
          <w:szCs w:val="30"/>
        </w:rPr>
        <w:t>6</w:t>
      </w:r>
      <w:r>
        <w:rPr>
          <w:color w:val="000000"/>
          <w:kern w:val="0"/>
          <w:szCs w:val="30"/>
        </w:rPr>
        <w:t>.1工程设计</w:t>
      </w:r>
      <w:bookmarkEnd w:id="129"/>
      <w:bookmarkEnd w:id="130"/>
      <w:bookmarkEnd w:id="131"/>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6.1.1已有工程措施设计</w:t>
      </w:r>
    </w:p>
    <w:p>
      <w:pPr>
        <w:overflowPunct w:val="0"/>
        <w:adjustRightInd w:val="0"/>
        <w:snapToGrid w:val="0"/>
        <w:ind w:firstLine="528"/>
        <w:rPr>
          <w:rFonts w:hint="eastAsia"/>
          <w:color w:val="000000"/>
          <w:spacing w:val="12"/>
          <w:szCs w:val="24"/>
        </w:rPr>
      </w:pPr>
      <w:r>
        <w:rPr>
          <w:rFonts w:hint="eastAsia"/>
          <w:color w:val="000000"/>
          <w:spacing w:val="12"/>
          <w:szCs w:val="24"/>
        </w:rPr>
        <w:t>土地复垦措施应根据主体工程设计并结合《水保》等工程中已有的措施，既能保证土地复垦措施的针对性，又能避免重复和冲突。对主体工程和《水保》中已有的措施能够到达土地复垦要求在土地复垦方案不再设计；对主体工程和《水保》中已有的措施未能到达土地复垦要求的措施按照土地复垦的规程和要求重新设计和投资；按照土地复垦的要求对损毁土地进行复垦措施的设计。</w:t>
      </w:r>
    </w:p>
    <w:p>
      <w:pPr>
        <w:overflowPunct w:val="0"/>
        <w:adjustRightInd w:val="0"/>
        <w:snapToGrid w:val="0"/>
        <w:ind w:firstLine="528"/>
        <w:rPr>
          <w:rFonts w:hint="eastAsia"/>
          <w:color w:val="000000"/>
          <w:spacing w:val="12"/>
          <w:szCs w:val="24"/>
        </w:rPr>
      </w:pPr>
      <w:r>
        <w:rPr>
          <w:rFonts w:hint="eastAsia"/>
          <w:color w:val="000000"/>
          <w:spacing w:val="12"/>
          <w:szCs w:val="24"/>
        </w:rPr>
        <w:t>根据《西畴至富宁高速公路工程水土保持方案报告书》，水土保持措施工程量为：</w:t>
      </w:r>
    </w:p>
    <w:p>
      <w:pPr>
        <w:overflowPunct w:val="0"/>
        <w:adjustRightInd w:val="0"/>
        <w:snapToGrid w:val="0"/>
        <w:ind w:firstLine="528"/>
        <w:rPr>
          <w:color w:val="000000"/>
          <w:spacing w:val="12"/>
          <w:szCs w:val="24"/>
        </w:rPr>
      </w:pPr>
      <w:r>
        <w:rPr>
          <w:rFonts w:hint="eastAsia"/>
          <w:color w:val="000000"/>
          <w:spacing w:val="12"/>
          <w:szCs w:val="24"/>
        </w:rPr>
        <w:t>（一）</w:t>
      </w:r>
      <w:r>
        <w:rPr>
          <w:color w:val="000000"/>
          <w:spacing w:val="12"/>
          <w:szCs w:val="24"/>
        </w:rPr>
        <w:t>工程措施：</w:t>
      </w:r>
    </w:p>
    <w:p>
      <w:pPr>
        <w:overflowPunct w:val="0"/>
        <w:adjustRightInd w:val="0"/>
        <w:snapToGrid w:val="0"/>
        <w:ind w:firstLine="528"/>
        <w:rPr>
          <w:color w:val="000000"/>
          <w:spacing w:val="12"/>
          <w:szCs w:val="24"/>
        </w:rPr>
      </w:pPr>
      <w:r>
        <w:rPr>
          <w:color w:val="000000"/>
          <w:spacing w:val="12"/>
          <w:szCs w:val="24"/>
        </w:rPr>
        <w:t>1、路基工程区：主线—表土剥离28.43万m³、锚杆（索）框格梁护坡2.98hm²、路堑边沟50423.41m、路堤边沟24264.20m、平台排水沟58608.92m、截水沟7550.00m、急流槽4403.52m；支线—表土剥离13.24万m³、锚杆（索）框格梁护坡2.16hm²、路堑边沟17418.00m、路堤边沟9239.00m、平台排水沟1674.00m、截水沟1161.00m、急流槽64.65m；连接线—表土剥离20.58万m³、锚杆（索）框格梁护坡15.47hm²、路堑边沟39148.05m、路堤边沟15658.52m、平台排水沟19270.35m、急流槽11954.00m。</w:t>
      </w:r>
    </w:p>
    <w:p>
      <w:pPr>
        <w:overflowPunct w:val="0"/>
        <w:adjustRightInd w:val="0"/>
        <w:snapToGrid w:val="0"/>
        <w:ind w:firstLine="528"/>
        <w:rPr>
          <w:color w:val="000000"/>
          <w:spacing w:val="12"/>
          <w:szCs w:val="24"/>
        </w:rPr>
      </w:pPr>
      <w:r>
        <w:rPr>
          <w:color w:val="000000"/>
          <w:spacing w:val="12"/>
          <w:szCs w:val="24"/>
        </w:rPr>
        <w:t>2、桥涵工程区：主线—表土剥离1.42万m³、泄水管79262.00m、泥浆沉淀池79口、C25混凝土沉沙池68座；支线—表土剥离0.11万m³、泄水管397.00m、泥浆沉淀池4口、C25混凝土沉沙池4座；连接线—表土剥离0.09万m³、泄水管3647.00m、泥浆沉淀池12口、C25混凝土沉沙池19座。</w:t>
      </w:r>
    </w:p>
    <w:p>
      <w:pPr>
        <w:overflowPunct w:val="0"/>
        <w:adjustRightInd w:val="0"/>
        <w:snapToGrid w:val="0"/>
        <w:ind w:firstLine="528"/>
        <w:rPr>
          <w:color w:val="000000"/>
          <w:spacing w:val="12"/>
          <w:szCs w:val="24"/>
        </w:rPr>
      </w:pPr>
      <w:r>
        <w:rPr>
          <w:color w:val="000000"/>
          <w:spacing w:val="12"/>
          <w:szCs w:val="24"/>
        </w:rPr>
        <w:t>3、隧道工程区：主线—表土剥离6.26万m³、截排水沟10424.00m、顺接排水沟876.00m；支线—表土剥离0.30万m³、截排水沟466.68m、顺接排水沟39m；连接线—表土剥离0.38万m³、截排水沟158.89m、顺接排水沟27.00m。</w:t>
      </w:r>
    </w:p>
    <w:p>
      <w:pPr>
        <w:overflowPunct w:val="0"/>
        <w:adjustRightInd w:val="0"/>
        <w:snapToGrid w:val="0"/>
        <w:ind w:firstLine="528"/>
        <w:rPr>
          <w:color w:val="000000"/>
          <w:spacing w:val="12"/>
          <w:szCs w:val="24"/>
        </w:rPr>
      </w:pPr>
      <w:r>
        <w:rPr>
          <w:color w:val="000000"/>
          <w:spacing w:val="12"/>
          <w:szCs w:val="24"/>
        </w:rPr>
        <w:t>4、立交工程区：表土剥离36.52万m³、锚杆（索）框格梁护坡10.65hm²、路堑边沟38819.90m、路堤边沟14732.70m、平台排水沟25669.36m、急流槽5854.95m、C25混凝土沉沙池17座。</w:t>
      </w:r>
    </w:p>
    <w:p>
      <w:pPr>
        <w:overflowPunct w:val="0"/>
        <w:adjustRightInd w:val="0"/>
        <w:snapToGrid w:val="0"/>
        <w:ind w:firstLine="528"/>
        <w:rPr>
          <w:color w:val="000000"/>
          <w:spacing w:val="12"/>
          <w:szCs w:val="24"/>
        </w:rPr>
      </w:pPr>
      <w:r>
        <w:rPr>
          <w:color w:val="000000"/>
          <w:spacing w:val="12"/>
          <w:szCs w:val="24"/>
        </w:rPr>
        <w:t>5、附属工程区：主线—表土剥离7.35万m³、锚杆框格梁护坡0.06hm²、路堑边沟504.23m、路堤边沟1242.64m、平台排水沟586.09m、截水沟223.45m、急流槽87.00m、C25混凝土沉沙池12座；支线—表土剥离0.30万m³、锚杆框格梁护坡0.07hm²、路堑边沟545.45m、平台排水沟412.69m。</w:t>
      </w:r>
    </w:p>
    <w:p>
      <w:pPr>
        <w:overflowPunct w:val="0"/>
        <w:adjustRightInd w:val="0"/>
        <w:snapToGrid w:val="0"/>
        <w:ind w:firstLine="528"/>
        <w:rPr>
          <w:color w:val="000000"/>
          <w:spacing w:val="12"/>
          <w:szCs w:val="24"/>
        </w:rPr>
      </w:pPr>
      <w:r>
        <w:rPr>
          <w:color w:val="000000"/>
          <w:spacing w:val="12"/>
          <w:szCs w:val="24"/>
        </w:rPr>
        <w:t>6、改移工程区：主线—表土剥离2.30万m³、路侧排水沟30557.31m；支线—表土剥离0.46万m³、路侧排水沟4900.50m；连接线—表土剥离0.85万m³、路侧排水沟4328.11m。</w:t>
      </w:r>
    </w:p>
    <w:p>
      <w:pPr>
        <w:overflowPunct w:val="0"/>
        <w:adjustRightInd w:val="0"/>
        <w:snapToGrid w:val="0"/>
        <w:ind w:firstLine="528"/>
        <w:rPr>
          <w:color w:val="000000"/>
          <w:spacing w:val="12"/>
          <w:szCs w:val="24"/>
        </w:rPr>
      </w:pPr>
      <w:r>
        <w:rPr>
          <w:color w:val="000000"/>
          <w:spacing w:val="12"/>
          <w:szCs w:val="24"/>
        </w:rPr>
        <w:t>7、施工营场地区：表土剥离14.96万m³、复耕37.68hm²、浆砌石拦挡787m、截排水沟5022m。</w:t>
      </w:r>
    </w:p>
    <w:p>
      <w:pPr>
        <w:overflowPunct w:val="0"/>
        <w:adjustRightInd w:val="0"/>
        <w:snapToGrid w:val="0"/>
        <w:ind w:firstLine="528"/>
        <w:rPr>
          <w:color w:val="000000"/>
          <w:spacing w:val="12"/>
          <w:szCs w:val="24"/>
        </w:rPr>
      </w:pPr>
      <w:r>
        <w:rPr>
          <w:color w:val="000000"/>
          <w:spacing w:val="12"/>
          <w:szCs w:val="24"/>
        </w:rPr>
        <w:t>8、施工便道区：表土剥离44.87万m³、路侧排水沟97522.00m、复耕94.45hm²。</w:t>
      </w:r>
    </w:p>
    <w:p>
      <w:pPr>
        <w:overflowPunct w:val="0"/>
        <w:adjustRightInd w:val="0"/>
        <w:snapToGrid w:val="0"/>
        <w:ind w:firstLine="528"/>
        <w:rPr>
          <w:color w:val="000000"/>
          <w:spacing w:val="12"/>
          <w:szCs w:val="24"/>
        </w:rPr>
      </w:pPr>
      <w:r>
        <w:rPr>
          <w:color w:val="000000"/>
          <w:spacing w:val="12"/>
          <w:szCs w:val="24"/>
        </w:rPr>
        <w:t>9、弃渣场区：表土剥离33.87万m³、挡渣墙734.33m、挡墙下游侧引流排水沟368.00m、截水沟23729.00m、截洪沟8550.00m、马道及平台排水沟12281.00m、排水盲沟（渣场底部）16810.00m、环形水沟6514m、渣面（渣顶）排水沟1666.00m、竖向盲沟149.00m、渗水井6个、复耕57.62hm²、八字翼墙89m。</w:t>
      </w:r>
    </w:p>
    <w:p>
      <w:pPr>
        <w:overflowPunct w:val="0"/>
        <w:adjustRightInd w:val="0"/>
        <w:snapToGrid w:val="0"/>
        <w:ind w:firstLine="528"/>
        <w:rPr>
          <w:color w:val="000000"/>
          <w:spacing w:val="12"/>
          <w:szCs w:val="24"/>
        </w:rPr>
      </w:pPr>
      <w:r>
        <w:rPr>
          <w:color w:val="000000"/>
          <w:spacing w:val="12"/>
          <w:szCs w:val="24"/>
        </w:rPr>
        <w:t>（</w:t>
      </w:r>
      <w:r>
        <w:rPr>
          <w:rFonts w:hint="eastAsia"/>
          <w:color w:val="000000"/>
          <w:spacing w:val="12"/>
          <w:szCs w:val="24"/>
        </w:rPr>
        <w:t>二</w:t>
      </w:r>
      <w:r>
        <w:rPr>
          <w:color w:val="000000"/>
          <w:spacing w:val="12"/>
          <w:szCs w:val="24"/>
        </w:rPr>
        <w:t>）植物措施：</w:t>
      </w:r>
    </w:p>
    <w:p>
      <w:pPr>
        <w:overflowPunct w:val="0"/>
        <w:adjustRightInd w:val="0"/>
        <w:snapToGrid w:val="0"/>
        <w:ind w:firstLine="528"/>
        <w:rPr>
          <w:color w:val="000000"/>
          <w:spacing w:val="12"/>
          <w:szCs w:val="24"/>
        </w:rPr>
      </w:pPr>
      <w:r>
        <w:rPr>
          <w:color w:val="000000"/>
          <w:spacing w:val="12"/>
          <w:szCs w:val="24"/>
        </w:rPr>
        <w:t>1、路基工程区：主线—拱形格植草护坡6.85hm²、三维网植被防护37.60hm²、人字格植草护坡2.58hm²、路侧景观绿化5.41hm²、中央分隔带景观绿化8.46hm²；支线—拱形格植草护坡8.07hm²、三维网植被防护1.01hm²、路侧景观绿化0.96hm²；连接线—拱形格植草护坡13.08hm²、三维网植被防护8.52hm²、人字格植草护坡3.94hm²、路侧景观绿化9.32hm²。</w:t>
      </w:r>
    </w:p>
    <w:p>
      <w:pPr>
        <w:overflowPunct w:val="0"/>
        <w:adjustRightInd w:val="0"/>
        <w:snapToGrid w:val="0"/>
        <w:ind w:firstLine="528"/>
        <w:rPr>
          <w:color w:val="000000"/>
          <w:spacing w:val="12"/>
          <w:szCs w:val="24"/>
        </w:rPr>
      </w:pPr>
      <w:r>
        <w:rPr>
          <w:color w:val="000000"/>
          <w:spacing w:val="12"/>
          <w:szCs w:val="24"/>
        </w:rPr>
        <w:t>2、桥涵工程区：主线—撒播草籽绿化30.81hm²；支线—撒播草籽绿化2.57hm²；连接线—撒播草籽绿化1.82hm²。</w:t>
      </w:r>
    </w:p>
    <w:p>
      <w:pPr>
        <w:overflowPunct w:val="0"/>
        <w:adjustRightInd w:val="0"/>
        <w:snapToGrid w:val="0"/>
        <w:ind w:firstLine="528"/>
        <w:rPr>
          <w:color w:val="000000"/>
          <w:spacing w:val="12"/>
          <w:szCs w:val="24"/>
        </w:rPr>
      </w:pPr>
      <w:r>
        <w:rPr>
          <w:color w:val="000000"/>
          <w:spacing w:val="12"/>
          <w:szCs w:val="24"/>
        </w:rPr>
        <w:t>3、隧道工程区：主线—景观绿化7.97hm²；支线—景观绿化0.40hm²；连接线—景观绿化0.34hm²。</w:t>
      </w:r>
    </w:p>
    <w:p>
      <w:pPr>
        <w:overflowPunct w:val="0"/>
        <w:adjustRightInd w:val="0"/>
        <w:snapToGrid w:val="0"/>
        <w:ind w:firstLine="528"/>
        <w:rPr>
          <w:color w:val="000000"/>
          <w:spacing w:val="12"/>
          <w:szCs w:val="24"/>
        </w:rPr>
      </w:pPr>
      <w:r>
        <w:rPr>
          <w:color w:val="000000"/>
          <w:spacing w:val="12"/>
          <w:szCs w:val="24"/>
        </w:rPr>
        <w:t>4、立交工程区：拱形格植草护坡23.55hm²、三维网植被防护5.25hm²、人字格植草护坡2.35hm²、植草护坡6.77hm²、景观绿化38.99hm²。</w:t>
      </w:r>
    </w:p>
    <w:p>
      <w:pPr>
        <w:overflowPunct w:val="0"/>
        <w:adjustRightInd w:val="0"/>
        <w:snapToGrid w:val="0"/>
        <w:ind w:firstLine="528"/>
        <w:rPr>
          <w:color w:val="000000"/>
          <w:spacing w:val="12"/>
          <w:szCs w:val="24"/>
        </w:rPr>
      </w:pPr>
      <w:r>
        <w:rPr>
          <w:color w:val="000000"/>
          <w:spacing w:val="12"/>
          <w:szCs w:val="24"/>
        </w:rPr>
        <w:t>5、附属工程区：主线—拱形格植草护坡0.35hm²、三维网植被防护0.08hm²、人字格植草护坡0.04hm²、景观绿化8.76hm²；支线—景观绿化0.34hm²。</w:t>
      </w:r>
    </w:p>
    <w:p>
      <w:pPr>
        <w:overflowPunct w:val="0"/>
        <w:adjustRightInd w:val="0"/>
        <w:snapToGrid w:val="0"/>
        <w:ind w:firstLine="528"/>
        <w:rPr>
          <w:color w:val="000000"/>
          <w:spacing w:val="12"/>
          <w:szCs w:val="24"/>
        </w:rPr>
      </w:pPr>
      <w:r>
        <w:rPr>
          <w:color w:val="000000"/>
          <w:spacing w:val="12"/>
          <w:szCs w:val="24"/>
        </w:rPr>
        <w:t>6、改移工程区：主线—边坡撒草绿化7.51hm²；支线—边坡撒草绿化1.49hm²；连接线—边坡撒草绿化1.44hm²。</w:t>
      </w:r>
    </w:p>
    <w:p>
      <w:pPr>
        <w:overflowPunct w:val="0"/>
        <w:adjustRightInd w:val="0"/>
        <w:snapToGrid w:val="0"/>
        <w:ind w:firstLine="528"/>
        <w:rPr>
          <w:color w:val="000000"/>
          <w:spacing w:val="12"/>
          <w:szCs w:val="24"/>
        </w:rPr>
      </w:pPr>
      <w:r>
        <w:rPr>
          <w:color w:val="000000"/>
          <w:spacing w:val="12"/>
          <w:szCs w:val="24"/>
        </w:rPr>
        <w:t>7、施工营场地区：植被恢复29.23hm²。</w:t>
      </w:r>
    </w:p>
    <w:p>
      <w:pPr>
        <w:overflowPunct w:val="0"/>
        <w:adjustRightInd w:val="0"/>
        <w:snapToGrid w:val="0"/>
        <w:ind w:firstLine="528"/>
        <w:rPr>
          <w:color w:val="000000"/>
          <w:spacing w:val="12"/>
          <w:szCs w:val="24"/>
        </w:rPr>
      </w:pPr>
      <w:r>
        <w:rPr>
          <w:color w:val="000000"/>
          <w:spacing w:val="12"/>
          <w:szCs w:val="24"/>
        </w:rPr>
        <w:t>8、施工便道区：植被恢复119.04hm²。</w:t>
      </w:r>
    </w:p>
    <w:p>
      <w:pPr>
        <w:overflowPunct w:val="0"/>
        <w:adjustRightInd w:val="0"/>
        <w:snapToGrid w:val="0"/>
        <w:ind w:firstLine="528"/>
        <w:rPr>
          <w:color w:val="000000"/>
          <w:spacing w:val="12"/>
          <w:szCs w:val="24"/>
        </w:rPr>
      </w:pPr>
      <w:r>
        <w:rPr>
          <w:color w:val="000000"/>
          <w:spacing w:val="12"/>
          <w:szCs w:val="24"/>
        </w:rPr>
        <w:t>9、弃渣场区：植被恢复110.11hm²（平台83.22hm²、边坡26.89hm²）。</w:t>
      </w:r>
    </w:p>
    <w:p>
      <w:pPr>
        <w:overflowPunct w:val="0"/>
        <w:adjustRightInd w:val="0"/>
        <w:snapToGrid w:val="0"/>
        <w:ind w:firstLine="528"/>
        <w:rPr>
          <w:color w:val="000000"/>
          <w:spacing w:val="12"/>
          <w:szCs w:val="24"/>
        </w:rPr>
      </w:pPr>
      <w:r>
        <w:rPr>
          <w:color w:val="000000"/>
          <w:spacing w:val="12"/>
          <w:szCs w:val="24"/>
        </w:rPr>
        <w:t>（</w:t>
      </w:r>
      <w:r>
        <w:rPr>
          <w:rFonts w:hint="eastAsia"/>
          <w:color w:val="000000"/>
          <w:spacing w:val="12"/>
          <w:szCs w:val="24"/>
        </w:rPr>
        <w:t>三</w:t>
      </w:r>
      <w:r>
        <w:rPr>
          <w:color w:val="000000"/>
          <w:spacing w:val="12"/>
          <w:szCs w:val="24"/>
        </w:rPr>
        <w:t>）临时措施：</w:t>
      </w:r>
    </w:p>
    <w:p>
      <w:pPr>
        <w:overflowPunct w:val="0"/>
        <w:adjustRightInd w:val="0"/>
        <w:snapToGrid w:val="0"/>
        <w:ind w:firstLine="528"/>
        <w:rPr>
          <w:color w:val="000000"/>
          <w:spacing w:val="12"/>
          <w:szCs w:val="24"/>
        </w:rPr>
      </w:pPr>
      <w:r>
        <w:rPr>
          <w:color w:val="000000"/>
          <w:spacing w:val="12"/>
          <w:szCs w:val="24"/>
        </w:rPr>
        <w:t>1、路基工程区：主线—钢丝石笼拦挡7239m、临时沉沙池81座、土工布临时覆盖320720m²；支线—钢丝石笼拦挡480m、临时沉沙池14座、土工布临时覆盖51548m²；连接线—临时沉沙池51座、土工布临时覆盖48702m²。</w:t>
      </w:r>
    </w:p>
    <w:p>
      <w:pPr>
        <w:overflowPunct w:val="0"/>
        <w:adjustRightInd w:val="0"/>
        <w:snapToGrid w:val="0"/>
        <w:ind w:firstLine="528"/>
        <w:rPr>
          <w:color w:val="000000"/>
          <w:spacing w:val="12"/>
          <w:szCs w:val="24"/>
        </w:rPr>
      </w:pPr>
      <w:r>
        <w:rPr>
          <w:color w:val="000000"/>
          <w:spacing w:val="12"/>
          <w:szCs w:val="24"/>
        </w:rPr>
        <w:t>2、桥涵工程区：主线—钢丝石笼拦挡453m、时沉沙池68座、土工布临时覆盖7406m²；支线—临时沉沙池4座、土工布临时覆盖353m²；连接线—临时沉沙池19座、土工布临时覆盖3285m²。</w:t>
      </w:r>
    </w:p>
    <w:p>
      <w:pPr>
        <w:overflowPunct w:val="0"/>
        <w:adjustRightInd w:val="0"/>
        <w:snapToGrid w:val="0"/>
        <w:ind w:firstLine="528"/>
        <w:rPr>
          <w:color w:val="000000"/>
          <w:spacing w:val="12"/>
          <w:szCs w:val="24"/>
        </w:rPr>
      </w:pPr>
      <w:r>
        <w:rPr>
          <w:color w:val="000000"/>
          <w:spacing w:val="12"/>
          <w:szCs w:val="24"/>
        </w:rPr>
        <w:t>3、隧道工程区：主线—临时沉沙池88座、土工布临时覆盖11482m²；支线—临时沉沙池8座、土工布临时覆盖1033m²；连接线—临时沉沙池6座、土工布临时覆盖413m²。</w:t>
      </w:r>
    </w:p>
    <w:p>
      <w:pPr>
        <w:overflowPunct w:val="0"/>
        <w:adjustRightInd w:val="0"/>
        <w:snapToGrid w:val="0"/>
        <w:ind w:firstLine="528"/>
        <w:rPr>
          <w:color w:val="000000"/>
          <w:spacing w:val="12"/>
          <w:szCs w:val="24"/>
        </w:rPr>
      </w:pPr>
      <w:r>
        <w:rPr>
          <w:color w:val="000000"/>
          <w:spacing w:val="12"/>
          <w:szCs w:val="24"/>
        </w:rPr>
        <w:t>4、立交工程区：装土编织袋拦挡3684m、临时撒草覆盖183800m²。</w:t>
      </w:r>
    </w:p>
    <w:p>
      <w:pPr>
        <w:overflowPunct w:val="0"/>
        <w:adjustRightInd w:val="0"/>
        <w:snapToGrid w:val="0"/>
        <w:ind w:firstLine="528"/>
        <w:rPr>
          <w:color w:val="000000"/>
          <w:spacing w:val="12"/>
          <w:szCs w:val="24"/>
        </w:rPr>
      </w:pPr>
      <w:r>
        <w:rPr>
          <w:color w:val="000000"/>
          <w:spacing w:val="12"/>
          <w:szCs w:val="24"/>
        </w:rPr>
        <w:t>5、附属工程区：主线—土工布临时覆盖20683m²；支线—土工布临时覆盖1650m²。</w:t>
      </w:r>
    </w:p>
    <w:p>
      <w:pPr>
        <w:overflowPunct w:val="0"/>
        <w:adjustRightInd w:val="0"/>
        <w:snapToGrid w:val="0"/>
        <w:ind w:firstLine="528"/>
        <w:rPr>
          <w:color w:val="000000"/>
          <w:spacing w:val="12"/>
          <w:szCs w:val="24"/>
        </w:rPr>
      </w:pPr>
      <w:r>
        <w:rPr>
          <w:color w:val="000000"/>
          <w:spacing w:val="12"/>
          <w:szCs w:val="24"/>
        </w:rPr>
        <w:t>6、改移工程区：主线—临时沉沙池71座、土工布临时覆盖13683m²；支线—临时沉沙池17座、土工布临时覆盖3055m²；连接线—临时沉沙池12座、土工布临时覆盖1019m²。</w:t>
      </w:r>
    </w:p>
    <w:p>
      <w:pPr>
        <w:overflowPunct w:val="0"/>
        <w:adjustRightInd w:val="0"/>
        <w:snapToGrid w:val="0"/>
        <w:ind w:firstLine="528"/>
        <w:rPr>
          <w:color w:val="000000"/>
          <w:spacing w:val="12"/>
          <w:szCs w:val="24"/>
        </w:rPr>
      </w:pPr>
      <w:r>
        <w:rPr>
          <w:color w:val="000000"/>
          <w:spacing w:val="12"/>
          <w:szCs w:val="24"/>
        </w:rPr>
        <w:t>7、施工营场地区：装土编织袋拦挡6869m、土质临时排水沟9565m、临时沉沙池102座、土工布临时覆盖4976m²、临时撒草覆盖69900m²。</w:t>
      </w:r>
    </w:p>
    <w:p>
      <w:pPr>
        <w:overflowPunct w:val="0"/>
        <w:adjustRightInd w:val="0"/>
        <w:snapToGrid w:val="0"/>
        <w:ind w:firstLine="528"/>
        <w:rPr>
          <w:color w:val="000000"/>
          <w:spacing w:val="12"/>
          <w:szCs w:val="24"/>
        </w:rPr>
      </w:pPr>
      <w:r>
        <w:rPr>
          <w:color w:val="000000"/>
          <w:spacing w:val="12"/>
          <w:szCs w:val="24"/>
        </w:rPr>
        <w:t>8、施工便道区：装土编织袋拦挡7763m、临时沉沙池246座、土工布临时覆盖7658m²。</w:t>
      </w:r>
    </w:p>
    <w:p>
      <w:pPr>
        <w:overflowPunct w:val="0"/>
        <w:adjustRightInd w:val="0"/>
        <w:snapToGrid w:val="0"/>
        <w:ind w:firstLine="528"/>
        <w:rPr>
          <w:color w:val="000000"/>
          <w:spacing w:val="12"/>
          <w:szCs w:val="24"/>
        </w:rPr>
      </w:pPr>
      <w:r>
        <w:rPr>
          <w:color w:val="000000"/>
          <w:spacing w:val="12"/>
          <w:szCs w:val="24"/>
        </w:rPr>
        <w:t>9、弃渣场区：装土编织袋拦挡8028m、临时撒草覆盖401400m²。</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6.1.2临时用地区土地复垦</w:t>
      </w:r>
    </w:p>
    <w:p>
      <w:pPr>
        <w:overflowPunct w:val="0"/>
        <w:adjustRightInd w:val="0"/>
        <w:snapToGrid w:val="0"/>
        <w:ind w:firstLine="528"/>
        <w:rPr>
          <w:rFonts w:hint="eastAsia"/>
          <w:color w:val="000000"/>
          <w:spacing w:val="12"/>
          <w:szCs w:val="24"/>
        </w:rPr>
      </w:pPr>
      <w:r>
        <w:rPr>
          <w:rFonts w:hint="eastAsia"/>
          <w:color w:val="000000"/>
          <w:spacing w:val="12"/>
          <w:szCs w:val="24"/>
        </w:rPr>
        <w:t>西畴至富宁高速公路建设项目（西畴段）第一期临时用地土地复垦工程主要是对拟损毁的土地进行整治，涉及2个临时用地，复垦土地面积为4.1706hm</w:t>
      </w:r>
      <w:r>
        <w:rPr>
          <w:color w:val="000000"/>
          <w:spacing w:val="12"/>
          <w:szCs w:val="24"/>
        </w:rPr>
        <w:t>²</w:t>
      </w:r>
      <w:r>
        <w:rPr>
          <w:rFonts w:hint="eastAsia"/>
          <w:color w:val="000000"/>
          <w:spacing w:val="12"/>
          <w:szCs w:val="24"/>
        </w:rPr>
        <w:t>。损毁土地复垦工程以弃土场、拌合站2个复垦单元进行设计。本方案确定的复垦方向为乔木林地。</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6.1.3土壤重构工程</w:t>
      </w:r>
    </w:p>
    <w:p>
      <w:pPr>
        <w:ind w:firstLine="528"/>
        <w:rPr>
          <w:color w:val="000000"/>
          <w:spacing w:val="12"/>
          <w:szCs w:val="24"/>
        </w:rPr>
      </w:pPr>
      <w:r>
        <w:rPr>
          <w:rFonts w:hint="eastAsia"/>
          <w:color w:val="000000"/>
          <w:spacing w:val="12"/>
          <w:szCs w:val="24"/>
        </w:rPr>
        <w:t>1</w:t>
      </w:r>
      <w:r>
        <w:rPr>
          <w:color w:val="000000"/>
          <w:spacing w:val="12"/>
          <w:szCs w:val="24"/>
        </w:rPr>
        <w:t>）</w:t>
      </w:r>
      <w:r>
        <w:rPr>
          <w:rFonts w:hint="eastAsia"/>
          <w:color w:val="000000"/>
          <w:spacing w:val="12"/>
          <w:szCs w:val="24"/>
        </w:rPr>
        <w:t>表土剥覆：项目施工前应对临时损毁单元进行剥土，并堆放于各地块就近设置的表土堆存点内。当进行土壤重构工程时，将前期所剥离的表土运输至各地块，覆土面积总计4.1706hm</w:t>
      </w:r>
      <w:r>
        <w:rPr>
          <w:color w:val="000000"/>
          <w:spacing w:val="12"/>
          <w:szCs w:val="24"/>
        </w:rPr>
        <w:t>²</w:t>
      </w:r>
      <w:r>
        <w:rPr>
          <w:rFonts w:hint="eastAsia"/>
          <w:color w:val="000000"/>
          <w:spacing w:val="12"/>
          <w:szCs w:val="24"/>
        </w:rPr>
        <w:t>，覆土厚度林地0.4m，覆土总量16682.40m</w:t>
      </w:r>
      <w:r>
        <w:rPr>
          <w:color w:val="000000"/>
          <w:spacing w:val="12"/>
          <w:szCs w:val="24"/>
        </w:rPr>
        <w:t>³。</w:t>
      </w:r>
    </w:p>
    <w:p>
      <w:pPr>
        <w:ind w:firstLine="0" w:firstLineChars="0"/>
        <w:jc w:val="center"/>
        <w:rPr>
          <w:rFonts w:eastAsia="黑体"/>
          <w:color w:val="000000"/>
          <w:kern w:val="4"/>
          <w:sz w:val="21"/>
          <w:szCs w:val="21"/>
        </w:rPr>
      </w:pPr>
      <w:r>
        <w:rPr>
          <w:rFonts w:eastAsia="黑体"/>
          <w:color w:val="000000"/>
          <w:kern w:val="4"/>
          <w:sz w:val="21"/>
          <w:szCs w:val="21"/>
        </w:rPr>
        <w:t>表</w:t>
      </w:r>
      <w:r>
        <w:rPr>
          <w:rFonts w:hint="eastAsia" w:eastAsia="黑体"/>
          <w:color w:val="000000"/>
          <w:kern w:val="4"/>
          <w:sz w:val="21"/>
          <w:szCs w:val="21"/>
        </w:rPr>
        <w:t>6</w:t>
      </w:r>
      <w:r>
        <w:rPr>
          <w:rFonts w:eastAsia="黑体"/>
          <w:color w:val="000000"/>
          <w:kern w:val="4"/>
          <w:sz w:val="21"/>
          <w:szCs w:val="21"/>
        </w:rPr>
        <w:t>-</w:t>
      </w:r>
      <w:r>
        <w:rPr>
          <w:rFonts w:hint="eastAsia" w:eastAsia="黑体"/>
          <w:color w:val="000000"/>
          <w:kern w:val="4"/>
          <w:sz w:val="21"/>
          <w:szCs w:val="21"/>
        </w:rPr>
        <w:t>1</w:t>
      </w:r>
      <w:r>
        <w:rPr>
          <w:rFonts w:eastAsia="黑体"/>
          <w:color w:val="000000"/>
          <w:kern w:val="4"/>
          <w:sz w:val="21"/>
          <w:szCs w:val="21"/>
        </w:rPr>
        <w:t>复垦单元表土计算表</w:t>
      </w:r>
    </w:p>
    <w:tbl>
      <w:tblPr>
        <w:tblStyle w:val="25"/>
        <w:tblW w:w="856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623"/>
        <w:gridCol w:w="760"/>
        <w:gridCol w:w="950"/>
        <w:gridCol w:w="940"/>
        <w:gridCol w:w="1080"/>
        <w:gridCol w:w="1140"/>
        <w:gridCol w:w="1050"/>
        <w:gridCol w:w="15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县域</w:t>
            </w:r>
          </w:p>
        </w:tc>
        <w:tc>
          <w:tcPr>
            <w:tcW w:w="1383" w:type="dxa"/>
            <w:gridSpan w:val="2"/>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功能区</w:t>
            </w:r>
          </w:p>
        </w:tc>
        <w:tc>
          <w:tcPr>
            <w:tcW w:w="2970" w:type="dxa"/>
            <w:gridSpan w:val="3"/>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表土需求量</w:t>
            </w:r>
          </w:p>
        </w:tc>
        <w:tc>
          <w:tcPr>
            <w:tcW w:w="3750" w:type="dxa"/>
            <w:gridSpan w:val="3"/>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表土运输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continue"/>
            <w:noWrap/>
            <w:vAlign w:val="center"/>
          </w:tcPr>
          <w:p>
            <w:pPr>
              <w:widowControl/>
              <w:spacing w:line="240" w:lineRule="auto"/>
              <w:ind w:firstLine="0" w:firstLineChars="0"/>
              <w:jc w:val="center"/>
              <w:rPr>
                <w:color w:val="000000"/>
                <w:sz w:val="18"/>
                <w:szCs w:val="18"/>
              </w:rPr>
            </w:pPr>
          </w:p>
        </w:tc>
        <w:tc>
          <w:tcPr>
            <w:tcW w:w="1383" w:type="dxa"/>
            <w:gridSpan w:val="2"/>
            <w:vMerge w:val="continue"/>
            <w:noWrap w:val="0"/>
            <w:vAlign w:val="center"/>
          </w:tcPr>
          <w:p>
            <w:pPr>
              <w:widowControl/>
              <w:spacing w:line="240" w:lineRule="auto"/>
              <w:ind w:firstLine="0" w:firstLineChars="0"/>
              <w:jc w:val="center"/>
              <w:rPr>
                <w:color w:val="000000"/>
                <w:sz w:val="18"/>
                <w:szCs w:val="18"/>
              </w:rPr>
            </w:pPr>
          </w:p>
        </w:tc>
        <w:tc>
          <w:tcPr>
            <w:tcW w:w="95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覆土面积</w:t>
            </w:r>
          </w:p>
        </w:tc>
        <w:tc>
          <w:tcPr>
            <w:tcW w:w="94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覆土厚度</w:t>
            </w:r>
          </w:p>
        </w:tc>
        <w:tc>
          <w:tcPr>
            <w:tcW w:w="108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覆土量</w:t>
            </w:r>
          </w:p>
        </w:tc>
        <w:tc>
          <w:tcPr>
            <w:tcW w:w="114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运输土方量</w:t>
            </w:r>
          </w:p>
        </w:tc>
        <w:tc>
          <w:tcPr>
            <w:tcW w:w="105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运输距离</w:t>
            </w:r>
          </w:p>
        </w:tc>
        <w:tc>
          <w:tcPr>
            <w:tcW w:w="1560"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continue"/>
            <w:noWrap/>
            <w:vAlign w:val="center"/>
          </w:tcPr>
          <w:p>
            <w:pPr>
              <w:widowControl/>
              <w:spacing w:line="240" w:lineRule="auto"/>
              <w:ind w:firstLine="0" w:firstLineChars="0"/>
              <w:jc w:val="center"/>
              <w:rPr>
                <w:color w:val="000000"/>
                <w:sz w:val="18"/>
                <w:szCs w:val="18"/>
              </w:rPr>
            </w:pPr>
          </w:p>
        </w:tc>
        <w:tc>
          <w:tcPr>
            <w:tcW w:w="1383" w:type="dxa"/>
            <w:gridSpan w:val="2"/>
            <w:vMerge w:val="continue"/>
            <w:noWrap w:val="0"/>
            <w:vAlign w:val="center"/>
          </w:tcPr>
          <w:p>
            <w:pPr>
              <w:widowControl/>
              <w:spacing w:line="240" w:lineRule="auto"/>
              <w:ind w:firstLine="0" w:firstLineChars="0"/>
              <w:jc w:val="center"/>
              <w:rPr>
                <w:color w:val="000000"/>
                <w:sz w:val="18"/>
                <w:szCs w:val="18"/>
              </w:rPr>
            </w:pPr>
          </w:p>
        </w:tc>
        <w:tc>
          <w:tcPr>
            <w:tcW w:w="95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hm</w:t>
            </w:r>
            <w:r>
              <w:rPr>
                <w:color w:val="000000"/>
                <w:kern w:val="0"/>
                <w:sz w:val="18"/>
                <w:szCs w:val="18"/>
                <w:vertAlign w:val="superscript"/>
                <w:lang w:bidi="ar"/>
              </w:rPr>
              <w:t>2</w:t>
            </w:r>
          </w:p>
        </w:tc>
        <w:tc>
          <w:tcPr>
            <w:tcW w:w="94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w:t>
            </w:r>
          </w:p>
        </w:tc>
        <w:tc>
          <w:tcPr>
            <w:tcW w:w="108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p>
        </w:tc>
        <w:tc>
          <w:tcPr>
            <w:tcW w:w="114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p>
        </w:tc>
        <w:tc>
          <w:tcPr>
            <w:tcW w:w="105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km</w:t>
            </w:r>
          </w:p>
        </w:tc>
        <w:tc>
          <w:tcPr>
            <w:tcW w:w="1560" w:type="dxa"/>
            <w:vMerge w:val="continue"/>
            <w:noWrap/>
            <w:vAlign w:val="center"/>
          </w:tcPr>
          <w:p>
            <w:pPr>
              <w:widowControl/>
              <w:spacing w:line="240" w:lineRule="auto"/>
              <w:ind w:firstLine="0" w:firstLineChars="0"/>
              <w:jc w:val="center"/>
              <w:rPr>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restart"/>
            <w:noWrap/>
            <w:vAlign w:val="center"/>
          </w:tcPr>
          <w:p>
            <w:pPr>
              <w:widowControl/>
              <w:spacing w:line="240" w:lineRule="auto"/>
              <w:ind w:firstLine="0" w:firstLineChars="0"/>
              <w:jc w:val="center"/>
              <w:rPr>
                <w:color w:val="000000"/>
                <w:sz w:val="18"/>
                <w:szCs w:val="18"/>
              </w:rPr>
            </w:pPr>
            <w:r>
              <w:rPr>
                <w:rFonts w:hint="eastAsia"/>
                <w:color w:val="000000"/>
                <w:sz w:val="18"/>
                <w:szCs w:val="18"/>
              </w:rPr>
              <w:t>西畴县</w:t>
            </w:r>
          </w:p>
        </w:tc>
        <w:tc>
          <w:tcPr>
            <w:tcW w:w="623"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1#弃土场</w:t>
            </w:r>
          </w:p>
        </w:tc>
        <w:tc>
          <w:tcPr>
            <w:tcW w:w="7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平台</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1.7007</w:t>
            </w:r>
          </w:p>
        </w:tc>
        <w:tc>
          <w:tcPr>
            <w:tcW w:w="94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w:t>
            </w:r>
          </w:p>
        </w:tc>
        <w:tc>
          <w:tcPr>
            <w:tcW w:w="10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6802.80</w:t>
            </w:r>
          </w:p>
        </w:tc>
        <w:tc>
          <w:tcPr>
            <w:tcW w:w="114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6802.80</w:t>
            </w:r>
          </w:p>
        </w:tc>
        <w:tc>
          <w:tcPr>
            <w:tcW w:w="10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0~0.5</w:t>
            </w:r>
          </w:p>
        </w:tc>
        <w:tc>
          <w:tcPr>
            <w:tcW w:w="15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continue"/>
            <w:noWrap/>
            <w:vAlign w:val="center"/>
          </w:tcPr>
          <w:p>
            <w:pPr>
              <w:widowControl/>
              <w:spacing w:line="240" w:lineRule="auto"/>
              <w:ind w:firstLine="0" w:firstLineChars="0"/>
              <w:jc w:val="center"/>
              <w:rPr>
                <w:color w:val="000000"/>
                <w:sz w:val="18"/>
                <w:szCs w:val="18"/>
              </w:rPr>
            </w:pPr>
          </w:p>
        </w:tc>
        <w:tc>
          <w:tcPr>
            <w:tcW w:w="623" w:type="dxa"/>
            <w:vMerge w:val="continue"/>
            <w:noWrap/>
            <w:vAlign w:val="center"/>
          </w:tcPr>
          <w:p>
            <w:pPr>
              <w:widowControl/>
              <w:spacing w:line="240" w:lineRule="auto"/>
              <w:ind w:firstLine="0" w:firstLineChars="0"/>
              <w:jc w:val="center"/>
              <w:rPr>
                <w:color w:val="000000"/>
                <w:sz w:val="18"/>
                <w:szCs w:val="18"/>
              </w:rPr>
            </w:pPr>
          </w:p>
        </w:tc>
        <w:tc>
          <w:tcPr>
            <w:tcW w:w="7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边坡</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0.2235</w:t>
            </w:r>
          </w:p>
        </w:tc>
        <w:tc>
          <w:tcPr>
            <w:tcW w:w="94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w:t>
            </w:r>
          </w:p>
        </w:tc>
        <w:tc>
          <w:tcPr>
            <w:tcW w:w="10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894.00</w:t>
            </w:r>
          </w:p>
        </w:tc>
        <w:tc>
          <w:tcPr>
            <w:tcW w:w="114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894.00</w:t>
            </w:r>
          </w:p>
        </w:tc>
        <w:tc>
          <w:tcPr>
            <w:tcW w:w="10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0~0.5</w:t>
            </w:r>
          </w:p>
        </w:tc>
        <w:tc>
          <w:tcPr>
            <w:tcW w:w="15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continue"/>
            <w:noWrap/>
            <w:vAlign w:val="center"/>
          </w:tcPr>
          <w:p>
            <w:pPr>
              <w:widowControl/>
              <w:spacing w:line="240" w:lineRule="auto"/>
              <w:ind w:firstLine="0" w:firstLineChars="0"/>
              <w:jc w:val="center"/>
              <w:rPr>
                <w:color w:val="000000"/>
                <w:sz w:val="18"/>
                <w:szCs w:val="18"/>
              </w:rPr>
            </w:pPr>
          </w:p>
        </w:tc>
        <w:tc>
          <w:tcPr>
            <w:tcW w:w="623" w:type="dxa"/>
            <w:vMerge w:val="continue"/>
            <w:noWrap/>
            <w:vAlign w:val="center"/>
          </w:tcPr>
          <w:p>
            <w:pPr>
              <w:widowControl/>
              <w:spacing w:line="240" w:lineRule="auto"/>
              <w:ind w:firstLine="0" w:firstLineChars="0"/>
              <w:jc w:val="center"/>
              <w:rPr>
                <w:color w:val="000000"/>
                <w:sz w:val="18"/>
                <w:szCs w:val="18"/>
              </w:rPr>
            </w:pPr>
          </w:p>
        </w:tc>
        <w:tc>
          <w:tcPr>
            <w:tcW w:w="7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小计</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1.9242</w:t>
            </w:r>
          </w:p>
        </w:tc>
        <w:tc>
          <w:tcPr>
            <w:tcW w:w="94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0.4</w:t>
            </w:r>
          </w:p>
        </w:tc>
        <w:tc>
          <w:tcPr>
            <w:tcW w:w="10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7696.80</w:t>
            </w:r>
          </w:p>
        </w:tc>
        <w:tc>
          <w:tcPr>
            <w:tcW w:w="114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7696.80</w:t>
            </w:r>
          </w:p>
        </w:tc>
        <w:tc>
          <w:tcPr>
            <w:tcW w:w="10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0~0.5</w:t>
            </w:r>
          </w:p>
        </w:tc>
        <w:tc>
          <w:tcPr>
            <w:tcW w:w="15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continue"/>
            <w:noWrap/>
            <w:vAlign w:val="center"/>
          </w:tcPr>
          <w:p>
            <w:pPr>
              <w:widowControl/>
              <w:spacing w:line="240" w:lineRule="auto"/>
              <w:ind w:firstLine="0" w:firstLineChars="0"/>
              <w:jc w:val="center"/>
              <w:rPr>
                <w:color w:val="000000"/>
                <w:sz w:val="18"/>
                <w:szCs w:val="18"/>
              </w:rPr>
            </w:pPr>
          </w:p>
        </w:tc>
        <w:tc>
          <w:tcPr>
            <w:tcW w:w="1383" w:type="dxa"/>
            <w:gridSpan w:val="2"/>
            <w:noWrap/>
            <w:vAlign w:val="center"/>
          </w:tcPr>
          <w:p>
            <w:pPr>
              <w:widowControl/>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1#拌合站</w:t>
            </w:r>
          </w:p>
        </w:tc>
        <w:tc>
          <w:tcPr>
            <w:tcW w:w="950"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2.2464</w:t>
            </w:r>
          </w:p>
        </w:tc>
        <w:tc>
          <w:tcPr>
            <w:tcW w:w="940" w:type="dxa"/>
            <w:noWrap w:val="0"/>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0.4</w:t>
            </w:r>
          </w:p>
        </w:tc>
        <w:tc>
          <w:tcPr>
            <w:tcW w:w="1080"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8985.60</w:t>
            </w:r>
          </w:p>
        </w:tc>
        <w:tc>
          <w:tcPr>
            <w:tcW w:w="1140"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8985.60</w:t>
            </w:r>
          </w:p>
        </w:tc>
        <w:tc>
          <w:tcPr>
            <w:tcW w:w="1050"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0~0.5</w:t>
            </w:r>
          </w:p>
        </w:tc>
        <w:tc>
          <w:tcPr>
            <w:tcW w:w="1560" w:type="dxa"/>
            <w:noWrap/>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2#表土堆存点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57" w:type="dxa"/>
            <w:vMerge w:val="continue"/>
            <w:noWrap/>
            <w:vAlign w:val="center"/>
          </w:tcPr>
          <w:p>
            <w:pPr>
              <w:widowControl/>
              <w:spacing w:line="240" w:lineRule="auto"/>
              <w:ind w:firstLine="0" w:firstLineChars="0"/>
              <w:jc w:val="center"/>
              <w:rPr>
                <w:color w:val="000000"/>
                <w:sz w:val="18"/>
                <w:szCs w:val="18"/>
              </w:rPr>
            </w:pPr>
          </w:p>
        </w:tc>
        <w:tc>
          <w:tcPr>
            <w:tcW w:w="1383" w:type="dxa"/>
            <w:gridSpan w:val="2"/>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合计</w:t>
            </w:r>
          </w:p>
        </w:tc>
        <w:tc>
          <w:tcPr>
            <w:tcW w:w="9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4.1706</w:t>
            </w:r>
          </w:p>
        </w:tc>
        <w:tc>
          <w:tcPr>
            <w:tcW w:w="94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08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16682.40</w:t>
            </w:r>
          </w:p>
        </w:tc>
        <w:tc>
          <w:tcPr>
            <w:tcW w:w="114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16682.40</w:t>
            </w:r>
          </w:p>
        </w:tc>
        <w:tc>
          <w:tcPr>
            <w:tcW w:w="10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5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r>
    </w:tbl>
    <w:p>
      <w:pPr>
        <w:ind w:firstLine="528"/>
        <w:rPr>
          <w:rFonts w:hint="eastAsia"/>
          <w:color w:val="000000"/>
          <w:spacing w:val="12"/>
          <w:szCs w:val="24"/>
        </w:rPr>
      </w:pPr>
      <w:r>
        <w:rPr>
          <w:rFonts w:hint="eastAsia"/>
          <w:color w:val="000000"/>
          <w:spacing w:val="12"/>
          <w:szCs w:val="24"/>
        </w:rPr>
        <w:t>2）清理工程：临时拌合站的拆除，需对拌合站内硬化地面进行拆除，才进行复垦，硬化地面拆除4492.80m</w:t>
      </w:r>
      <w:r>
        <w:rPr>
          <w:rFonts w:hint="eastAsia"/>
          <w:color w:val="000000"/>
          <w:spacing w:val="12"/>
          <w:szCs w:val="24"/>
          <w:vertAlign w:val="superscript"/>
        </w:rPr>
        <w:t>3</w:t>
      </w:r>
      <w:r>
        <w:rPr>
          <w:rFonts w:hint="eastAsia"/>
          <w:color w:val="000000"/>
          <w:spacing w:val="12"/>
          <w:szCs w:val="24"/>
        </w:rPr>
        <w:t>，弃渣清运4492.80m</w:t>
      </w:r>
      <w:r>
        <w:rPr>
          <w:color w:val="000000"/>
          <w:spacing w:val="12"/>
          <w:szCs w:val="24"/>
        </w:rPr>
        <w:t>³</w:t>
      </w:r>
      <w:r>
        <w:rPr>
          <w:rFonts w:hint="eastAsia"/>
          <w:color w:val="000000"/>
          <w:spacing w:val="12"/>
          <w:szCs w:val="24"/>
        </w:rPr>
        <w:t>，运距0~0.5km。</w:t>
      </w:r>
    </w:p>
    <w:p>
      <w:pPr>
        <w:adjustRightInd w:val="0"/>
        <w:snapToGrid w:val="0"/>
        <w:ind w:firstLine="0" w:firstLineChars="0"/>
        <w:jc w:val="center"/>
        <w:rPr>
          <w:rFonts w:eastAsia="黑体"/>
          <w:color w:val="000000"/>
          <w:kern w:val="4"/>
          <w:sz w:val="21"/>
          <w:szCs w:val="21"/>
        </w:rPr>
      </w:pPr>
      <w:r>
        <w:rPr>
          <w:rFonts w:eastAsia="黑体"/>
          <w:color w:val="000000"/>
          <w:kern w:val="4"/>
          <w:sz w:val="21"/>
          <w:szCs w:val="21"/>
        </w:rPr>
        <w:t>表</w:t>
      </w:r>
      <w:r>
        <w:rPr>
          <w:rFonts w:hint="eastAsia" w:eastAsia="黑体"/>
          <w:color w:val="000000"/>
          <w:kern w:val="4"/>
          <w:sz w:val="21"/>
          <w:szCs w:val="21"/>
        </w:rPr>
        <w:t>6-2</w:t>
      </w:r>
      <w:r>
        <w:rPr>
          <w:rFonts w:eastAsia="黑体"/>
          <w:color w:val="000000"/>
          <w:kern w:val="4"/>
          <w:sz w:val="21"/>
          <w:szCs w:val="21"/>
        </w:rPr>
        <w:t>复垦单元工程量表</w:t>
      </w:r>
    </w:p>
    <w:tbl>
      <w:tblPr>
        <w:tblStyle w:val="25"/>
        <w:tblW w:w="851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62"/>
        <w:gridCol w:w="1994"/>
        <w:gridCol w:w="2538"/>
        <w:gridCol w:w="23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blHeader/>
          <w:jc w:val="center"/>
        </w:trPr>
        <w:tc>
          <w:tcPr>
            <w:tcW w:w="166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县域</w:t>
            </w:r>
          </w:p>
        </w:tc>
        <w:tc>
          <w:tcPr>
            <w:tcW w:w="1994"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功能区</w:t>
            </w:r>
          </w:p>
        </w:tc>
        <w:tc>
          <w:tcPr>
            <w:tcW w:w="25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硬化地面拆除</w:t>
            </w:r>
          </w:p>
        </w:tc>
        <w:tc>
          <w:tcPr>
            <w:tcW w:w="232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弃渣运距</w:t>
            </w:r>
            <w:r>
              <w:rPr>
                <w:rFonts w:hint="eastAsia"/>
                <w:color w:val="000000"/>
                <w:kern w:val="0"/>
                <w:sz w:val="21"/>
                <w:szCs w:val="21"/>
                <w:lang w:bidi="ar"/>
              </w:rPr>
              <w:t>0~0.5</w:t>
            </w:r>
            <w:r>
              <w:rPr>
                <w:color w:val="000000"/>
                <w:kern w:val="0"/>
                <w:sz w:val="21"/>
                <w:szCs w:val="21"/>
                <w:lang w:bidi="ar"/>
              </w:rPr>
              <w:t>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blHeader/>
          <w:jc w:val="center"/>
        </w:trPr>
        <w:tc>
          <w:tcPr>
            <w:tcW w:w="1662" w:type="dxa"/>
            <w:vMerge w:val="continue"/>
            <w:noWrap/>
            <w:vAlign w:val="center"/>
          </w:tcPr>
          <w:p>
            <w:pPr>
              <w:widowControl/>
              <w:spacing w:line="240" w:lineRule="auto"/>
              <w:ind w:firstLine="0" w:firstLineChars="0"/>
              <w:jc w:val="center"/>
              <w:rPr>
                <w:color w:val="000000"/>
                <w:sz w:val="21"/>
                <w:szCs w:val="21"/>
              </w:rPr>
            </w:pPr>
          </w:p>
        </w:tc>
        <w:tc>
          <w:tcPr>
            <w:tcW w:w="1994" w:type="dxa"/>
            <w:vMerge w:val="continue"/>
            <w:noWrap/>
            <w:vAlign w:val="center"/>
          </w:tcPr>
          <w:p>
            <w:pPr>
              <w:widowControl/>
              <w:spacing w:line="240" w:lineRule="auto"/>
              <w:ind w:firstLine="0" w:firstLineChars="0"/>
              <w:jc w:val="center"/>
              <w:rPr>
                <w:color w:val="000000"/>
                <w:sz w:val="21"/>
                <w:szCs w:val="21"/>
              </w:rPr>
            </w:pPr>
          </w:p>
        </w:tc>
        <w:tc>
          <w:tcPr>
            <w:tcW w:w="253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m³</w:t>
            </w:r>
          </w:p>
        </w:tc>
        <w:tc>
          <w:tcPr>
            <w:tcW w:w="2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62"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西畴</w:t>
            </w:r>
            <w:r>
              <w:rPr>
                <w:color w:val="000000"/>
                <w:kern w:val="0"/>
                <w:sz w:val="21"/>
                <w:szCs w:val="21"/>
                <w:lang w:bidi="ar"/>
              </w:rPr>
              <w:t>县</w:t>
            </w:r>
          </w:p>
        </w:tc>
        <w:tc>
          <w:tcPr>
            <w:tcW w:w="1994" w:type="dxa"/>
            <w:noWrap/>
            <w:vAlign w:val="center"/>
          </w:tcPr>
          <w:p>
            <w:pPr>
              <w:widowControl/>
              <w:spacing w:line="240" w:lineRule="auto"/>
              <w:ind w:firstLine="0" w:firstLineChars="0"/>
              <w:jc w:val="center"/>
              <w:textAlignment w:val="center"/>
              <w:rPr>
                <w:rFonts w:hint="eastAsia"/>
                <w:color w:val="000000"/>
                <w:sz w:val="21"/>
                <w:szCs w:val="21"/>
              </w:rPr>
            </w:pPr>
            <w:r>
              <w:rPr>
                <w:color w:val="000000"/>
                <w:kern w:val="0"/>
                <w:sz w:val="21"/>
                <w:szCs w:val="21"/>
                <w:lang w:bidi="ar"/>
              </w:rPr>
              <w:t>1#</w:t>
            </w:r>
            <w:r>
              <w:rPr>
                <w:rFonts w:hint="eastAsia"/>
                <w:color w:val="000000"/>
                <w:kern w:val="0"/>
                <w:sz w:val="21"/>
                <w:szCs w:val="21"/>
                <w:lang w:bidi="ar"/>
              </w:rPr>
              <w:t>拌合站</w:t>
            </w:r>
          </w:p>
        </w:tc>
        <w:tc>
          <w:tcPr>
            <w:tcW w:w="2538"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4492.80</w:t>
            </w:r>
          </w:p>
        </w:tc>
        <w:tc>
          <w:tcPr>
            <w:tcW w:w="2325"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4492.80</w:t>
            </w:r>
          </w:p>
        </w:tc>
      </w:tr>
    </w:tbl>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6.1.4配套工程</w:t>
      </w:r>
    </w:p>
    <w:p>
      <w:pPr>
        <w:ind w:firstLine="528"/>
        <w:rPr>
          <w:color w:val="000000"/>
          <w:spacing w:val="12"/>
          <w:szCs w:val="24"/>
        </w:rPr>
      </w:pPr>
      <w:r>
        <w:rPr>
          <w:rFonts w:hint="eastAsia"/>
          <w:color w:val="000000"/>
          <w:spacing w:val="12"/>
          <w:szCs w:val="24"/>
        </w:rPr>
        <w:t>弃土场考虑到其弃方较大，上部的汇水会冲刷到弃土场内的表土将产生新的水土流失，所以《水保》中下部设置了挡土墙，外围边坡设置排水沟及马道，故本方案不再涉及。</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6.1.5管护工程</w:t>
      </w:r>
    </w:p>
    <w:p>
      <w:pPr>
        <w:ind w:firstLine="528"/>
        <w:rPr>
          <w:color w:val="000000"/>
          <w:spacing w:val="12"/>
          <w:szCs w:val="24"/>
        </w:rPr>
      </w:pPr>
      <w:r>
        <w:rPr>
          <w:rFonts w:hint="eastAsia"/>
          <w:color w:val="000000"/>
          <w:spacing w:val="12"/>
          <w:szCs w:val="24"/>
        </w:rPr>
        <w:t>复垦方向为林地的已编制《恢复林业生产条件实施方案》，方案中已设置林地管护期</w:t>
      </w:r>
      <w:r>
        <w:rPr>
          <w:rFonts w:hint="eastAsia"/>
          <w:color w:val="000000"/>
          <w:spacing w:val="12"/>
          <w:szCs w:val="24"/>
          <w:lang w:eastAsia="zh-CN"/>
        </w:rPr>
        <w:t>，</w:t>
      </w:r>
      <w:r>
        <w:rPr>
          <w:color w:val="000000"/>
          <w:spacing w:val="12"/>
          <w:szCs w:val="24"/>
        </w:rPr>
        <w:t>因此本方案中不设置管护期。</w:t>
      </w:r>
    </w:p>
    <w:p>
      <w:pPr>
        <w:pStyle w:val="4"/>
        <w:spacing w:before="0" w:after="0"/>
        <w:ind w:firstLine="0" w:firstLineChars="0"/>
        <w:rPr>
          <w:rFonts w:hint="eastAsia"/>
          <w:color w:val="000000"/>
          <w:kern w:val="0"/>
          <w:szCs w:val="30"/>
        </w:rPr>
      </w:pPr>
      <w:bookmarkStart w:id="132" w:name="_Toc31250"/>
      <w:bookmarkStart w:id="133" w:name="_Toc305068290"/>
      <w:bookmarkStart w:id="134" w:name="_Toc35614689"/>
      <w:r>
        <w:rPr>
          <w:rFonts w:hint="eastAsia"/>
          <w:color w:val="000000"/>
          <w:kern w:val="0"/>
          <w:szCs w:val="30"/>
        </w:rPr>
        <w:t>6.2工程量测算</w:t>
      </w:r>
      <w:bookmarkEnd w:id="132"/>
      <w:bookmarkEnd w:id="133"/>
      <w:bookmarkEnd w:id="134"/>
    </w:p>
    <w:p>
      <w:pPr>
        <w:ind w:firstLine="528"/>
        <w:rPr>
          <w:color w:val="000000"/>
          <w:spacing w:val="12"/>
          <w:szCs w:val="24"/>
        </w:rPr>
      </w:pPr>
      <w:r>
        <w:rPr>
          <w:color w:val="000000"/>
          <w:spacing w:val="12"/>
          <w:szCs w:val="24"/>
        </w:rPr>
        <w:t>根据以上复垦工程设计及复垦工程量计算依据，</w:t>
      </w:r>
      <w:r>
        <w:rPr>
          <w:rFonts w:hint="eastAsia"/>
          <w:color w:val="000000"/>
          <w:spacing w:val="12"/>
          <w:szCs w:val="24"/>
        </w:rPr>
        <w:t>项目区复垦建设涉及工程有：土壤重构工程。</w:t>
      </w:r>
    </w:p>
    <w:p>
      <w:pPr>
        <w:ind w:firstLine="528"/>
        <w:rPr>
          <w:rFonts w:hint="eastAsia"/>
          <w:color w:val="000000"/>
          <w:spacing w:val="12"/>
          <w:szCs w:val="24"/>
        </w:rPr>
      </w:pPr>
      <w:bookmarkStart w:id="135" w:name="_Toc19211"/>
      <w:r>
        <w:rPr>
          <w:rFonts w:hint="eastAsia"/>
          <w:color w:val="000000"/>
          <w:spacing w:val="12"/>
          <w:szCs w:val="24"/>
        </w:rPr>
        <w:t>a）土壤重构工程：</w:t>
      </w:r>
      <w:bookmarkEnd w:id="135"/>
    </w:p>
    <w:p>
      <w:pPr>
        <w:ind w:firstLine="528"/>
        <w:rPr>
          <w:rFonts w:hint="eastAsia"/>
          <w:color w:val="000000"/>
          <w:spacing w:val="12"/>
          <w:szCs w:val="24"/>
        </w:rPr>
      </w:pPr>
      <w:r>
        <w:rPr>
          <w:rFonts w:hint="eastAsia"/>
          <w:color w:val="000000"/>
          <w:spacing w:val="12"/>
          <w:szCs w:val="24"/>
        </w:rPr>
        <w:t>1）表土剥覆工程：覆土面积为4.1706hm</w:t>
      </w:r>
      <w:r>
        <w:rPr>
          <w:color w:val="000000"/>
          <w:spacing w:val="12"/>
          <w:szCs w:val="24"/>
        </w:rPr>
        <w:t>²</w:t>
      </w:r>
      <w:r>
        <w:rPr>
          <w:rFonts w:hint="eastAsia"/>
          <w:color w:val="000000"/>
          <w:spacing w:val="12"/>
          <w:szCs w:val="24"/>
        </w:rPr>
        <w:t>，覆土厚度为林地40cm，覆土量共16682.40m</w:t>
      </w:r>
      <w:r>
        <w:rPr>
          <w:color w:val="000000"/>
          <w:spacing w:val="12"/>
          <w:szCs w:val="24"/>
        </w:rPr>
        <w:t>³</w:t>
      </w:r>
      <w:r>
        <w:rPr>
          <w:rFonts w:hint="eastAsia"/>
          <w:color w:val="000000"/>
          <w:spacing w:val="12"/>
          <w:szCs w:val="24"/>
        </w:rPr>
        <w:t>；</w:t>
      </w:r>
    </w:p>
    <w:p>
      <w:pPr>
        <w:ind w:firstLine="528"/>
        <w:rPr>
          <w:rFonts w:hint="eastAsia"/>
          <w:color w:val="000000"/>
          <w:spacing w:val="12"/>
          <w:szCs w:val="24"/>
        </w:rPr>
      </w:pPr>
      <w:r>
        <w:rPr>
          <w:rFonts w:hint="eastAsia"/>
          <w:color w:val="000000"/>
          <w:spacing w:val="12"/>
          <w:szCs w:val="24"/>
        </w:rPr>
        <w:t>2）清理工程：硬化地面拆除4492.80m</w:t>
      </w:r>
      <w:r>
        <w:rPr>
          <w:rFonts w:hint="eastAsia"/>
          <w:color w:val="000000"/>
          <w:spacing w:val="12"/>
          <w:szCs w:val="24"/>
          <w:vertAlign w:val="superscript"/>
        </w:rPr>
        <w:t>3</w:t>
      </w:r>
      <w:r>
        <w:rPr>
          <w:rFonts w:hint="eastAsia"/>
          <w:color w:val="000000"/>
          <w:spacing w:val="12"/>
          <w:szCs w:val="24"/>
        </w:rPr>
        <w:t>，弃渣清运4492.80m</w:t>
      </w:r>
      <w:r>
        <w:rPr>
          <w:color w:val="000000"/>
          <w:spacing w:val="12"/>
          <w:szCs w:val="24"/>
        </w:rPr>
        <w:t>³</w:t>
      </w:r>
      <w:r>
        <w:rPr>
          <w:rFonts w:hint="eastAsia"/>
          <w:color w:val="000000"/>
          <w:spacing w:val="12"/>
          <w:szCs w:val="24"/>
        </w:rPr>
        <w:t>，运距0~0.5km。</w:t>
      </w:r>
    </w:p>
    <w:p>
      <w:pPr>
        <w:ind w:firstLine="528"/>
        <w:rPr>
          <w:rFonts w:hint="eastAsia"/>
          <w:color w:val="000000"/>
          <w:spacing w:val="12"/>
          <w:szCs w:val="24"/>
        </w:rPr>
      </w:pPr>
      <w:r>
        <w:rPr>
          <w:rFonts w:hint="eastAsia"/>
          <w:color w:val="000000"/>
          <w:spacing w:val="12"/>
          <w:szCs w:val="24"/>
        </w:rPr>
        <w:t>项目区复垦工程量汇总详见下表6-3和分地块工程量表6-4。</w:t>
      </w:r>
    </w:p>
    <w:p>
      <w:pPr>
        <w:ind w:firstLine="420"/>
        <w:jc w:val="center"/>
        <w:rPr>
          <w:rFonts w:eastAsia="黑体"/>
          <w:color w:val="000000"/>
          <w:sz w:val="21"/>
          <w:szCs w:val="21"/>
        </w:rPr>
      </w:pPr>
      <w:r>
        <w:rPr>
          <w:rFonts w:eastAsia="黑体"/>
          <w:color w:val="000000"/>
          <w:sz w:val="21"/>
          <w:szCs w:val="21"/>
        </w:rPr>
        <w:t>表</w:t>
      </w:r>
      <w:r>
        <w:rPr>
          <w:rFonts w:hint="eastAsia" w:eastAsia="黑体"/>
          <w:color w:val="000000"/>
          <w:sz w:val="21"/>
          <w:szCs w:val="21"/>
        </w:rPr>
        <w:t>6</w:t>
      </w:r>
      <w:r>
        <w:rPr>
          <w:rFonts w:eastAsia="黑体"/>
          <w:color w:val="000000"/>
          <w:sz w:val="21"/>
          <w:szCs w:val="21"/>
        </w:rPr>
        <w:t>-</w:t>
      </w:r>
      <w:r>
        <w:rPr>
          <w:rFonts w:hint="eastAsia" w:eastAsia="黑体"/>
          <w:color w:val="000000"/>
          <w:sz w:val="21"/>
          <w:szCs w:val="21"/>
        </w:rPr>
        <w:t>3</w:t>
      </w:r>
      <w:r>
        <w:rPr>
          <w:rFonts w:eastAsia="黑体"/>
          <w:color w:val="000000"/>
          <w:sz w:val="21"/>
          <w:szCs w:val="21"/>
        </w:rPr>
        <w:t>土地复垦工程量表（总）</w:t>
      </w:r>
    </w:p>
    <w:tbl>
      <w:tblPr>
        <w:tblStyle w:val="25"/>
        <w:tblW w:w="851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1503"/>
        <w:gridCol w:w="2019"/>
        <w:gridCol w:w="796"/>
        <w:gridCol w:w="1315"/>
        <w:gridCol w:w="13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3024"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项目主要工程内容</w:t>
            </w:r>
          </w:p>
        </w:tc>
        <w:tc>
          <w:tcPr>
            <w:tcW w:w="2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工程量名称</w:t>
            </w:r>
          </w:p>
        </w:tc>
        <w:tc>
          <w:tcPr>
            <w:tcW w:w="7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131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工程量</w:t>
            </w:r>
          </w:p>
        </w:tc>
        <w:tc>
          <w:tcPr>
            <w:tcW w:w="136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21"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150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表土剥覆工程</w:t>
            </w:r>
          </w:p>
        </w:tc>
        <w:tc>
          <w:tcPr>
            <w:tcW w:w="2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覆土量</w:t>
            </w:r>
          </w:p>
        </w:tc>
        <w:tc>
          <w:tcPr>
            <w:tcW w:w="7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m³</w:t>
            </w:r>
          </w:p>
        </w:tc>
        <w:tc>
          <w:tcPr>
            <w:tcW w:w="1315" w:type="dxa"/>
            <w:noWrap/>
            <w:vAlign w:val="center"/>
          </w:tcPr>
          <w:p>
            <w:pPr>
              <w:widowControl/>
              <w:spacing w:line="240" w:lineRule="auto"/>
              <w:ind w:firstLine="0" w:firstLineChars="0"/>
              <w:jc w:val="center"/>
              <w:textAlignment w:val="center"/>
              <w:rPr>
                <w:color w:val="000000"/>
                <w:sz w:val="21"/>
                <w:szCs w:val="21"/>
              </w:rPr>
            </w:pPr>
            <w:r>
              <w:rPr>
                <w:rFonts w:hint="eastAsia" w:eastAsia="宋体"/>
                <w:color w:val="000000"/>
                <w:kern w:val="0"/>
                <w:sz w:val="21"/>
                <w:szCs w:val="21"/>
                <w:lang w:bidi="ar"/>
              </w:rPr>
              <w:t>16682.40</w:t>
            </w:r>
          </w:p>
        </w:tc>
        <w:tc>
          <w:tcPr>
            <w:tcW w:w="1365" w:type="dxa"/>
            <w:vMerge w:val="restart"/>
            <w:noWrap w:val="0"/>
            <w:vAlign w:val="center"/>
          </w:tcPr>
          <w:p>
            <w:pPr>
              <w:widowControl/>
              <w:spacing w:line="240" w:lineRule="auto"/>
              <w:ind w:firstLine="0" w:firstLineChars="0"/>
              <w:jc w:val="center"/>
              <w:textAlignment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21" w:type="dxa"/>
            <w:vMerge w:val="continue"/>
            <w:noWrap w:val="0"/>
            <w:vAlign w:val="center"/>
          </w:tcPr>
          <w:p>
            <w:pPr>
              <w:widowControl/>
              <w:spacing w:line="240" w:lineRule="auto"/>
              <w:ind w:firstLine="0" w:firstLineChars="0"/>
              <w:jc w:val="center"/>
              <w:rPr>
                <w:color w:val="000000"/>
                <w:sz w:val="21"/>
                <w:szCs w:val="21"/>
              </w:rPr>
            </w:pPr>
          </w:p>
        </w:tc>
        <w:tc>
          <w:tcPr>
            <w:tcW w:w="1503" w:type="dxa"/>
            <w:vMerge w:val="continue"/>
            <w:noWrap/>
            <w:vAlign w:val="center"/>
          </w:tcPr>
          <w:p>
            <w:pPr>
              <w:widowControl/>
              <w:spacing w:line="240" w:lineRule="auto"/>
              <w:ind w:firstLine="0" w:firstLineChars="0"/>
              <w:jc w:val="center"/>
              <w:rPr>
                <w:color w:val="000000"/>
                <w:sz w:val="21"/>
                <w:szCs w:val="21"/>
              </w:rPr>
            </w:pPr>
          </w:p>
        </w:tc>
        <w:tc>
          <w:tcPr>
            <w:tcW w:w="2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覆土运距0~0.5km</w:t>
            </w:r>
          </w:p>
        </w:tc>
        <w:tc>
          <w:tcPr>
            <w:tcW w:w="79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m³</w:t>
            </w:r>
          </w:p>
        </w:tc>
        <w:tc>
          <w:tcPr>
            <w:tcW w:w="1315" w:type="dxa"/>
            <w:noWrap/>
            <w:vAlign w:val="center"/>
          </w:tcPr>
          <w:p>
            <w:pPr>
              <w:widowControl/>
              <w:spacing w:line="240" w:lineRule="auto"/>
              <w:ind w:firstLine="0" w:firstLineChars="0"/>
              <w:jc w:val="center"/>
              <w:textAlignment w:val="center"/>
              <w:rPr>
                <w:color w:val="000000"/>
                <w:sz w:val="21"/>
                <w:szCs w:val="21"/>
              </w:rPr>
            </w:pPr>
            <w:r>
              <w:rPr>
                <w:rFonts w:hint="eastAsia" w:eastAsia="宋体"/>
                <w:color w:val="000000"/>
                <w:kern w:val="0"/>
                <w:sz w:val="21"/>
                <w:szCs w:val="21"/>
                <w:lang w:bidi="ar"/>
              </w:rPr>
              <w:t>16682.40</w:t>
            </w:r>
          </w:p>
        </w:tc>
        <w:tc>
          <w:tcPr>
            <w:tcW w:w="136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21" w:type="dxa"/>
            <w:vMerge w:val="continue"/>
            <w:noWrap w:val="0"/>
            <w:vAlign w:val="center"/>
          </w:tcPr>
          <w:p>
            <w:pPr>
              <w:widowControl/>
              <w:spacing w:line="240" w:lineRule="auto"/>
              <w:ind w:firstLine="0" w:firstLineChars="0"/>
              <w:jc w:val="center"/>
              <w:rPr>
                <w:color w:val="000000"/>
                <w:sz w:val="21"/>
                <w:szCs w:val="21"/>
              </w:rPr>
            </w:pPr>
          </w:p>
        </w:tc>
        <w:tc>
          <w:tcPr>
            <w:tcW w:w="1503"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清理工程</w:t>
            </w:r>
          </w:p>
        </w:tc>
        <w:tc>
          <w:tcPr>
            <w:tcW w:w="2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硬化地面拆除</w:t>
            </w:r>
          </w:p>
        </w:tc>
        <w:tc>
          <w:tcPr>
            <w:tcW w:w="79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w:t>
            </w:r>
            <w:r>
              <w:rPr>
                <w:color w:val="000000"/>
                <w:kern w:val="0"/>
                <w:sz w:val="21"/>
                <w:szCs w:val="21"/>
                <w:vertAlign w:val="superscript"/>
                <w:lang w:bidi="ar"/>
              </w:rPr>
              <w:t>3</w:t>
            </w:r>
          </w:p>
        </w:tc>
        <w:tc>
          <w:tcPr>
            <w:tcW w:w="1315" w:type="dxa"/>
            <w:noWrap/>
            <w:vAlign w:val="center"/>
          </w:tcPr>
          <w:p>
            <w:pPr>
              <w:widowControl/>
              <w:spacing w:line="240" w:lineRule="auto"/>
              <w:ind w:firstLine="0" w:firstLineChars="0"/>
              <w:jc w:val="center"/>
              <w:textAlignment w:val="center"/>
              <w:rPr>
                <w:color w:val="000000"/>
                <w:sz w:val="21"/>
                <w:szCs w:val="21"/>
              </w:rPr>
            </w:pPr>
            <w:r>
              <w:rPr>
                <w:rFonts w:hint="eastAsia" w:eastAsia="宋体"/>
                <w:color w:val="000000"/>
                <w:kern w:val="0"/>
                <w:sz w:val="21"/>
                <w:szCs w:val="21"/>
                <w:lang w:bidi="ar"/>
              </w:rPr>
              <w:t>4492.80</w:t>
            </w:r>
          </w:p>
        </w:tc>
        <w:tc>
          <w:tcPr>
            <w:tcW w:w="136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21" w:type="dxa"/>
            <w:vMerge w:val="continue"/>
            <w:noWrap w:val="0"/>
            <w:vAlign w:val="center"/>
          </w:tcPr>
          <w:p>
            <w:pPr>
              <w:widowControl/>
              <w:spacing w:line="240" w:lineRule="auto"/>
              <w:ind w:firstLine="0" w:firstLineChars="0"/>
              <w:jc w:val="center"/>
              <w:rPr>
                <w:color w:val="000000"/>
                <w:sz w:val="21"/>
                <w:szCs w:val="21"/>
              </w:rPr>
            </w:pPr>
          </w:p>
        </w:tc>
        <w:tc>
          <w:tcPr>
            <w:tcW w:w="1503" w:type="dxa"/>
            <w:vMerge w:val="continue"/>
            <w:noWrap w:val="0"/>
            <w:vAlign w:val="center"/>
          </w:tcPr>
          <w:p>
            <w:pPr>
              <w:widowControl/>
              <w:spacing w:line="240" w:lineRule="auto"/>
              <w:ind w:firstLine="0" w:firstLineChars="0"/>
              <w:jc w:val="center"/>
              <w:rPr>
                <w:color w:val="000000"/>
                <w:sz w:val="21"/>
                <w:szCs w:val="21"/>
              </w:rPr>
            </w:pPr>
          </w:p>
        </w:tc>
        <w:tc>
          <w:tcPr>
            <w:tcW w:w="2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弃渣运距</w:t>
            </w:r>
            <w:r>
              <w:rPr>
                <w:rFonts w:hint="eastAsia"/>
                <w:color w:val="000000"/>
                <w:kern w:val="0"/>
                <w:sz w:val="21"/>
                <w:szCs w:val="21"/>
                <w:lang w:bidi="ar"/>
              </w:rPr>
              <w:t>0~0.</w:t>
            </w:r>
            <w:r>
              <w:rPr>
                <w:color w:val="000000"/>
                <w:kern w:val="0"/>
                <w:sz w:val="21"/>
                <w:szCs w:val="21"/>
                <w:lang w:bidi="ar"/>
              </w:rPr>
              <w:t>5km</w:t>
            </w:r>
          </w:p>
        </w:tc>
        <w:tc>
          <w:tcPr>
            <w:tcW w:w="796"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w:t>
            </w:r>
            <w:r>
              <w:rPr>
                <w:color w:val="000000"/>
                <w:kern w:val="0"/>
                <w:sz w:val="21"/>
                <w:szCs w:val="21"/>
                <w:vertAlign w:val="superscript"/>
                <w:lang w:bidi="ar"/>
              </w:rPr>
              <w:t>3</w:t>
            </w:r>
          </w:p>
        </w:tc>
        <w:tc>
          <w:tcPr>
            <w:tcW w:w="1315" w:type="dxa"/>
            <w:noWrap/>
            <w:vAlign w:val="center"/>
          </w:tcPr>
          <w:p>
            <w:pPr>
              <w:widowControl/>
              <w:spacing w:line="240" w:lineRule="auto"/>
              <w:ind w:firstLine="0" w:firstLineChars="0"/>
              <w:jc w:val="center"/>
              <w:textAlignment w:val="center"/>
              <w:rPr>
                <w:color w:val="000000"/>
                <w:sz w:val="21"/>
                <w:szCs w:val="21"/>
              </w:rPr>
            </w:pPr>
            <w:r>
              <w:rPr>
                <w:rFonts w:hint="eastAsia" w:eastAsia="宋体"/>
                <w:color w:val="000000"/>
                <w:kern w:val="0"/>
                <w:sz w:val="21"/>
                <w:szCs w:val="21"/>
                <w:lang w:bidi="ar"/>
              </w:rPr>
              <w:t>4492.80</w:t>
            </w:r>
          </w:p>
        </w:tc>
        <w:tc>
          <w:tcPr>
            <w:tcW w:w="1365" w:type="dxa"/>
            <w:vMerge w:val="continue"/>
            <w:noWrap w:val="0"/>
            <w:vAlign w:val="center"/>
          </w:tcPr>
          <w:p>
            <w:pPr>
              <w:widowControl/>
              <w:spacing w:line="240" w:lineRule="auto"/>
              <w:ind w:firstLine="0" w:firstLineChars="0"/>
              <w:jc w:val="center"/>
              <w:rPr>
                <w:color w:val="000000"/>
                <w:sz w:val="21"/>
                <w:szCs w:val="21"/>
              </w:rPr>
            </w:pPr>
          </w:p>
        </w:tc>
      </w:tr>
    </w:tbl>
    <w:p>
      <w:pPr>
        <w:ind w:firstLine="0" w:firstLineChars="0"/>
        <w:jc w:val="center"/>
        <w:rPr>
          <w:rFonts w:eastAsia="黑体"/>
          <w:color w:val="000000"/>
          <w:sz w:val="21"/>
          <w:szCs w:val="21"/>
        </w:rPr>
      </w:pPr>
      <w:r>
        <w:rPr>
          <w:rFonts w:eastAsia="黑体"/>
          <w:color w:val="000000"/>
          <w:sz w:val="21"/>
          <w:szCs w:val="21"/>
        </w:rPr>
        <w:t>表6-</w:t>
      </w:r>
      <w:r>
        <w:rPr>
          <w:rFonts w:hint="eastAsia" w:eastAsia="黑体"/>
          <w:color w:val="000000"/>
          <w:sz w:val="21"/>
          <w:szCs w:val="21"/>
        </w:rPr>
        <w:t>4</w:t>
      </w:r>
      <w:r>
        <w:rPr>
          <w:rFonts w:eastAsia="黑体"/>
          <w:color w:val="000000"/>
          <w:sz w:val="21"/>
          <w:szCs w:val="21"/>
        </w:rPr>
        <w:t>土地复垦工程量表（</w:t>
      </w:r>
      <w:r>
        <w:rPr>
          <w:rFonts w:eastAsia="黑体"/>
          <w:color w:val="000000"/>
          <w:kern w:val="0"/>
          <w:sz w:val="21"/>
          <w:szCs w:val="21"/>
          <w:lang w:bidi="ar"/>
        </w:rPr>
        <w:t>1#弃土场</w:t>
      </w:r>
      <w:r>
        <w:rPr>
          <w:rFonts w:hint="eastAsia" w:eastAsia="黑体"/>
          <w:color w:val="000000"/>
          <w:kern w:val="0"/>
          <w:sz w:val="21"/>
          <w:szCs w:val="21"/>
          <w:lang w:bidi="ar"/>
        </w:rPr>
        <w:t>、1#拌合站</w:t>
      </w:r>
      <w:r>
        <w:rPr>
          <w:rFonts w:eastAsia="黑体"/>
          <w:color w:val="000000"/>
          <w:sz w:val="21"/>
          <w:szCs w:val="21"/>
        </w:rPr>
        <w:t>）</w:t>
      </w:r>
    </w:p>
    <w:tbl>
      <w:tblPr>
        <w:tblStyle w:val="25"/>
        <w:tblW w:w="867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973"/>
        <w:gridCol w:w="1660"/>
        <w:gridCol w:w="601"/>
        <w:gridCol w:w="991"/>
        <w:gridCol w:w="818"/>
        <w:gridCol w:w="901"/>
        <w:gridCol w:w="965"/>
        <w:gridCol w:w="9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778" w:type="dxa"/>
            <w:gridSpan w:val="2"/>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项目主要工程内容</w:t>
            </w:r>
          </w:p>
        </w:tc>
        <w:tc>
          <w:tcPr>
            <w:tcW w:w="1660"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工程量名称</w:t>
            </w:r>
          </w:p>
        </w:tc>
        <w:tc>
          <w:tcPr>
            <w:tcW w:w="601"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单位</w:t>
            </w:r>
          </w:p>
        </w:tc>
        <w:tc>
          <w:tcPr>
            <w:tcW w:w="2710" w:type="dxa"/>
            <w:gridSpan w:val="3"/>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1#弃土场</w:t>
            </w:r>
          </w:p>
        </w:tc>
        <w:tc>
          <w:tcPr>
            <w:tcW w:w="965" w:type="dxa"/>
            <w:vMerge w:val="restart"/>
            <w:noWrap/>
            <w:vAlign w:val="center"/>
          </w:tcPr>
          <w:p>
            <w:pPr>
              <w:widowControl/>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1#拌合站</w:t>
            </w:r>
          </w:p>
        </w:tc>
        <w:tc>
          <w:tcPr>
            <w:tcW w:w="965"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778" w:type="dxa"/>
            <w:gridSpan w:val="2"/>
            <w:vMerge w:val="continue"/>
            <w:noWrap/>
            <w:vAlign w:val="center"/>
          </w:tcPr>
          <w:p>
            <w:pPr>
              <w:widowControl/>
              <w:spacing w:line="240" w:lineRule="auto"/>
              <w:ind w:firstLine="0" w:firstLineChars="0"/>
              <w:jc w:val="center"/>
              <w:rPr>
                <w:color w:val="000000"/>
                <w:sz w:val="18"/>
                <w:szCs w:val="18"/>
              </w:rPr>
            </w:pPr>
          </w:p>
        </w:tc>
        <w:tc>
          <w:tcPr>
            <w:tcW w:w="1660" w:type="dxa"/>
            <w:vMerge w:val="continue"/>
            <w:noWrap/>
            <w:vAlign w:val="center"/>
          </w:tcPr>
          <w:p>
            <w:pPr>
              <w:widowControl/>
              <w:spacing w:line="240" w:lineRule="auto"/>
              <w:ind w:firstLine="0" w:firstLineChars="0"/>
              <w:jc w:val="center"/>
              <w:rPr>
                <w:color w:val="000000"/>
                <w:sz w:val="18"/>
                <w:szCs w:val="18"/>
              </w:rPr>
            </w:pPr>
          </w:p>
        </w:tc>
        <w:tc>
          <w:tcPr>
            <w:tcW w:w="601" w:type="dxa"/>
            <w:vMerge w:val="continue"/>
            <w:noWrap/>
            <w:vAlign w:val="center"/>
          </w:tcPr>
          <w:p>
            <w:pPr>
              <w:widowControl/>
              <w:spacing w:line="240" w:lineRule="auto"/>
              <w:ind w:firstLine="0" w:firstLineChars="0"/>
              <w:jc w:val="center"/>
              <w:rPr>
                <w:color w:val="000000"/>
                <w:sz w:val="18"/>
                <w:szCs w:val="18"/>
              </w:rPr>
            </w:pPr>
          </w:p>
        </w:tc>
        <w:tc>
          <w:tcPr>
            <w:tcW w:w="991"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平台</w:t>
            </w:r>
          </w:p>
        </w:tc>
        <w:tc>
          <w:tcPr>
            <w:tcW w:w="81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边坡</w:t>
            </w:r>
          </w:p>
        </w:tc>
        <w:tc>
          <w:tcPr>
            <w:tcW w:w="901"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小计</w:t>
            </w:r>
          </w:p>
        </w:tc>
        <w:tc>
          <w:tcPr>
            <w:tcW w:w="965" w:type="dxa"/>
            <w:vMerge w:val="continue"/>
            <w:noWrap/>
            <w:vAlign w:val="center"/>
          </w:tcPr>
          <w:p>
            <w:pPr>
              <w:widowControl/>
              <w:spacing w:line="240" w:lineRule="auto"/>
              <w:ind w:firstLine="0" w:firstLineChars="0"/>
              <w:jc w:val="center"/>
              <w:rPr>
                <w:color w:val="000000"/>
                <w:sz w:val="18"/>
                <w:szCs w:val="18"/>
              </w:rPr>
            </w:pPr>
          </w:p>
        </w:tc>
        <w:tc>
          <w:tcPr>
            <w:tcW w:w="965" w:type="dxa"/>
            <w:vMerge w:val="continue"/>
            <w:noWrap/>
            <w:vAlign w:val="center"/>
          </w:tcPr>
          <w:p>
            <w:pPr>
              <w:widowControl/>
              <w:spacing w:line="240" w:lineRule="auto"/>
              <w:ind w:firstLine="0" w:firstLineChars="0"/>
              <w:jc w:val="center"/>
              <w:rPr>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805" w:type="dxa"/>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土壤重构工程</w:t>
            </w:r>
          </w:p>
        </w:tc>
        <w:tc>
          <w:tcPr>
            <w:tcW w:w="973"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表土剥覆工程</w:t>
            </w:r>
          </w:p>
        </w:tc>
        <w:tc>
          <w:tcPr>
            <w:tcW w:w="16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覆土量</w:t>
            </w:r>
          </w:p>
        </w:tc>
        <w:tc>
          <w:tcPr>
            <w:tcW w:w="601"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m³</w:t>
            </w:r>
          </w:p>
        </w:tc>
        <w:tc>
          <w:tcPr>
            <w:tcW w:w="99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6802.80</w:t>
            </w:r>
          </w:p>
        </w:tc>
        <w:tc>
          <w:tcPr>
            <w:tcW w:w="818"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894.00</w:t>
            </w:r>
          </w:p>
        </w:tc>
        <w:tc>
          <w:tcPr>
            <w:tcW w:w="90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7696.80</w:t>
            </w:r>
          </w:p>
        </w:tc>
        <w:tc>
          <w:tcPr>
            <w:tcW w:w="965" w:type="dxa"/>
            <w:noWrap/>
            <w:vAlign w:val="center"/>
          </w:tcPr>
          <w:p>
            <w:pPr>
              <w:widowControl/>
              <w:spacing w:line="240" w:lineRule="auto"/>
              <w:ind w:firstLine="0" w:firstLineChars="0"/>
              <w:jc w:val="center"/>
              <w:textAlignment w:val="center"/>
              <w:rPr>
                <w:rFonts w:eastAsia="宋体"/>
                <w:color w:val="000000"/>
                <w:kern w:val="0"/>
                <w:sz w:val="21"/>
                <w:szCs w:val="21"/>
                <w:lang w:bidi="ar"/>
              </w:rPr>
            </w:pPr>
            <w:r>
              <w:rPr>
                <w:rFonts w:eastAsia="宋体"/>
                <w:color w:val="000000"/>
                <w:kern w:val="0"/>
                <w:sz w:val="21"/>
                <w:szCs w:val="21"/>
                <w:lang w:bidi="ar"/>
              </w:rPr>
              <w:t>8985.60</w:t>
            </w:r>
          </w:p>
        </w:tc>
        <w:tc>
          <w:tcPr>
            <w:tcW w:w="965" w:type="dxa"/>
            <w:noWrap/>
            <w:vAlign w:val="center"/>
          </w:tcPr>
          <w:p>
            <w:pPr>
              <w:widowControl/>
              <w:spacing w:line="240" w:lineRule="auto"/>
              <w:ind w:firstLine="0" w:firstLineChars="0"/>
              <w:jc w:val="center"/>
              <w:textAlignment w:val="center"/>
              <w:rPr>
                <w:color w:val="000000"/>
                <w:sz w:val="18"/>
                <w:szCs w:val="18"/>
              </w:rPr>
            </w:pPr>
            <w:r>
              <w:rPr>
                <w:rFonts w:hint="eastAsia" w:eastAsia="宋体"/>
                <w:color w:val="000000"/>
                <w:kern w:val="0"/>
                <w:sz w:val="18"/>
                <w:szCs w:val="18"/>
                <w:lang w:bidi="ar"/>
              </w:rPr>
              <w:t>16682.40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805" w:type="dxa"/>
            <w:vMerge w:val="continue"/>
            <w:noWrap w:val="0"/>
            <w:vAlign w:val="center"/>
          </w:tcPr>
          <w:p>
            <w:pPr>
              <w:widowControl/>
              <w:spacing w:line="240" w:lineRule="auto"/>
              <w:ind w:firstLine="0" w:firstLineChars="0"/>
              <w:jc w:val="center"/>
              <w:rPr>
                <w:color w:val="000000"/>
                <w:sz w:val="18"/>
                <w:szCs w:val="18"/>
              </w:rPr>
            </w:pPr>
          </w:p>
        </w:tc>
        <w:tc>
          <w:tcPr>
            <w:tcW w:w="973" w:type="dxa"/>
            <w:vMerge w:val="continue"/>
            <w:noWrap/>
            <w:vAlign w:val="center"/>
          </w:tcPr>
          <w:p>
            <w:pPr>
              <w:widowControl/>
              <w:spacing w:line="240" w:lineRule="auto"/>
              <w:ind w:firstLine="0" w:firstLineChars="0"/>
              <w:jc w:val="center"/>
              <w:rPr>
                <w:color w:val="000000"/>
                <w:sz w:val="18"/>
                <w:szCs w:val="18"/>
              </w:rPr>
            </w:pPr>
          </w:p>
        </w:tc>
        <w:tc>
          <w:tcPr>
            <w:tcW w:w="16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覆土运距0~0.5km</w:t>
            </w:r>
          </w:p>
        </w:tc>
        <w:tc>
          <w:tcPr>
            <w:tcW w:w="601"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m³</w:t>
            </w:r>
          </w:p>
        </w:tc>
        <w:tc>
          <w:tcPr>
            <w:tcW w:w="99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6802.80</w:t>
            </w:r>
          </w:p>
        </w:tc>
        <w:tc>
          <w:tcPr>
            <w:tcW w:w="818"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894.00</w:t>
            </w:r>
          </w:p>
        </w:tc>
        <w:tc>
          <w:tcPr>
            <w:tcW w:w="90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7696.80</w:t>
            </w:r>
          </w:p>
        </w:tc>
        <w:tc>
          <w:tcPr>
            <w:tcW w:w="965" w:type="dxa"/>
            <w:noWrap/>
            <w:vAlign w:val="center"/>
          </w:tcPr>
          <w:p>
            <w:pPr>
              <w:widowControl/>
              <w:spacing w:line="240" w:lineRule="auto"/>
              <w:ind w:firstLine="0" w:firstLineChars="0"/>
              <w:jc w:val="center"/>
              <w:textAlignment w:val="center"/>
              <w:rPr>
                <w:rFonts w:eastAsia="宋体"/>
                <w:color w:val="000000"/>
                <w:kern w:val="0"/>
                <w:sz w:val="21"/>
                <w:szCs w:val="21"/>
                <w:lang w:bidi="ar"/>
              </w:rPr>
            </w:pPr>
            <w:r>
              <w:rPr>
                <w:rFonts w:eastAsia="宋体"/>
                <w:color w:val="000000"/>
                <w:kern w:val="0"/>
                <w:sz w:val="21"/>
                <w:szCs w:val="21"/>
                <w:lang w:bidi="ar"/>
              </w:rPr>
              <w:t>8985.60</w:t>
            </w:r>
          </w:p>
        </w:tc>
        <w:tc>
          <w:tcPr>
            <w:tcW w:w="965" w:type="dxa"/>
            <w:noWrap/>
            <w:vAlign w:val="center"/>
          </w:tcPr>
          <w:p>
            <w:pPr>
              <w:widowControl/>
              <w:spacing w:line="240" w:lineRule="auto"/>
              <w:ind w:firstLine="0" w:firstLineChars="0"/>
              <w:jc w:val="center"/>
              <w:textAlignment w:val="center"/>
              <w:rPr>
                <w:color w:val="000000"/>
                <w:sz w:val="18"/>
                <w:szCs w:val="18"/>
              </w:rPr>
            </w:pPr>
            <w:r>
              <w:rPr>
                <w:rFonts w:hint="eastAsia" w:eastAsia="宋体"/>
                <w:color w:val="000000"/>
                <w:kern w:val="0"/>
                <w:sz w:val="18"/>
                <w:szCs w:val="18"/>
                <w:lang w:bidi="ar"/>
              </w:rPr>
              <w:t>16682.40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805" w:type="dxa"/>
            <w:vMerge w:val="continue"/>
            <w:noWrap w:val="0"/>
            <w:vAlign w:val="center"/>
          </w:tcPr>
          <w:p>
            <w:pPr>
              <w:widowControl/>
              <w:spacing w:line="240" w:lineRule="auto"/>
              <w:ind w:firstLine="0" w:firstLineChars="0"/>
              <w:jc w:val="center"/>
              <w:rPr>
                <w:color w:val="000000"/>
                <w:sz w:val="18"/>
                <w:szCs w:val="18"/>
              </w:rPr>
            </w:pPr>
          </w:p>
        </w:tc>
        <w:tc>
          <w:tcPr>
            <w:tcW w:w="973" w:type="dxa"/>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清理工程</w:t>
            </w:r>
          </w:p>
        </w:tc>
        <w:tc>
          <w:tcPr>
            <w:tcW w:w="16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硬化地面拆除</w:t>
            </w:r>
          </w:p>
        </w:tc>
        <w:tc>
          <w:tcPr>
            <w:tcW w:w="601" w:type="dxa"/>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p>
        </w:tc>
        <w:tc>
          <w:tcPr>
            <w:tcW w:w="99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w:t>
            </w:r>
          </w:p>
        </w:tc>
        <w:tc>
          <w:tcPr>
            <w:tcW w:w="818"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w:t>
            </w:r>
          </w:p>
        </w:tc>
        <w:tc>
          <w:tcPr>
            <w:tcW w:w="90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w:t>
            </w:r>
          </w:p>
        </w:tc>
        <w:tc>
          <w:tcPr>
            <w:tcW w:w="965"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4492.80</w:t>
            </w:r>
          </w:p>
        </w:tc>
        <w:tc>
          <w:tcPr>
            <w:tcW w:w="965" w:type="dxa"/>
            <w:noWrap/>
            <w:vAlign w:val="center"/>
          </w:tcPr>
          <w:p>
            <w:pPr>
              <w:widowControl/>
              <w:spacing w:line="240" w:lineRule="auto"/>
              <w:ind w:firstLine="0" w:firstLineChars="0"/>
              <w:jc w:val="center"/>
              <w:textAlignment w:val="center"/>
              <w:rPr>
                <w:color w:val="000000"/>
                <w:sz w:val="18"/>
                <w:szCs w:val="18"/>
              </w:rPr>
            </w:pPr>
            <w:r>
              <w:rPr>
                <w:rFonts w:hint="eastAsia" w:eastAsia="宋体"/>
                <w:color w:val="000000"/>
                <w:kern w:val="0"/>
                <w:sz w:val="21"/>
                <w:szCs w:val="21"/>
                <w:lang w:bidi="ar"/>
              </w:rPr>
              <w:t>4492.80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805" w:type="dxa"/>
            <w:vMerge w:val="continue"/>
            <w:noWrap w:val="0"/>
            <w:vAlign w:val="center"/>
          </w:tcPr>
          <w:p>
            <w:pPr>
              <w:widowControl/>
              <w:spacing w:line="240" w:lineRule="auto"/>
              <w:ind w:firstLine="0" w:firstLineChars="0"/>
              <w:jc w:val="center"/>
              <w:rPr>
                <w:color w:val="000000"/>
                <w:sz w:val="18"/>
                <w:szCs w:val="18"/>
              </w:rPr>
            </w:pPr>
          </w:p>
        </w:tc>
        <w:tc>
          <w:tcPr>
            <w:tcW w:w="973" w:type="dxa"/>
            <w:vMerge w:val="continue"/>
            <w:noWrap w:val="0"/>
            <w:vAlign w:val="center"/>
          </w:tcPr>
          <w:p>
            <w:pPr>
              <w:widowControl/>
              <w:spacing w:line="240" w:lineRule="auto"/>
              <w:ind w:firstLine="0" w:firstLineChars="0"/>
              <w:jc w:val="center"/>
              <w:rPr>
                <w:color w:val="000000"/>
                <w:sz w:val="18"/>
                <w:szCs w:val="18"/>
              </w:rPr>
            </w:pPr>
          </w:p>
        </w:tc>
        <w:tc>
          <w:tcPr>
            <w:tcW w:w="1660"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弃渣运距</w:t>
            </w:r>
            <w:r>
              <w:rPr>
                <w:rFonts w:hint="eastAsia"/>
                <w:color w:val="000000"/>
                <w:kern w:val="0"/>
                <w:sz w:val="18"/>
                <w:szCs w:val="18"/>
                <w:lang w:bidi="ar"/>
              </w:rPr>
              <w:t>0~0</w:t>
            </w:r>
            <w:r>
              <w:rPr>
                <w:color w:val="000000"/>
                <w:kern w:val="0"/>
                <w:sz w:val="18"/>
                <w:szCs w:val="18"/>
                <w:lang w:bidi="ar"/>
              </w:rPr>
              <w:t>.5km</w:t>
            </w:r>
          </w:p>
        </w:tc>
        <w:tc>
          <w:tcPr>
            <w:tcW w:w="601" w:type="dxa"/>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p>
        </w:tc>
        <w:tc>
          <w:tcPr>
            <w:tcW w:w="99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w:t>
            </w:r>
          </w:p>
        </w:tc>
        <w:tc>
          <w:tcPr>
            <w:tcW w:w="818"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w:t>
            </w:r>
          </w:p>
        </w:tc>
        <w:tc>
          <w:tcPr>
            <w:tcW w:w="901" w:type="dxa"/>
            <w:noWrap/>
            <w:vAlign w:val="center"/>
          </w:tcPr>
          <w:p>
            <w:pPr>
              <w:widowControl/>
              <w:spacing w:line="240" w:lineRule="auto"/>
              <w:ind w:firstLine="0" w:firstLineChars="0"/>
              <w:jc w:val="center"/>
              <w:textAlignment w:val="center"/>
              <w:rPr>
                <w:color w:val="000000"/>
                <w:sz w:val="21"/>
                <w:szCs w:val="21"/>
              </w:rPr>
            </w:pPr>
            <w:r>
              <w:rPr>
                <w:rFonts w:eastAsia="宋体"/>
                <w:color w:val="000000"/>
                <w:kern w:val="0"/>
                <w:sz w:val="21"/>
                <w:szCs w:val="21"/>
                <w:lang w:bidi="ar"/>
              </w:rPr>
              <w:t>0</w:t>
            </w:r>
          </w:p>
        </w:tc>
        <w:tc>
          <w:tcPr>
            <w:tcW w:w="965" w:type="dxa"/>
            <w:noWrap/>
            <w:vAlign w:val="center"/>
          </w:tcPr>
          <w:p>
            <w:pPr>
              <w:widowControl/>
              <w:spacing w:line="240" w:lineRule="auto"/>
              <w:ind w:firstLine="0" w:firstLineChars="0"/>
              <w:jc w:val="center"/>
              <w:textAlignment w:val="center"/>
              <w:rPr>
                <w:color w:val="000000"/>
                <w:kern w:val="0"/>
                <w:sz w:val="21"/>
                <w:szCs w:val="21"/>
                <w:lang w:bidi="ar"/>
              </w:rPr>
            </w:pPr>
            <w:r>
              <w:rPr>
                <w:rFonts w:eastAsia="宋体"/>
                <w:color w:val="000000"/>
                <w:kern w:val="0"/>
                <w:sz w:val="21"/>
                <w:szCs w:val="21"/>
                <w:lang w:bidi="ar"/>
              </w:rPr>
              <w:t>4492.80</w:t>
            </w:r>
          </w:p>
        </w:tc>
        <w:tc>
          <w:tcPr>
            <w:tcW w:w="965" w:type="dxa"/>
            <w:noWrap/>
            <w:vAlign w:val="center"/>
          </w:tcPr>
          <w:p>
            <w:pPr>
              <w:widowControl/>
              <w:spacing w:line="240" w:lineRule="auto"/>
              <w:ind w:firstLine="0" w:firstLineChars="0"/>
              <w:jc w:val="center"/>
              <w:textAlignment w:val="center"/>
              <w:rPr>
                <w:color w:val="000000"/>
                <w:sz w:val="18"/>
                <w:szCs w:val="18"/>
              </w:rPr>
            </w:pPr>
            <w:r>
              <w:rPr>
                <w:rFonts w:hint="eastAsia" w:eastAsia="宋体"/>
                <w:color w:val="000000"/>
                <w:kern w:val="0"/>
                <w:sz w:val="21"/>
                <w:szCs w:val="21"/>
                <w:lang w:bidi="ar"/>
              </w:rPr>
              <w:t>4492.80</w:t>
            </w:r>
          </w:p>
        </w:tc>
      </w:tr>
    </w:tbl>
    <w:p>
      <w:pPr>
        <w:ind w:firstLine="0" w:firstLineChars="0"/>
        <w:jc w:val="center"/>
        <w:rPr>
          <w:rFonts w:eastAsia="黑体"/>
          <w:color w:val="000000"/>
          <w:sz w:val="21"/>
          <w:szCs w:val="21"/>
        </w:rPr>
      </w:pPr>
    </w:p>
    <w:p>
      <w:pPr>
        <w:ind w:firstLine="0" w:firstLineChars="0"/>
        <w:rPr>
          <w:rFonts w:eastAsia="黑体"/>
          <w:color w:val="000000"/>
          <w:sz w:val="21"/>
          <w:szCs w:val="21"/>
          <w:highlight w:val="yellow"/>
        </w:rPr>
        <w:sectPr>
          <w:pgSz w:w="11906" w:h="16838"/>
          <w:pgMar w:top="1440" w:right="1800" w:bottom="1440" w:left="1800" w:header="851" w:footer="992" w:gutter="0"/>
          <w:cols w:space="720" w:num="1"/>
          <w:docGrid w:type="lines" w:linePitch="326" w:charSpace="0"/>
        </w:sectPr>
      </w:pPr>
    </w:p>
    <w:p>
      <w:pPr>
        <w:pStyle w:val="3"/>
        <w:spacing w:before="0" w:after="0"/>
        <w:ind w:firstLine="0" w:firstLineChars="0"/>
        <w:jc w:val="both"/>
        <w:rPr>
          <w:color w:val="000000"/>
          <w:kern w:val="0"/>
          <w:szCs w:val="32"/>
        </w:rPr>
      </w:pPr>
      <w:bookmarkStart w:id="136" w:name="_Toc5707"/>
      <w:bookmarkStart w:id="137" w:name="_Toc327804172"/>
      <w:bookmarkStart w:id="138" w:name="_Toc35614690"/>
      <w:r>
        <w:rPr>
          <w:rFonts w:hint="eastAsia"/>
          <w:color w:val="000000"/>
          <w:kern w:val="0"/>
          <w:szCs w:val="32"/>
        </w:rPr>
        <w:t>7</w:t>
      </w:r>
      <w:r>
        <w:rPr>
          <w:color w:val="000000"/>
          <w:kern w:val="0"/>
          <w:szCs w:val="32"/>
        </w:rPr>
        <w:t>土地复垦投资估算</w:t>
      </w:r>
      <w:bookmarkEnd w:id="136"/>
      <w:bookmarkEnd w:id="137"/>
      <w:bookmarkEnd w:id="138"/>
    </w:p>
    <w:p>
      <w:pPr>
        <w:pStyle w:val="4"/>
        <w:spacing w:before="0" w:after="0"/>
        <w:ind w:firstLine="0" w:firstLineChars="0"/>
        <w:rPr>
          <w:color w:val="000000"/>
          <w:kern w:val="0"/>
          <w:szCs w:val="30"/>
        </w:rPr>
      </w:pPr>
      <w:bookmarkStart w:id="139" w:name="_Toc35614691"/>
      <w:bookmarkStart w:id="140" w:name="_Toc327804173"/>
      <w:bookmarkStart w:id="141" w:name="_Toc5359"/>
      <w:r>
        <w:rPr>
          <w:rFonts w:hint="eastAsia"/>
          <w:color w:val="000000"/>
          <w:kern w:val="0"/>
          <w:szCs w:val="30"/>
        </w:rPr>
        <w:t>7</w:t>
      </w:r>
      <w:r>
        <w:rPr>
          <w:color w:val="000000"/>
          <w:kern w:val="0"/>
          <w:szCs w:val="30"/>
        </w:rPr>
        <w:t>.1估算说明</w:t>
      </w:r>
      <w:bookmarkEnd w:id="139"/>
      <w:bookmarkEnd w:id="140"/>
      <w:bookmarkEnd w:id="141"/>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7.1.1投资估算编制依据</w:t>
      </w:r>
    </w:p>
    <w:p>
      <w:pPr>
        <w:ind w:firstLine="528"/>
        <w:rPr>
          <w:color w:val="000000"/>
          <w:spacing w:val="12"/>
          <w:szCs w:val="24"/>
        </w:rPr>
      </w:pPr>
      <w:r>
        <w:rPr>
          <w:color w:val="000000"/>
          <w:spacing w:val="12"/>
          <w:szCs w:val="24"/>
        </w:rPr>
        <w:t>a）云南省国土资源厅、云南省财政厅编制《土地开发整理项目预算定额标准云南省补充预算定额》（2016年4月第一版）；</w:t>
      </w:r>
    </w:p>
    <w:p>
      <w:pPr>
        <w:ind w:firstLine="528"/>
        <w:rPr>
          <w:color w:val="000000"/>
          <w:spacing w:val="12"/>
          <w:szCs w:val="24"/>
        </w:rPr>
      </w:pPr>
      <w:r>
        <w:rPr>
          <w:color w:val="000000"/>
          <w:spacing w:val="12"/>
          <w:szCs w:val="24"/>
        </w:rPr>
        <w:t>b）《土地开发整理项目资金管理暂行办法》，国土资发〔2000〕第282号；</w:t>
      </w:r>
    </w:p>
    <w:p>
      <w:pPr>
        <w:ind w:firstLine="528"/>
        <w:rPr>
          <w:color w:val="000000"/>
          <w:spacing w:val="12"/>
          <w:szCs w:val="24"/>
        </w:rPr>
      </w:pPr>
      <w:r>
        <w:rPr>
          <w:color w:val="000000"/>
          <w:spacing w:val="12"/>
          <w:szCs w:val="24"/>
        </w:rPr>
        <w:t>c）《土地开发整理项目规划设计规范》（TD/T1012-2000）；</w:t>
      </w:r>
    </w:p>
    <w:p>
      <w:pPr>
        <w:ind w:firstLine="528"/>
        <w:rPr>
          <w:color w:val="000000"/>
          <w:spacing w:val="12"/>
          <w:szCs w:val="24"/>
        </w:rPr>
      </w:pPr>
      <w:r>
        <w:rPr>
          <w:color w:val="000000"/>
          <w:spacing w:val="12"/>
          <w:szCs w:val="24"/>
        </w:rPr>
        <w:t>d）《土地整治项目规划设计规范》（TD/T1012-2016）；</w:t>
      </w:r>
    </w:p>
    <w:p>
      <w:pPr>
        <w:ind w:firstLine="528"/>
        <w:rPr>
          <w:color w:val="000000"/>
          <w:spacing w:val="12"/>
          <w:szCs w:val="24"/>
        </w:rPr>
      </w:pPr>
      <w:r>
        <w:rPr>
          <w:color w:val="000000"/>
          <w:spacing w:val="12"/>
          <w:szCs w:val="24"/>
        </w:rPr>
        <w:t>e）财政部、国土资源部《新增建设用地土地有偿使用费财务管理暂行办法》（财建〔2001〕330号）；</w:t>
      </w:r>
    </w:p>
    <w:p>
      <w:pPr>
        <w:ind w:firstLine="528"/>
        <w:rPr>
          <w:color w:val="000000"/>
          <w:spacing w:val="12"/>
          <w:szCs w:val="24"/>
        </w:rPr>
      </w:pPr>
      <w:r>
        <w:rPr>
          <w:color w:val="000000"/>
          <w:spacing w:val="12"/>
          <w:szCs w:val="24"/>
        </w:rPr>
        <w:t>f）国土资源部《土地开发整理项目资金管理暂行办法》（国土资发〔2000〕282号）；</w:t>
      </w:r>
    </w:p>
    <w:p>
      <w:pPr>
        <w:ind w:firstLine="528"/>
        <w:rPr>
          <w:color w:val="000000"/>
          <w:spacing w:val="12"/>
          <w:szCs w:val="24"/>
        </w:rPr>
      </w:pPr>
      <w:r>
        <w:rPr>
          <w:color w:val="000000"/>
          <w:spacing w:val="12"/>
          <w:szCs w:val="24"/>
        </w:rPr>
        <w:t>g）《财政部、国土资源部关于印发土地开发整理项目预算定额标准的通知》（财综〔2011〕128号）；</w:t>
      </w:r>
    </w:p>
    <w:p>
      <w:pPr>
        <w:ind w:firstLine="528"/>
        <w:rPr>
          <w:color w:val="000000"/>
          <w:spacing w:val="12"/>
          <w:szCs w:val="24"/>
        </w:rPr>
      </w:pPr>
      <w:r>
        <w:rPr>
          <w:color w:val="000000"/>
          <w:spacing w:val="12"/>
          <w:szCs w:val="24"/>
        </w:rPr>
        <w:t>h）</w:t>
      </w:r>
      <w:r>
        <w:rPr>
          <w:rFonts w:hint="eastAsia"/>
          <w:color w:val="000000"/>
          <w:spacing w:val="12"/>
          <w:szCs w:val="24"/>
        </w:rPr>
        <w:t>《云南省水利厅</w:t>
      </w:r>
      <w:r>
        <w:rPr>
          <w:rFonts w:hint="eastAsia"/>
          <w:color w:val="000000"/>
          <w:spacing w:val="12"/>
          <w:szCs w:val="24"/>
          <w:lang w:val="en-US" w:eastAsia="zh-CN"/>
        </w:rPr>
        <w:t xml:space="preserve"> </w:t>
      </w:r>
      <w:r>
        <w:rPr>
          <w:rFonts w:hint="eastAsia"/>
          <w:color w:val="000000"/>
          <w:spacing w:val="12"/>
          <w:szCs w:val="24"/>
        </w:rPr>
        <w:t>云南省发展和改革委员会关于调整云南省水利工程计价依据有关税率及系数的通知》（云水规计〔2019〕46号）</w:t>
      </w:r>
      <w:r>
        <w:rPr>
          <w:color w:val="000000"/>
          <w:spacing w:val="12"/>
          <w:szCs w:val="24"/>
        </w:rPr>
        <w:t>；</w:t>
      </w:r>
    </w:p>
    <w:p>
      <w:pPr>
        <w:ind w:firstLine="528"/>
        <w:rPr>
          <w:color w:val="000000"/>
          <w:spacing w:val="12"/>
          <w:szCs w:val="24"/>
        </w:rPr>
      </w:pPr>
      <w:r>
        <w:rPr>
          <w:color w:val="000000"/>
          <w:spacing w:val="12"/>
          <w:szCs w:val="24"/>
        </w:rPr>
        <w:t>i）《云南省劳动和社会保障厅文件》（云劳社办〔2005〕231号）；</w:t>
      </w:r>
    </w:p>
    <w:p>
      <w:pPr>
        <w:pStyle w:val="2"/>
        <w:ind w:firstLine="528"/>
        <w:rPr>
          <w:rFonts w:ascii="Times New Roman" w:hAnsi="Times New Roman" w:eastAsia="仿宋_GB2312"/>
        </w:rPr>
      </w:pPr>
      <w:r>
        <w:rPr>
          <w:rFonts w:ascii="Times New Roman" w:hAnsi="Times New Roman" w:eastAsia="仿宋_GB2312"/>
          <w:color w:val="000000"/>
          <w:spacing w:val="12"/>
        </w:rPr>
        <w:t>j）</w:t>
      </w:r>
      <w:r>
        <w:rPr>
          <w:rFonts w:ascii="Times New Roman" w:hAnsi="Times New Roman" w:eastAsia="仿宋_GB2312"/>
        </w:rPr>
        <w:t>《</w:t>
      </w:r>
      <w:r>
        <w:rPr>
          <w:rFonts w:ascii="Times New Roman" w:hAnsi="Times New Roman" w:eastAsia="仿宋_GB2312"/>
          <w:color w:val="000000"/>
          <w:spacing w:val="12"/>
        </w:rPr>
        <w:t>云南省人民政府办公厅关于印发云南省降低社会保险费率实施方案的通知》（云政办发〔2019〕48号）；</w:t>
      </w:r>
    </w:p>
    <w:p>
      <w:pPr>
        <w:ind w:firstLine="528"/>
        <w:rPr>
          <w:color w:val="000000"/>
          <w:spacing w:val="12"/>
          <w:szCs w:val="24"/>
        </w:rPr>
      </w:pPr>
      <w:r>
        <w:rPr>
          <w:color w:val="000000"/>
          <w:spacing w:val="12"/>
          <w:szCs w:val="24"/>
        </w:rPr>
        <w:t>k）《文山州建设工程材料及设备价格信息》（定额除税价格）（2022.</w:t>
      </w:r>
      <w:r>
        <w:rPr>
          <w:rFonts w:hint="eastAsia"/>
          <w:color w:val="000000"/>
          <w:spacing w:val="12"/>
          <w:szCs w:val="24"/>
        </w:rPr>
        <w:t>1</w:t>
      </w:r>
      <w:r>
        <w:rPr>
          <w:rFonts w:hint="eastAsia"/>
          <w:color w:val="000000"/>
          <w:spacing w:val="12"/>
          <w:szCs w:val="24"/>
          <w:lang w:val="en-US" w:eastAsia="zh-CN"/>
        </w:rPr>
        <w:t>2</w:t>
      </w:r>
      <w:r>
        <w:rPr>
          <w:color w:val="000000"/>
          <w:spacing w:val="12"/>
          <w:szCs w:val="24"/>
        </w:rPr>
        <w:t>）。</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7.1.2基础单价编制依据</w:t>
      </w:r>
    </w:p>
    <w:p>
      <w:pPr>
        <w:ind w:firstLine="528"/>
        <w:rPr>
          <w:color w:val="000000"/>
          <w:spacing w:val="12"/>
          <w:szCs w:val="24"/>
        </w:rPr>
      </w:pPr>
      <w:r>
        <w:rPr>
          <w:color w:val="000000"/>
          <w:spacing w:val="12"/>
          <w:szCs w:val="24"/>
        </w:rPr>
        <w:t>根据</w:t>
      </w:r>
      <w:r>
        <w:rPr>
          <w:rFonts w:hint="eastAsia"/>
          <w:color w:val="000000"/>
          <w:spacing w:val="12"/>
          <w:szCs w:val="24"/>
        </w:rPr>
        <w:t>《土地开发整理项目预算定额标准》（财政部经济建设司、国土资源部财务司），土地整治项目费用</w:t>
      </w:r>
      <w:r>
        <w:rPr>
          <w:color w:val="000000"/>
          <w:spacing w:val="12"/>
          <w:szCs w:val="24"/>
        </w:rPr>
        <w:t>由工程施工费（包括直接费、间接费、利润、税金）、设备购置费、其他费用（包括前期工作费、工程监理费、拆迁补偿费、竣工验收费、业主管理费）和不可预见费组成，其中工程施工费=土地平整</w:t>
      </w:r>
      <w:r>
        <w:rPr>
          <w:rFonts w:hint="eastAsia"/>
          <w:color w:val="000000"/>
          <w:spacing w:val="12"/>
          <w:szCs w:val="24"/>
        </w:rPr>
        <w:t>工程</w:t>
      </w:r>
      <w:r>
        <w:rPr>
          <w:color w:val="000000"/>
          <w:spacing w:val="12"/>
          <w:szCs w:val="24"/>
        </w:rPr>
        <w:t>施工费+</w:t>
      </w:r>
      <w:r>
        <w:rPr>
          <w:rFonts w:hint="eastAsia"/>
          <w:color w:val="000000"/>
          <w:spacing w:val="12"/>
          <w:szCs w:val="24"/>
        </w:rPr>
        <w:t>灌溉与排水工程</w:t>
      </w:r>
      <w:r>
        <w:rPr>
          <w:color w:val="000000"/>
          <w:spacing w:val="12"/>
          <w:szCs w:val="24"/>
        </w:rPr>
        <w:t>施工费+田间道路</w:t>
      </w:r>
      <w:r>
        <w:rPr>
          <w:rFonts w:hint="eastAsia"/>
          <w:color w:val="000000"/>
          <w:spacing w:val="12"/>
          <w:szCs w:val="24"/>
        </w:rPr>
        <w:t>工程</w:t>
      </w:r>
      <w:r>
        <w:rPr>
          <w:color w:val="000000"/>
          <w:spacing w:val="12"/>
          <w:szCs w:val="24"/>
        </w:rPr>
        <w:t>施工费。各工程施工费=各项工程量×</w:t>
      </w:r>
      <w:r>
        <w:rPr>
          <w:rFonts w:hint="eastAsia"/>
          <w:color w:val="000000"/>
          <w:spacing w:val="12"/>
          <w:szCs w:val="24"/>
        </w:rPr>
        <w:t>建筑材料预算单价</w:t>
      </w:r>
      <w:r>
        <w:rPr>
          <w:color w:val="000000"/>
          <w:spacing w:val="12"/>
          <w:szCs w:val="24"/>
        </w:rPr>
        <w:t>。</w:t>
      </w:r>
    </w:p>
    <w:p>
      <w:pPr>
        <w:adjustRightInd w:val="0"/>
        <w:snapToGrid w:val="0"/>
        <w:spacing w:after="62" w:afterLines="20"/>
        <w:ind w:firstLine="560"/>
        <w:jc w:val="left"/>
        <w:rPr>
          <w:color w:val="000000"/>
          <w:spacing w:val="12"/>
          <w:sz w:val="28"/>
          <w:szCs w:val="28"/>
        </w:rPr>
      </w:pPr>
      <w:r>
        <w:rPr>
          <w:color w:val="000000"/>
          <w:spacing w:val="12"/>
          <w:sz w:val="28"/>
          <w:szCs w:val="28"/>
        </w:rPr>
        <w:drawing>
          <wp:inline distT="0" distB="0" distL="114300" distR="114300">
            <wp:extent cx="4335145" cy="3448050"/>
            <wp:effectExtent l="0" t="0" r="8255" b="0"/>
            <wp:docPr id="9" name="图片 1" descr="说明: 说明: 1111 0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说明: 说明: 1111 001副本"/>
                    <pic:cNvPicPr>
                      <a:picLocks noChangeAspect="1"/>
                    </pic:cNvPicPr>
                  </pic:nvPicPr>
                  <pic:blipFill>
                    <a:blip r:embed="rId31"/>
                    <a:stretch>
                      <a:fillRect/>
                    </a:stretch>
                  </pic:blipFill>
                  <pic:spPr>
                    <a:xfrm>
                      <a:off x="0" y="0"/>
                      <a:ext cx="4335145" cy="3448050"/>
                    </a:xfrm>
                    <a:prstGeom prst="rect">
                      <a:avLst/>
                    </a:prstGeom>
                    <a:noFill/>
                    <a:ln>
                      <a:noFill/>
                    </a:ln>
                  </pic:spPr>
                </pic:pic>
              </a:graphicData>
            </a:graphic>
          </wp:inline>
        </w:drawing>
      </w:r>
    </w:p>
    <w:p>
      <w:pPr>
        <w:adjustRightInd w:val="0"/>
        <w:snapToGrid w:val="0"/>
        <w:spacing w:after="62" w:afterLines="20" w:line="500" w:lineRule="exact"/>
        <w:ind w:firstLine="420"/>
        <w:jc w:val="center"/>
        <w:rPr>
          <w:rFonts w:hint="eastAsia" w:ascii="黑体" w:hAnsi="黑体" w:eastAsia="黑体" w:cs="黑体"/>
          <w:bCs/>
          <w:color w:val="000000"/>
          <w:sz w:val="21"/>
          <w:szCs w:val="21"/>
        </w:rPr>
      </w:pPr>
      <w:r>
        <w:rPr>
          <w:rFonts w:hint="eastAsia" w:ascii="黑体" w:hAnsi="黑体" w:eastAsia="黑体" w:cs="黑体"/>
          <w:bCs/>
          <w:color w:val="000000"/>
          <w:sz w:val="21"/>
          <w:szCs w:val="21"/>
        </w:rPr>
        <w:t>图7.1费用构成图</w:t>
      </w:r>
    </w:p>
    <w:p>
      <w:pPr>
        <w:ind w:firstLine="528"/>
        <w:outlineLvl w:val="2"/>
        <w:rPr>
          <w:color w:val="000000"/>
          <w:spacing w:val="12"/>
          <w:szCs w:val="24"/>
        </w:rPr>
      </w:pPr>
      <w:r>
        <w:rPr>
          <w:color w:val="000000"/>
          <w:spacing w:val="12"/>
          <w:szCs w:val="24"/>
        </w:rPr>
        <w:t>a</w:t>
      </w:r>
      <w:r>
        <w:rPr>
          <w:rFonts w:hint="eastAsia"/>
          <w:color w:val="000000"/>
          <w:spacing w:val="12"/>
          <w:szCs w:val="24"/>
        </w:rPr>
        <w:t>）人工预算价格</w:t>
      </w:r>
    </w:p>
    <w:p>
      <w:pPr>
        <w:ind w:firstLine="528"/>
        <w:rPr>
          <w:color w:val="000000"/>
          <w:spacing w:val="12"/>
          <w:szCs w:val="24"/>
          <w:highlight w:val="yellow"/>
        </w:rPr>
      </w:pPr>
      <w:r>
        <w:rPr>
          <w:color w:val="000000"/>
          <w:spacing w:val="12"/>
          <w:szCs w:val="24"/>
        </w:rPr>
        <w:t>工程人工预算单价主要参照《土地开发整理项目预算定额标准云南省补充预算定额》制定，本项目人工单价按全国各地区工资区类别表为</w:t>
      </w:r>
      <w:r>
        <w:rPr>
          <w:rFonts w:hint="eastAsia"/>
          <w:color w:val="000000"/>
          <w:spacing w:val="12"/>
          <w:szCs w:val="24"/>
        </w:rPr>
        <w:t>六</w:t>
      </w:r>
      <w:r>
        <w:rPr>
          <w:color w:val="000000"/>
          <w:spacing w:val="12"/>
          <w:szCs w:val="24"/>
        </w:rPr>
        <w:t>类工资区，按</w:t>
      </w:r>
      <w:r>
        <w:rPr>
          <w:rFonts w:hint="eastAsia"/>
          <w:color w:val="000000"/>
          <w:spacing w:val="12"/>
          <w:szCs w:val="24"/>
        </w:rPr>
        <w:t>云南省国土资源厅云南省财政厅《土地开发整理项目预算定额标准云南省补充预算定额》（云国土资〔2016〕35号）文件</w:t>
      </w:r>
      <w:r>
        <w:rPr>
          <w:color w:val="000000"/>
          <w:spacing w:val="12"/>
          <w:szCs w:val="24"/>
        </w:rPr>
        <w:t>，养老保险取费费率为</w:t>
      </w:r>
      <w:r>
        <w:rPr>
          <w:rFonts w:hint="eastAsia"/>
          <w:color w:val="000000"/>
          <w:spacing w:val="12"/>
          <w:szCs w:val="24"/>
        </w:rPr>
        <w:t>16</w:t>
      </w:r>
      <w:r>
        <w:rPr>
          <w:color w:val="000000"/>
          <w:spacing w:val="12"/>
          <w:szCs w:val="24"/>
        </w:rPr>
        <w:t>%，</w:t>
      </w:r>
      <w:r>
        <w:rPr>
          <w:rFonts w:hint="eastAsia"/>
          <w:color w:val="000000"/>
          <w:spacing w:val="12"/>
          <w:szCs w:val="24"/>
        </w:rPr>
        <w:t>医疗保险取费费率为10</w:t>
      </w:r>
      <w:r>
        <w:rPr>
          <w:color w:val="000000"/>
          <w:spacing w:val="12"/>
          <w:szCs w:val="24"/>
        </w:rPr>
        <w:t>%</w:t>
      </w:r>
      <w:r>
        <w:rPr>
          <w:rFonts w:hint="eastAsia"/>
          <w:color w:val="000000"/>
          <w:spacing w:val="12"/>
          <w:szCs w:val="24"/>
        </w:rPr>
        <w:t>，住房公积金取费费率为5</w:t>
      </w:r>
      <w:r>
        <w:rPr>
          <w:color w:val="000000"/>
          <w:spacing w:val="12"/>
          <w:szCs w:val="24"/>
        </w:rPr>
        <w:t>%</w:t>
      </w:r>
      <w:r>
        <w:rPr>
          <w:rFonts w:hint="eastAsia"/>
          <w:color w:val="000000"/>
          <w:spacing w:val="12"/>
          <w:szCs w:val="24"/>
        </w:rPr>
        <w:t>。</w:t>
      </w:r>
      <w:r>
        <w:rPr>
          <w:color w:val="000000"/>
          <w:spacing w:val="12"/>
          <w:szCs w:val="24"/>
        </w:rPr>
        <w:t>经计算甲类工为</w:t>
      </w:r>
      <w:r>
        <w:rPr>
          <w:rFonts w:hint="eastAsia"/>
          <w:color w:val="000000"/>
          <w:spacing w:val="12"/>
          <w:szCs w:val="24"/>
        </w:rPr>
        <w:t>50.70</w:t>
      </w:r>
      <w:r>
        <w:rPr>
          <w:color w:val="000000"/>
          <w:spacing w:val="12"/>
          <w:szCs w:val="24"/>
        </w:rPr>
        <w:t>元/工日，乙类工为</w:t>
      </w:r>
      <w:r>
        <w:rPr>
          <w:rFonts w:hint="eastAsia"/>
          <w:color w:val="000000"/>
          <w:spacing w:val="12"/>
          <w:szCs w:val="24"/>
        </w:rPr>
        <w:t>38.58</w:t>
      </w:r>
      <w:r>
        <w:rPr>
          <w:color w:val="000000"/>
          <w:spacing w:val="12"/>
          <w:szCs w:val="24"/>
        </w:rPr>
        <w:t>元/工日。</w:t>
      </w:r>
    </w:p>
    <w:p>
      <w:pPr>
        <w:widowControl/>
        <w:spacing w:line="240" w:lineRule="auto"/>
        <w:ind w:firstLine="0" w:firstLineChars="0"/>
        <w:jc w:val="center"/>
        <w:textAlignment w:val="center"/>
        <w:rPr>
          <w:rFonts w:eastAsia="黑体"/>
          <w:bCs/>
          <w:color w:val="000000"/>
          <w:spacing w:val="12"/>
          <w:sz w:val="21"/>
          <w:szCs w:val="21"/>
        </w:rPr>
      </w:pPr>
      <w:r>
        <w:rPr>
          <w:rFonts w:eastAsia="黑体"/>
          <w:bCs/>
          <w:color w:val="000000"/>
          <w:spacing w:val="12"/>
          <w:sz w:val="21"/>
          <w:szCs w:val="21"/>
        </w:rPr>
        <w:t>表</w:t>
      </w:r>
      <w:r>
        <w:rPr>
          <w:rFonts w:hint="eastAsia" w:eastAsia="黑体"/>
          <w:bCs/>
          <w:color w:val="000000"/>
          <w:spacing w:val="12"/>
          <w:sz w:val="21"/>
          <w:szCs w:val="21"/>
        </w:rPr>
        <w:t>7</w:t>
      </w:r>
      <w:r>
        <w:rPr>
          <w:rFonts w:eastAsia="黑体"/>
          <w:bCs/>
          <w:color w:val="000000"/>
          <w:spacing w:val="12"/>
          <w:sz w:val="21"/>
          <w:szCs w:val="21"/>
        </w:rPr>
        <w:t>-1人工估算单价计算表（甲类工）</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2403"/>
        <w:gridCol w:w="3892"/>
        <w:gridCol w:w="9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blHeader/>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地区类别</w:t>
            </w:r>
          </w:p>
        </w:tc>
        <w:tc>
          <w:tcPr>
            <w:tcW w:w="240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定额人工等级</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甲类工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blHeader/>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2403" w:type="dxa"/>
            <w:vMerge w:val="continue"/>
            <w:noWrap/>
            <w:vAlign w:val="center"/>
          </w:tcPr>
          <w:p>
            <w:pPr>
              <w:widowControl/>
              <w:spacing w:line="240" w:lineRule="auto"/>
              <w:ind w:firstLine="0" w:firstLineChars="0"/>
              <w:jc w:val="center"/>
              <w:rPr>
                <w:color w:val="000000"/>
                <w:sz w:val="21"/>
                <w:szCs w:val="21"/>
              </w:rPr>
            </w:pP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六类工资区</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基本工资</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540.00元×1.0000×12÷(250－10)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辅助工资</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⑴＋⑵＋⑶＋⑷</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地区津贴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0.00元×12÷(250－10)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3.5×365×95.00%÷(250－10)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夜餐津贴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(4.5＋3.5)÷2×20.00%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节日加班津贴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27.000×(3-1)×11÷250×35.00%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工资附加费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⑴＋⑵＋⑶＋⑷＋⑸＋⑹＋⑺</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17.01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职工福利基金</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(27.000＋6.689)×14.00%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工会经费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(27.000＋6.689)×2.00%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养老保险费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(27.000＋6.689)×16.00%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医疗保险费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(27.000＋6.689)×10.00%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工伤、生育保险费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(27.000＋6.689)×1.50%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职工失业保险基金</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(27.000＋6.689)×2.00%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住房公积金</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(27.000＋6.689)×5.00%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人工工日预算单价</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１＋２＋３</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50.70</w:t>
            </w:r>
          </w:p>
        </w:tc>
      </w:tr>
    </w:tbl>
    <w:p>
      <w:pPr>
        <w:widowControl/>
        <w:spacing w:line="240" w:lineRule="auto"/>
        <w:ind w:firstLine="0" w:firstLineChars="0"/>
        <w:jc w:val="center"/>
        <w:textAlignment w:val="center"/>
        <w:rPr>
          <w:rFonts w:eastAsia="黑体"/>
          <w:bCs/>
          <w:color w:val="000000"/>
          <w:spacing w:val="12"/>
          <w:sz w:val="21"/>
          <w:szCs w:val="21"/>
        </w:rPr>
      </w:pPr>
      <w:r>
        <w:rPr>
          <w:rFonts w:eastAsia="黑体"/>
          <w:bCs/>
          <w:color w:val="000000"/>
          <w:spacing w:val="12"/>
          <w:sz w:val="21"/>
          <w:szCs w:val="21"/>
        </w:rPr>
        <w:t>表</w:t>
      </w:r>
      <w:r>
        <w:rPr>
          <w:rFonts w:hint="eastAsia" w:eastAsia="黑体"/>
          <w:bCs/>
          <w:color w:val="000000"/>
          <w:spacing w:val="12"/>
          <w:sz w:val="21"/>
          <w:szCs w:val="21"/>
        </w:rPr>
        <w:t>7</w:t>
      </w:r>
      <w:r>
        <w:rPr>
          <w:rFonts w:eastAsia="黑体"/>
          <w:bCs/>
          <w:color w:val="000000"/>
          <w:spacing w:val="12"/>
          <w:sz w:val="21"/>
          <w:szCs w:val="21"/>
        </w:rPr>
        <w:t>-2人工估算单价计算表（乙类工）</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2403"/>
        <w:gridCol w:w="3892"/>
        <w:gridCol w:w="9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地区类别</w:t>
            </w:r>
          </w:p>
        </w:tc>
        <w:tc>
          <w:tcPr>
            <w:tcW w:w="240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定额人工等级</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乙类工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2403" w:type="dxa"/>
            <w:vMerge w:val="continue"/>
            <w:noWrap/>
            <w:vAlign w:val="center"/>
          </w:tcPr>
          <w:p>
            <w:pPr>
              <w:widowControl/>
              <w:spacing w:line="240" w:lineRule="auto"/>
              <w:ind w:firstLine="0" w:firstLineChars="0"/>
              <w:jc w:val="center"/>
              <w:rPr>
                <w:color w:val="000000"/>
                <w:sz w:val="21"/>
                <w:szCs w:val="21"/>
              </w:rPr>
            </w:pP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六类工资区</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基本工资</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445.00元×1.0000×12÷(250－10)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辅助工资</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⑴＋⑵＋⑶＋⑷</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地区津贴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0.00元×12÷(250－10)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2.0×365×95.00%÷(250－10)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夜餐津贴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(4.5＋3.5)÷2×5.00%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节日加班津贴</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22.250×(3-1)×11÷250×15.00%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工资附加费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⑴＋⑵＋⑶＋⑷＋⑸＋⑹＋⑺</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职工福利基金</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(22.250＋3.384)×14.00%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工会经费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(22.250＋3.384)×2.00%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养老保险费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(22.250＋3.384)×16.00%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医疗保险费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(22.250＋3.384)×10.00%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工伤、生育保险费</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(22.250＋3.384)×1.50%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职工失业保险基金</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(22.250＋3.384)×2.00%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住房公积金</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(22.250＋3.384)×5.00%</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24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人工工日预算单价</w:t>
            </w:r>
          </w:p>
        </w:tc>
        <w:tc>
          <w:tcPr>
            <w:tcW w:w="38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１＋２＋３</w:t>
            </w:r>
          </w:p>
        </w:tc>
        <w:tc>
          <w:tcPr>
            <w:tcW w:w="9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38.58</w:t>
            </w:r>
          </w:p>
        </w:tc>
      </w:tr>
    </w:tbl>
    <w:p>
      <w:pPr>
        <w:ind w:firstLine="528"/>
        <w:outlineLvl w:val="2"/>
        <w:rPr>
          <w:rFonts w:hint="eastAsia"/>
          <w:color w:val="000000"/>
          <w:spacing w:val="12"/>
          <w:szCs w:val="24"/>
        </w:rPr>
      </w:pPr>
      <w:r>
        <w:rPr>
          <w:color w:val="000000"/>
          <w:spacing w:val="12"/>
          <w:szCs w:val="24"/>
        </w:rPr>
        <w:t>b</w:t>
      </w:r>
      <w:r>
        <w:rPr>
          <w:rFonts w:hint="eastAsia"/>
          <w:color w:val="000000"/>
          <w:spacing w:val="12"/>
          <w:szCs w:val="24"/>
        </w:rPr>
        <w:t>）材料单价</w:t>
      </w:r>
    </w:p>
    <w:p>
      <w:pPr>
        <w:ind w:firstLine="528"/>
        <w:rPr>
          <w:color w:val="000000"/>
          <w:spacing w:val="12"/>
          <w:szCs w:val="24"/>
        </w:rPr>
      </w:pPr>
      <w:r>
        <w:rPr>
          <w:color w:val="000000"/>
          <w:spacing w:val="12"/>
          <w:szCs w:val="24"/>
        </w:rPr>
        <w:t>在材料费定额的计算中，材料消耗量参照《土地开发整理项目预算定额》。主要材料预算价格依据发展和改革局提供的主材单价确定，基价计取其到达工地价己含运杂费、保险费、采购及保管费。主要材料详见表</w:t>
      </w:r>
      <w:r>
        <w:rPr>
          <w:rFonts w:hint="eastAsia"/>
          <w:color w:val="000000"/>
          <w:spacing w:val="12"/>
          <w:szCs w:val="24"/>
        </w:rPr>
        <w:t>7-3</w:t>
      </w:r>
      <w:r>
        <w:rPr>
          <w:color w:val="000000"/>
          <w:spacing w:val="12"/>
          <w:szCs w:val="24"/>
        </w:rPr>
        <w:t>。</w:t>
      </w:r>
    </w:p>
    <w:p>
      <w:pPr>
        <w:ind w:firstLine="468"/>
        <w:jc w:val="center"/>
        <w:rPr>
          <w:rFonts w:eastAsia="黑体"/>
          <w:bCs/>
          <w:color w:val="000000"/>
          <w:spacing w:val="12"/>
          <w:sz w:val="21"/>
          <w:szCs w:val="21"/>
        </w:rPr>
      </w:pPr>
      <w:r>
        <w:rPr>
          <w:rFonts w:eastAsia="黑体"/>
          <w:bCs/>
          <w:color w:val="000000"/>
          <w:spacing w:val="12"/>
          <w:sz w:val="21"/>
          <w:szCs w:val="21"/>
        </w:rPr>
        <w:t>表</w:t>
      </w:r>
      <w:r>
        <w:rPr>
          <w:rFonts w:hint="eastAsia" w:eastAsia="黑体"/>
          <w:bCs/>
          <w:color w:val="000000"/>
          <w:spacing w:val="12"/>
          <w:sz w:val="21"/>
          <w:szCs w:val="21"/>
        </w:rPr>
        <w:t>7</w:t>
      </w:r>
      <w:r>
        <w:rPr>
          <w:rFonts w:eastAsia="黑体"/>
          <w:bCs/>
          <w:color w:val="000000"/>
          <w:spacing w:val="12"/>
          <w:sz w:val="21"/>
          <w:szCs w:val="21"/>
        </w:rPr>
        <w:t>-3主要材料限价与市场价对照表</w:t>
      </w:r>
    </w:p>
    <w:tbl>
      <w:tblPr>
        <w:tblStyle w:val="25"/>
        <w:tblW w:w="852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30"/>
        <w:gridCol w:w="676"/>
        <w:gridCol w:w="477"/>
        <w:gridCol w:w="731"/>
        <w:gridCol w:w="861"/>
        <w:gridCol w:w="769"/>
        <w:gridCol w:w="689"/>
        <w:gridCol w:w="790"/>
        <w:gridCol w:w="860"/>
        <w:gridCol w:w="870"/>
        <w:gridCol w:w="759"/>
        <w:gridCol w:w="7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30"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676"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名称及规格</w:t>
            </w:r>
          </w:p>
        </w:tc>
        <w:tc>
          <w:tcPr>
            <w:tcW w:w="477"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731"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单位毛重(t)</w:t>
            </w:r>
          </w:p>
        </w:tc>
        <w:tc>
          <w:tcPr>
            <w:tcW w:w="861"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每吨运费(元)</w:t>
            </w:r>
          </w:p>
        </w:tc>
        <w:tc>
          <w:tcPr>
            <w:tcW w:w="5453" w:type="dxa"/>
            <w:gridSpan w:val="7"/>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价格(元)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30" w:type="dxa"/>
            <w:vMerge w:val="continue"/>
            <w:noWrap/>
            <w:vAlign w:val="center"/>
          </w:tcPr>
          <w:p>
            <w:pPr>
              <w:widowControl/>
              <w:spacing w:line="240" w:lineRule="auto"/>
              <w:ind w:firstLine="0" w:firstLineChars="0"/>
              <w:jc w:val="center"/>
              <w:rPr>
                <w:color w:val="000000"/>
                <w:sz w:val="21"/>
                <w:szCs w:val="21"/>
              </w:rPr>
            </w:pPr>
          </w:p>
        </w:tc>
        <w:tc>
          <w:tcPr>
            <w:tcW w:w="676" w:type="dxa"/>
            <w:vMerge w:val="continue"/>
            <w:noWrap/>
            <w:vAlign w:val="center"/>
          </w:tcPr>
          <w:p>
            <w:pPr>
              <w:widowControl/>
              <w:spacing w:line="240" w:lineRule="auto"/>
              <w:ind w:firstLine="0" w:firstLineChars="0"/>
              <w:jc w:val="center"/>
              <w:rPr>
                <w:color w:val="000000"/>
                <w:sz w:val="21"/>
                <w:szCs w:val="21"/>
              </w:rPr>
            </w:pPr>
          </w:p>
        </w:tc>
        <w:tc>
          <w:tcPr>
            <w:tcW w:w="477" w:type="dxa"/>
            <w:vMerge w:val="continue"/>
            <w:noWrap/>
            <w:vAlign w:val="center"/>
          </w:tcPr>
          <w:p>
            <w:pPr>
              <w:widowControl/>
              <w:spacing w:line="240" w:lineRule="auto"/>
              <w:ind w:firstLine="0" w:firstLineChars="0"/>
              <w:jc w:val="center"/>
              <w:rPr>
                <w:color w:val="000000"/>
                <w:sz w:val="21"/>
                <w:szCs w:val="21"/>
              </w:rPr>
            </w:pPr>
          </w:p>
        </w:tc>
        <w:tc>
          <w:tcPr>
            <w:tcW w:w="731" w:type="dxa"/>
            <w:vMerge w:val="continue"/>
            <w:noWrap w:val="0"/>
            <w:vAlign w:val="center"/>
          </w:tcPr>
          <w:p>
            <w:pPr>
              <w:widowControl/>
              <w:spacing w:line="240" w:lineRule="auto"/>
              <w:ind w:firstLine="0" w:firstLineChars="0"/>
              <w:jc w:val="center"/>
              <w:rPr>
                <w:color w:val="000000"/>
                <w:sz w:val="21"/>
                <w:szCs w:val="21"/>
              </w:rPr>
            </w:pPr>
          </w:p>
        </w:tc>
        <w:tc>
          <w:tcPr>
            <w:tcW w:w="861" w:type="dxa"/>
            <w:vMerge w:val="continue"/>
            <w:noWrap w:val="0"/>
            <w:vAlign w:val="center"/>
          </w:tcPr>
          <w:p>
            <w:pPr>
              <w:widowControl/>
              <w:spacing w:line="240" w:lineRule="auto"/>
              <w:ind w:firstLine="0" w:firstLineChars="0"/>
              <w:jc w:val="center"/>
              <w:rPr>
                <w:color w:val="000000"/>
                <w:sz w:val="21"/>
                <w:szCs w:val="21"/>
              </w:rPr>
            </w:pPr>
          </w:p>
        </w:tc>
        <w:tc>
          <w:tcPr>
            <w:tcW w:w="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原价</w:t>
            </w:r>
          </w:p>
        </w:tc>
        <w:tc>
          <w:tcPr>
            <w:tcW w:w="6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运杂费</w:t>
            </w:r>
          </w:p>
        </w:tc>
        <w:tc>
          <w:tcPr>
            <w:tcW w:w="79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保险费</w:t>
            </w:r>
          </w:p>
        </w:tc>
        <w:tc>
          <w:tcPr>
            <w:tcW w:w="8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到工地价格</w:t>
            </w:r>
          </w:p>
        </w:tc>
        <w:tc>
          <w:tcPr>
            <w:tcW w:w="8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采购及保管费</w:t>
            </w:r>
          </w:p>
        </w:tc>
        <w:tc>
          <w:tcPr>
            <w:tcW w:w="7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预算价格</w:t>
            </w:r>
          </w:p>
        </w:tc>
        <w:tc>
          <w:tcPr>
            <w:tcW w:w="7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材料限价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3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6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柴油</w:t>
            </w:r>
          </w:p>
        </w:tc>
        <w:tc>
          <w:tcPr>
            <w:tcW w:w="47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73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c>
          <w:tcPr>
            <w:tcW w:w="86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w:t>
            </w:r>
          </w:p>
        </w:tc>
        <w:tc>
          <w:tcPr>
            <w:tcW w:w="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8.84</w:t>
            </w:r>
          </w:p>
        </w:tc>
        <w:tc>
          <w:tcPr>
            <w:tcW w:w="6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0.027</w:t>
            </w:r>
          </w:p>
        </w:tc>
        <w:tc>
          <w:tcPr>
            <w:tcW w:w="79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0.040</w:t>
            </w:r>
          </w:p>
        </w:tc>
        <w:tc>
          <w:tcPr>
            <w:tcW w:w="8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8.91</w:t>
            </w:r>
          </w:p>
        </w:tc>
        <w:tc>
          <w:tcPr>
            <w:tcW w:w="8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w:t>
            </w:r>
          </w:p>
        </w:tc>
        <w:tc>
          <w:tcPr>
            <w:tcW w:w="7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9.10</w:t>
            </w:r>
          </w:p>
        </w:tc>
        <w:tc>
          <w:tcPr>
            <w:tcW w:w="7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3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67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汽油</w:t>
            </w:r>
          </w:p>
        </w:tc>
        <w:tc>
          <w:tcPr>
            <w:tcW w:w="47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73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c>
          <w:tcPr>
            <w:tcW w:w="86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w:t>
            </w:r>
          </w:p>
        </w:tc>
        <w:tc>
          <w:tcPr>
            <w:tcW w:w="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10.29</w:t>
            </w:r>
          </w:p>
        </w:tc>
        <w:tc>
          <w:tcPr>
            <w:tcW w:w="6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0.027</w:t>
            </w:r>
          </w:p>
        </w:tc>
        <w:tc>
          <w:tcPr>
            <w:tcW w:w="79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w:t>
            </w:r>
          </w:p>
        </w:tc>
        <w:tc>
          <w:tcPr>
            <w:tcW w:w="8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10.36</w:t>
            </w:r>
          </w:p>
        </w:tc>
        <w:tc>
          <w:tcPr>
            <w:tcW w:w="8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0.22</w:t>
            </w:r>
          </w:p>
        </w:tc>
        <w:tc>
          <w:tcPr>
            <w:tcW w:w="7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10.59</w:t>
            </w:r>
          </w:p>
        </w:tc>
        <w:tc>
          <w:tcPr>
            <w:tcW w:w="7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5.00</w:t>
            </w:r>
          </w:p>
        </w:tc>
      </w:tr>
    </w:tbl>
    <w:p>
      <w:pPr>
        <w:ind w:firstLine="528"/>
        <w:outlineLvl w:val="2"/>
        <w:rPr>
          <w:color w:val="000000"/>
          <w:spacing w:val="12"/>
          <w:szCs w:val="24"/>
        </w:rPr>
      </w:pPr>
      <w:r>
        <w:rPr>
          <w:color w:val="000000"/>
          <w:spacing w:val="12"/>
          <w:szCs w:val="24"/>
        </w:rPr>
        <w:t>c）施工机械台班费</w:t>
      </w:r>
    </w:p>
    <w:p>
      <w:pPr>
        <w:ind w:firstLine="528"/>
        <w:rPr>
          <w:color w:val="000000"/>
          <w:spacing w:val="12"/>
          <w:szCs w:val="24"/>
        </w:rPr>
      </w:pPr>
      <w:r>
        <w:rPr>
          <w:color w:val="000000"/>
          <w:spacing w:val="12"/>
          <w:szCs w:val="24"/>
        </w:rPr>
        <w:t>施工用电价格：施工用电按0.</w:t>
      </w:r>
      <w:r>
        <w:rPr>
          <w:rFonts w:hint="eastAsia"/>
          <w:color w:val="000000"/>
          <w:spacing w:val="12"/>
          <w:szCs w:val="24"/>
        </w:rPr>
        <w:t>72</w:t>
      </w:r>
      <w:r>
        <w:rPr>
          <w:color w:val="000000"/>
          <w:spacing w:val="12"/>
          <w:szCs w:val="24"/>
        </w:rPr>
        <w:t>元/度（含供电设施摊销及线路损耗费）。</w:t>
      </w:r>
    </w:p>
    <w:p>
      <w:pPr>
        <w:ind w:firstLine="528"/>
        <w:rPr>
          <w:color w:val="000000"/>
          <w:spacing w:val="12"/>
          <w:szCs w:val="24"/>
        </w:rPr>
      </w:pPr>
      <w:r>
        <w:rPr>
          <w:color w:val="000000"/>
          <w:spacing w:val="12"/>
          <w:szCs w:val="24"/>
        </w:rPr>
        <w:t>施工用水价格：施工用水按</w:t>
      </w:r>
      <w:r>
        <w:rPr>
          <w:rFonts w:hint="eastAsia"/>
          <w:color w:val="000000"/>
          <w:spacing w:val="12"/>
          <w:szCs w:val="24"/>
        </w:rPr>
        <w:t>2</w:t>
      </w:r>
      <w:r>
        <w:rPr>
          <w:color w:val="000000"/>
          <w:spacing w:val="12"/>
          <w:szCs w:val="24"/>
        </w:rPr>
        <w:t>元/m³。</w:t>
      </w:r>
    </w:p>
    <w:p>
      <w:pPr>
        <w:ind w:firstLine="528"/>
        <w:rPr>
          <w:color w:val="000000"/>
          <w:spacing w:val="12"/>
          <w:szCs w:val="24"/>
        </w:rPr>
      </w:pPr>
      <w:r>
        <w:rPr>
          <w:color w:val="000000"/>
          <w:spacing w:val="12"/>
          <w:szCs w:val="24"/>
        </w:rPr>
        <w:t>施工用风价格：施工用风按</w:t>
      </w:r>
      <w:r>
        <w:rPr>
          <w:rFonts w:hint="eastAsia"/>
          <w:color w:val="000000"/>
          <w:spacing w:val="12"/>
          <w:szCs w:val="24"/>
        </w:rPr>
        <w:t>0.10</w:t>
      </w:r>
      <w:r>
        <w:rPr>
          <w:color w:val="000000"/>
          <w:spacing w:val="12"/>
          <w:szCs w:val="24"/>
        </w:rPr>
        <w:t>元/m³。</w:t>
      </w:r>
    </w:p>
    <w:p>
      <w:pPr>
        <w:ind w:firstLine="528"/>
        <w:rPr>
          <w:color w:val="000000"/>
          <w:spacing w:val="12"/>
          <w:szCs w:val="24"/>
        </w:rPr>
      </w:pPr>
      <w:r>
        <w:rPr>
          <w:color w:val="000000"/>
          <w:spacing w:val="12"/>
          <w:szCs w:val="24"/>
        </w:rPr>
        <w:t>在施工机械使用费定额的计算中，台班费依据《土地开发整理项目施工机械台班费定额》。</w:t>
      </w:r>
    </w:p>
    <w:p>
      <w:pPr>
        <w:pStyle w:val="5"/>
        <w:adjustRightInd w:val="0"/>
        <w:snapToGrid w:val="0"/>
        <w:spacing w:before="0" w:after="0" w:line="360" w:lineRule="auto"/>
        <w:ind w:left="101" w:hanging="100" w:hangingChars="36"/>
        <w:rPr>
          <w:rFonts w:hint="eastAsia"/>
          <w:color w:val="000000"/>
          <w:szCs w:val="28"/>
        </w:rPr>
      </w:pPr>
      <w:r>
        <w:rPr>
          <w:rFonts w:hint="eastAsia"/>
          <w:color w:val="000000"/>
          <w:szCs w:val="28"/>
        </w:rPr>
        <w:t>7.1.3费用构成及取费标准</w:t>
      </w:r>
    </w:p>
    <w:p>
      <w:pPr>
        <w:ind w:firstLine="528"/>
        <w:rPr>
          <w:color w:val="000000"/>
          <w:spacing w:val="12"/>
          <w:szCs w:val="24"/>
        </w:rPr>
      </w:pPr>
      <w:r>
        <w:rPr>
          <w:color w:val="000000"/>
          <w:spacing w:val="12"/>
          <w:szCs w:val="24"/>
        </w:rPr>
        <w:t>参照201</w:t>
      </w:r>
      <w:r>
        <w:rPr>
          <w:rFonts w:hint="eastAsia"/>
          <w:color w:val="000000"/>
          <w:spacing w:val="12"/>
          <w:szCs w:val="24"/>
        </w:rPr>
        <w:t>6</w:t>
      </w:r>
      <w:r>
        <w:rPr>
          <w:color w:val="000000"/>
          <w:spacing w:val="12"/>
          <w:szCs w:val="24"/>
        </w:rPr>
        <w:t>年云南省国土资源</w:t>
      </w:r>
      <w:r>
        <w:rPr>
          <w:rFonts w:hint="eastAsia"/>
          <w:color w:val="000000"/>
          <w:spacing w:val="12"/>
          <w:szCs w:val="24"/>
        </w:rPr>
        <w:t>厅、</w:t>
      </w:r>
      <w:r>
        <w:rPr>
          <w:color w:val="000000"/>
          <w:spacing w:val="12"/>
          <w:szCs w:val="24"/>
        </w:rPr>
        <w:t>云南省财政厅编制的《土地开发整理项目预算定额标准云南省补充预算定额》和土地复垦方案编制规程-通则（TD/T1031.1-2011）的费用组成及取费标准，各类取费如下：</w:t>
      </w:r>
    </w:p>
    <w:p>
      <w:pPr>
        <w:ind w:firstLine="528"/>
        <w:outlineLvl w:val="2"/>
        <w:rPr>
          <w:color w:val="000000"/>
          <w:spacing w:val="12"/>
          <w:szCs w:val="24"/>
        </w:rPr>
      </w:pPr>
      <w:r>
        <w:rPr>
          <w:color w:val="000000"/>
          <w:spacing w:val="12"/>
          <w:szCs w:val="24"/>
        </w:rPr>
        <w:t>a）工程施工费</w:t>
      </w:r>
    </w:p>
    <w:p>
      <w:pPr>
        <w:ind w:firstLine="528"/>
        <w:rPr>
          <w:color w:val="000000"/>
          <w:spacing w:val="12"/>
          <w:szCs w:val="24"/>
        </w:rPr>
      </w:pPr>
      <w:r>
        <w:rPr>
          <w:color w:val="000000"/>
          <w:spacing w:val="12"/>
          <w:szCs w:val="24"/>
        </w:rPr>
        <w:t>工程施工费由直接费、间接费、利润和税金组成。</w:t>
      </w:r>
    </w:p>
    <w:p>
      <w:pPr>
        <w:ind w:firstLine="528"/>
        <w:rPr>
          <w:color w:val="000000"/>
          <w:spacing w:val="12"/>
          <w:szCs w:val="24"/>
        </w:rPr>
      </w:pPr>
      <w:r>
        <w:rPr>
          <w:color w:val="000000"/>
          <w:spacing w:val="12"/>
          <w:szCs w:val="24"/>
        </w:rPr>
        <w:t>1)直接费</w:t>
      </w:r>
    </w:p>
    <w:p>
      <w:pPr>
        <w:ind w:firstLine="528"/>
        <w:rPr>
          <w:color w:val="000000"/>
          <w:spacing w:val="12"/>
          <w:szCs w:val="24"/>
        </w:rPr>
      </w:pPr>
      <w:r>
        <w:rPr>
          <w:color w:val="000000"/>
          <w:spacing w:val="12"/>
          <w:szCs w:val="24"/>
        </w:rPr>
        <w:t>直接工程费：由人工费、材料费、施工机械使用费组成。</w:t>
      </w:r>
    </w:p>
    <w:p>
      <w:pPr>
        <w:ind w:firstLine="528"/>
        <w:rPr>
          <w:rFonts w:hint="eastAsia"/>
          <w:color w:val="000000"/>
          <w:spacing w:val="12"/>
          <w:szCs w:val="24"/>
        </w:rPr>
      </w:pPr>
      <w:r>
        <w:rPr>
          <w:rFonts w:hint="eastAsia"/>
          <w:color w:val="000000"/>
          <w:spacing w:val="12"/>
          <w:szCs w:val="24"/>
        </w:rPr>
        <w:t>人工费=人工消耗量×定额人工单价</w:t>
      </w:r>
    </w:p>
    <w:p>
      <w:pPr>
        <w:ind w:firstLine="528"/>
        <w:rPr>
          <w:rFonts w:hint="eastAsia"/>
          <w:color w:val="000000"/>
          <w:spacing w:val="12"/>
          <w:szCs w:val="24"/>
        </w:rPr>
      </w:pPr>
      <w:r>
        <w:rPr>
          <w:rFonts w:hint="eastAsia"/>
          <w:color w:val="000000"/>
          <w:spacing w:val="12"/>
          <w:szCs w:val="24"/>
        </w:rPr>
        <w:t>材料费=材料消耗量×材料单价</w:t>
      </w:r>
    </w:p>
    <w:p>
      <w:pPr>
        <w:ind w:firstLine="528"/>
        <w:rPr>
          <w:rFonts w:hint="eastAsia"/>
          <w:color w:val="000000"/>
          <w:spacing w:val="12"/>
          <w:szCs w:val="24"/>
        </w:rPr>
      </w:pPr>
      <w:r>
        <w:rPr>
          <w:rFonts w:hint="eastAsia"/>
          <w:color w:val="000000"/>
          <w:spacing w:val="12"/>
          <w:szCs w:val="24"/>
        </w:rPr>
        <w:t>施工机械使用费=机械台班消耗量*定额机械台班单价</w:t>
      </w:r>
    </w:p>
    <w:p>
      <w:pPr>
        <w:ind w:firstLine="528"/>
        <w:rPr>
          <w:rFonts w:hint="eastAsia"/>
          <w:color w:val="000000"/>
          <w:spacing w:val="12"/>
          <w:szCs w:val="24"/>
        </w:rPr>
      </w:pPr>
      <w:r>
        <w:rPr>
          <w:rFonts w:hint="eastAsia"/>
          <w:color w:val="000000"/>
          <w:spacing w:val="12"/>
          <w:szCs w:val="24"/>
        </w:rPr>
        <w:t>人工费定额：依据《编规》的有关要求，人工费按技术等级分甲类工、乙类工共两类计取。</w:t>
      </w:r>
    </w:p>
    <w:p>
      <w:pPr>
        <w:ind w:firstLine="528"/>
        <w:rPr>
          <w:rFonts w:hint="eastAsia"/>
          <w:color w:val="000000"/>
          <w:spacing w:val="12"/>
          <w:szCs w:val="24"/>
        </w:rPr>
      </w:pPr>
      <w:r>
        <w:rPr>
          <w:rFonts w:hint="eastAsia"/>
          <w:color w:val="000000"/>
          <w:spacing w:val="12"/>
          <w:szCs w:val="24"/>
        </w:rPr>
        <w:t>材料费定额：材料消耗量依据《预算定额》计取。</w:t>
      </w:r>
    </w:p>
    <w:p>
      <w:pPr>
        <w:ind w:firstLine="528"/>
        <w:rPr>
          <w:color w:val="000000"/>
          <w:spacing w:val="12"/>
          <w:szCs w:val="24"/>
        </w:rPr>
      </w:pPr>
      <w:r>
        <w:rPr>
          <w:rFonts w:hint="eastAsia"/>
          <w:color w:val="000000"/>
          <w:spacing w:val="12"/>
          <w:szCs w:val="24"/>
        </w:rPr>
        <w:t>施工机械使用费定额：依据《机械台班定额》标准计取。</w:t>
      </w:r>
    </w:p>
    <w:p>
      <w:pPr>
        <w:ind w:firstLine="528"/>
        <w:rPr>
          <w:rFonts w:hint="eastAsia"/>
          <w:color w:val="000000"/>
          <w:spacing w:val="12"/>
          <w:szCs w:val="24"/>
        </w:rPr>
      </w:pPr>
      <w:r>
        <w:rPr>
          <w:color w:val="000000"/>
          <w:spacing w:val="12"/>
          <w:szCs w:val="24"/>
        </w:rPr>
        <w:t>措施费：</w:t>
      </w:r>
      <w:r>
        <w:rPr>
          <w:rFonts w:hint="eastAsia"/>
          <w:color w:val="000000"/>
          <w:spacing w:val="12"/>
          <w:szCs w:val="24"/>
        </w:rPr>
        <w:t>包括临时设施费、冬雨季施工增加费、夜间施工增加费（该费用本项目不涉及）、施工辅助费和特殊地区施工增加费（该费用本项目不涉及）。</w:t>
      </w:r>
    </w:p>
    <w:p>
      <w:pPr>
        <w:ind w:firstLine="528"/>
        <w:rPr>
          <w:rFonts w:hint="eastAsia"/>
          <w:color w:val="000000"/>
          <w:spacing w:val="12"/>
          <w:szCs w:val="24"/>
        </w:rPr>
      </w:pPr>
      <w:r>
        <w:rPr>
          <w:rFonts w:hint="eastAsia"/>
          <w:color w:val="000000"/>
          <w:spacing w:val="12"/>
          <w:szCs w:val="24"/>
        </w:rPr>
        <w:t>依据《编规》规定，临时设施费取费标准以直接工程费（或人工费）为基数，费率如下表所示:</w:t>
      </w:r>
    </w:p>
    <w:p>
      <w:pPr>
        <w:overflowPunct w:val="0"/>
        <w:adjustRightInd w:val="0"/>
        <w:snapToGrid w:val="0"/>
        <w:spacing w:after="62" w:afterLines="20" w:line="500" w:lineRule="exact"/>
        <w:ind w:firstLine="0" w:firstLineChars="0"/>
        <w:jc w:val="center"/>
        <w:rPr>
          <w:b/>
          <w:color w:val="000000"/>
          <w:spacing w:val="12"/>
          <w:sz w:val="21"/>
          <w:szCs w:val="21"/>
        </w:rPr>
      </w:pPr>
      <w:r>
        <w:rPr>
          <w:b/>
          <w:color w:val="000000"/>
          <w:spacing w:val="12"/>
          <w:sz w:val="21"/>
          <w:szCs w:val="21"/>
          <w:highlight w:val="yellow"/>
        </w:rPr>
        <w:br w:type="page"/>
      </w:r>
      <w:r>
        <w:rPr>
          <w:rFonts w:eastAsia="黑体"/>
          <w:bCs/>
          <w:color w:val="000000"/>
          <w:spacing w:val="12"/>
          <w:sz w:val="21"/>
          <w:szCs w:val="21"/>
        </w:rPr>
        <w:t>表</w:t>
      </w:r>
      <w:r>
        <w:rPr>
          <w:rFonts w:hint="eastAsia" w:eastAsia="黑体"/>
          <w:bCs/>
          <w:color w:val="000000"/>
          <w:spacing w:val="12"/>
          <w:sz w:val="21"/>
          <w:szCs w:val="21"/>
        </w:rPr>
        <w:t>7</w:t>
      </w:r>
      <w:r>
        <w:rPr>
          <w:rFonts w:eastAsia="黑体"/>
          <w:bCs/>
          <w:color w:val="000000"/>
          <w:spacing w:val="12"/>
          <w:sz w:val="21"/>
          <w:szCs w:val="21"/>
        </w:rPr>
        <w:t>-4临时设施费取费标准表</w:t>
      </w:r>
    </w:p>
    <w:tbl>
      <w:tblPr>
        <w:tblStyle w:val="25"/>
        <w:tblW w:w="8342"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2"/>
        <w:gridCol w:w="1089"/>
        <w:gridCol w:w="1178"/>
        <w:gridCol w:w="1135"/>
        <w:gridCol w:w="1276"/>
        <w:gridCol w:w="853"/>
        <w:gridCol w:w="1135"/>
        <w:gridCol w:w="1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jc w:val="center"/>
        </w:trPr>
        <w:tc>
          <w:tcPr>
            <w:tcW w:w="582" w:type="dxa"/>
            <w:vMerge w:val="restart"/>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序号</w:t>
            </w:r>
          </w:p>
        </w:tc>
        <w:tc>
          <w:tcPr>
            <w:tcW w:w="1089" w:type="dxa"/>
            <w:vMerge w:val="restart"/>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工程类别</w:t>
            </w:r>
          </w:p>
        </w:tc>
        <w:tc>
          <w:tcPr>
            <w:tcW w:w="1178" w:type="dxa"/>
            <w:vMerge w:val="restart"/>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计算基础</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临时设施费费率（%）</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冬雨季施工增加费费率（%）</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施工辅助费（%）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安全施工措施费（%）</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措施费费率（%）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jc w:val="center"/>
        </w:trPr>
        <w:tc>
          <w:tcPr>
            <w:tcW w:w="582" w:type="dxa"/>
            <w:vMerge w:val="continue"/>
            <w:noWrap w:val="0"/>
            <w:vAlign w:val="center"/>
          </w:tcPr>
          <w:p>
            <w:pPr>
              <w:widowControl/>
              <w:spacing w:line="280" w:lineRule="exact"/>
              <w:ind w:firstLine="0" w:firstLineChars="0"/>
              <w:jc w:val="center"/>
              <w:rPr>
                <w:color w:val="000000"/>
                <w:kern w:val="0"/>
                <w:sz w:val="21"/>
                <w:szCs w:val="21"/>
              </w:rPr>
            </w:pPr>
          </w:p>
        </w:tc>
        <w:tc>
          <w:tcPr>
            <w:tcW w:w="1089" w:type="dxa"/>
            <w:vMerge w:val="continue"/>
            <w:noWrap w:val="0"/>
            <w:vAlign w:val="center"/>
          </w:tcPr>
          <w:p>
            <w:pPr>
              <w:widowControl/>
              <w:spacing w:line="280" w:lineRule="exact"/>
              <w:ind w:firstLine="0" w:firstLineChars="0"/>
              <w:jc w:val="center"/>
              <w:rPr>
                <w:color w:val="000000"/>
                <w:kern w:val="0"/>
                <w:sz w:val="21"/>
                <w:szCs w:val="21"/>
              </w:rPr>
            </w:pPr>
          </w:p>
        </w:tc>
        <w:tc>
          <w:tcPr>
            <w:tcW w:w="1178" w:type="dxa"/>
            <w:vMerge w:val="continue"/>
            <w:noWrap w:val="0"/>
            <w:vAlign w:val="center"/>
          </w:tcPr>
          <w:p>
            <w:pPr>
              <w:widowControl/>
              <w:spacing w:line="280" w:lineRule="exact"/>
              <w:ind w:firstLine="0" w:firstLineChars="0"/>
              <w:jc w:val="center"/>
              <w:rPr>
                <w:color w:val="000000"/>
                <w:kern w:val="0"/>
                <w:sz w:val="21"/>
                <w:szCs w:val="21"/>
              </w:rPr>
            </w:pP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(2)</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(3)</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(4)</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(5)=(1)+(2)+(3)+(4)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土方工程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2</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0.7</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0.2</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2</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石方工程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2</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0.7</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0.2</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3</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砌体工程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2</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0.7</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0.2</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4</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混凝土工程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3</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0.7</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0.2</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5</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农用井工程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3</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0.7</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0.2</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6</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其他工程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2</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0.7</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0.2</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58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7</w:t>
            </w:r>
          </w:p>
        </w:tc>
        <w:tc>
          <w:tcPr>
            <w:tcW w:w="1089"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安装工程</w:t>
            </w:r>
          </w:p>
        </w:tc>
        <w:tc>
          <w:tcPr>
            <w:tcW w:w="117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直接工程费</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3</w:t>
            </w:r>
          </w:p>
        </w:tc>
        <w:tc>
          <w:tcPr>
            <w:tcW w:w="1276"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1.1</w:t>
            </w:r>
          </w:p>
        </w:tc>
        <w:tc>
          <w:tcPr>
            <w:tcW w:w="853"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1</w:t>
            </w:r>
          </w:p>
        </w:tc>
        <w:tc>
          <w:tcPr>
            <w:tcW w:w="1135"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0.3</w:t>
            </w:r>
          </w:p>
        </w:tc>
        <w:tc>
          <w:tcPr>
            <w:tcW w:w="1094"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5.4</w:t>
            </w:r>
          </w:p>
        </w:tc>
      </w:tr>
    </w:tbl>
    <w:p>
      <w:pPr>
        <w:ind w:firstLine="528"/>
        <w:rPr>
          <w:rFonts w:hint="eastAsia"/>
          <w:color w:val="000000"/>
          <w:spacing w:val="12"/>
          <w:szCs w:val="24"/>
        </w:rPr>
      </w:pPr>
      <w:r>
        <w:rPr>
          <w:rFonts w:hint="eastAsia"/>
          <w:color w:val="000000"/>
          <w:spacing w:val="12"/>
          <w:szCs w:val="24"/>
        </w:rPr>
        <w:t>注：冬雨季施工增加费以直接工程费为计费基数，费率为0.7～1.5%，本项目有部分工程在冬雨季施工，因此，费率取中值，为1.1%；</w:t>
      </w:r>
    </w:p>
    <w:p>
      <w:pPr>
        <w:ind w:firstLine="528"/>
        <w:rPr>
          <w:rFonts w:hint="eastAsia"/>
          <w:color w:val="000000"/>
          <w:spacing w:val="12"/>
          <w:szCs w:val="24"/>
        </w:rPr>
      </w:pPr>
      <w:r>
        <w:rPr>
          <w:rFonts w:hint="eastAsia"/>
          <w:color w:val="000000"/>
          <w:spacing w:val="12"/>
          <w:szCs w:val="24"/>
        </w:rPr>
        <w:t>施工辅助费以直接工程费为计费基数，其中，安装工程的费率为1.0%，建筑工程的费率为0.7%；</w:t>
      </w:r>
    </w:p>
    <w:p>
      <w:pPr>
        <w:ind w:firstLine="528"/>
        <w:rPr>
          <w:rFonts w:hint="eastAsia"/>
          <w:color w:val="000000"/>
          <w:spacing w:val="12"/>
          <w:szCs w:val="24"/>
        </w:rPr>
      </w:pPr>
      <w:r>
        <w:rPr>
          <w:rFonts w:hint="eastAsia"/>
          <w:color w:val="000000"/>
          <w:spacing w:val="12"/>
          <w:szCs w:val="24"/>
        </w:rPr>
        <w:t>安全施工措施费以直接工程费为计费基数，其中，安装工程的费率为0.3%，建筑工程的费率为0.2%。</w:t>
      </w:r>
    </w:p>
    <w:p>
      <w:pPr>
        <w:ind w:firstLine="528"/>
        <w:rPr>
          <w:color w:val="000000"/>
          <w:spacing w:val="12"/>
          <w:szCs w:val="24"/>
        </w:rPr>
      </w:pPr>
      <w:r>
        <w:rPr>
          <w:color w:val="000000"/>
          <w:spacing w:val="12"/>
          <w:szCs w:val="24"/>
        </w:rPr>
        <w:t>2）间接费</w:t>
      </w:r>
    </w:p>
    <w:p>
      <w:pPr>
        <w:ind w:firstLine="528"/>
        <w:rPr>
          <w:rFonts w:hint="eastAsia"/>
          <w:color w:val="000000"/>
          <w:spacing w:val="12"/>
          <w:szCs w:val="24"/>
        </w:rPr>
      </w:pPr>
      <w:r>
        <w:rPr>
          <w:rFonts w:hint="eastAsia"/>
          <w:color w:val="000000"/>
          <w:spacing w:val="12"/>
          <w:szCs w:val="24"/>
        </w:rPr>
        <w:t>依据《编规》规定，按工程类别不同，其取费基数和费率如下表所示：</w:t>
      </w:r>
    </w:p>
    <w:p>
      <w:pPr>
        <w:spacing w:line="320" w:lineRule="exact"/>
        <w:ind w:firstLine="420"/>
        <w:jc w:val="center"/>
        <w:rPr>
          <w:rFonts w:eastAsia="黑体"/>
          <w:color w:val="000000"/>
          <w:sz w:val="21"/>
          <w:szCs w:val="21"/>
        </w:rPr>
      </w:pPr>
      <w:r>
        <w:rPr>
          <w:rFonts w:eastAsia="黑体"/>
          <w:color w:val="000000"/>
          <w:sz w:val="21"/>
          <w:szCs w:val="21"/>
        </w:rPr>
        <w:t>表</w:t>
      </w:r>
      <w:r>
        <w:rPr>
          <w:rFonts w:hint="eastAsia" w:eastAsia="黑体"/>
          <w:color w:val="000000"/>
          <w:sz w:val="21"/>
          <w:szCs w:val="21"/>
        </w:rPr>
        <w:t>7</w:t>
      </w:r>
      <w:r>
        <w:rPr>
          <w:rFonts w:eastAsia="黑体"/>
          <w:color w:val="000000"/>
          <w:sz w:val="21"/>
          <w:szCs w:val="21"/>
        </w:rPr>
        <w:t>-5间接费费率表</w:t>
      </w:r>
    </w:p>
    <w:tbl>
      <w:tblPr>
        <w:tblStyle w:val="25"/>
        <w:tblW w:w="85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8"/>
        <w:gridCol w:w="3212"/>
        <w:gridCol w:w="29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工程类别</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计算基础</w:t>
            </w:r>
          </w:p>
        </w:tc>
        <w:tc>
          <w:tcPr>
            <w:tcW w:w="2908" w:type="dxa"/>
            <w:noWrap w:val="0"/>
            <w:vAlign w:val="center"/>
          </w:tcPr>
          <w:p>
            <w:pPr>
              <w:widowControl/>
              <w:spacing w:line="280" w:lineRule="exact"/>
              <w:ind w:left="2" w:firstLine="0" w:firstLineChars="0"/>
              <w:jc w:val="center"/>
              <w:rPr>
                <w:color w:val="000000"/>
                <w:kern w:val="0"/>
                <w:sz w:val="21"/>
                <w:szCs w:val="21"/>
              </w:rPr>
            </w:pPr>
            <w:r>
              <w:rPr>
                <w:color w:val="000000"/>
                <w:kern w:val="0"/>
                <w:sz w:val="21"/>
                <w:szCs w:val="21"/>
              </w:rPr>
              <w:t>间接费费率（%）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土方工程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5.45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石方工程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6.45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砌体工程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5.45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混凝土工程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6.45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农用井工程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8.45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其他工程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5.45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08"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安装工程</w:t>
            </w:r>
          </w:p>
        </w:tc>
        <w:tc>
          <w:tcPr>
            <w:tcW w:w="3212" w:type="dxa"/>
            <w:noWrap w:val="0"/>
            <w:vAlign w:val="center"/>
          </w:tcPr>
          <w:p>
            <w:pPr>
              <w:widowControl/>
              <w:spacing w:line="280" w:lineRule="exact"/>
              <w:ind w:firstLine="0" w:firstLineChars="0"/>
              <w:jc w:val="center"/>
              <w:rPr>
                <w:color w:val="000000"/>
                <w:kern w:val="0"/>
                <w:sz w:val="21"/>
                <w:szCs w:val="21"/>
              </w:rPr>
            </w:pPr>
            <w:r>
              <w:rPr>
                <w:color w:val="000000"/>
                <w:kern w:val="0"/>
                <w:sz w:val="21"/>
                <w:szCs w:val="21"/>
              </w:rPr>
              <w:t>直接费</w:t>
            </w:r>
          </w:p>
        </w:tc>
        <w:tc>
          <w:tcPr>
            <w:tcW w:w="2908" w:type="dxa"/>
            <w:noWrap w:val="0"/>
            <w:vAlign w:val="center"/>
          </w:tcPr>
          <w:p>
            <w:pPr>
              <w:spacing w:line="280" w:lineRule="exact"/>
              <w:ind w:firstLine="0" w:firstLineChars="0"/>
              <w:jc w:val="center"/>
              <w:rPr>
                <w:color w:val="000000"/>
                <w:kern w:val="0"/>
                <w:sz w:val="21"/>
                <w:szCs w:val="21"/>
              </w:rPr>
            </w:pPr>
            <w:r>
              <w:rPr>
                <w:color w:val="000000"/>
                <w:kern w:val="0"/>
                <w:sz w:val="21"/>
                <w:szCs w:val="21"/>
              </w:rPr>
              <w:t>65.00</w:t>
            </w:r>
          </w:p>
        </w:tc>
      </w:tr>
    </w:tbl>
    <w:p>
      <w:pPr>
        <w:ind w:firstLine="528"/>
        <w:rPr>
          <w:color w:val="000000"/>
          <w:spacing w:val="12"/>
          <w:szCs w:val="24"/>
        </w:rPr>
      </w:pPr>
      <w:r>
        <w:rPr>
          <w:color w:val="000000"/>
          <w:spacing w:val="12"/>
          <w:szCs w:val="24"/>
        </w:rPr>
        <w:t>3）利润</w:t>
      </w:r>
    </w:p>
    <w:p>
      <w:pPr>
        <w:ind w:firstLine="528"/>
        <w:rPr>
          <w:color w:val="000000"/>
          <w:spacing w:val="12"/>
          <w:szCs w:val="24"/>
          <w:highlight w:val="yellow"/>
        </w:rPr>
      </w:pPr>
      <w:r>
        <w:rPr>
          <w:rFonts w:hint="eastAsia"/>
          <w:color w:val="000000"/>
          <w:spacing w:val="12"/>
          <w:szCs w:val="24"/>
        </w:rPr>
        <w:t>利润是指施工企业完成所承包工程获得的盈利，依据《编规》规定，费率取3%，其计费基数为直接费和间接费之和。</w:t>
      </w:r>
    </w:p>
    <w:p>
      <w:pPr>
        <w:ind w:firstLine="528"/>
        <w:rPr>
          <w:color w:val="000000"/>
          <w:spacing w:val="12"/>
          <w:szCs w:val="24"/>
        </w:rPr>
      </w:pPr>
      <w:r>
        <w:rPr>
          <w:color w:val="000000"/>
          <w:spacing w:val="12"/>
          <w:szCs w:val="24"/>
        </w:rPr>
        <w:t>4）税金</w:t>
      </w:r>
    </w:p>
    <w:p>
      <w:pPr>
        <w:ind w:firstLine="528"/>
        <w:rPr>
          <w:color w:val="000000"/>
          <w:spacing w:val="12"/>
          <w:szCs w:val="24"/>
        </w:rPr>
      </w:pPr>
      <w:r>
        <w:rPr>
          <w:rFonts w:hint="eastAsia"/>
          <w:color w:val="000000"/>
          <w:spacing w:val="12"/>
          <w:szCs w:val="24"/>
        </w:rPr>
        <w:t>依据云南省住房和城乡建设厅关于《重新调整云南省建设工程造价计价依据中税金综合税率的通知》云建科函〔2019</w:t>
      </w:r>
      <w:r>
        <w:rPr>
          <w:color w:val="000000"/>
          <w:spacing w:val="12"/>
          <w:szCs w:val="24"/>
        </w:rPr>
        <w:t>〕</w:t>
      </w:r>
      <w:r>
        <w:rPr>
          <w:rFonts w:hint="eastAsia"/>
          <w:color w:val="000000"/>
          <w:spacing w:val="12"/>
          <w:szCs w:val="24"/>
        </w:rPr>
        <w:t>62号</w:t>
      </w:r>
      <w:r>
        <w:rPr>
          <w:rFonts w:hint="eastAsia"/>
          <w:color w:val="000000"/>
          <w:spacing w:val="12"/>
          <w:szCs w:val="24"/>
          <w:lang w:eastAsia="zh-CN"/>
        </w:rPr>
        <w:t>、《云南省国土资源厅关于加强土地复垦费用监管的通知》云国土资耕〔2014〕3号、《云南省国土资源厅 云南省财政厅关于土地整治工程营业税改征增值税计价依据调整过渡实施方案的通知》云国土资〔2017〕232号</w:t>
      </w:r>
      <w:r>
        <w:rPr>
          <w:rFonts w:hint="eastAsia"/>
          <w:color w:val="000000"/>
          <w:spacing w:val="12"/>
          <w:szCs w:val="24"/>
        </w:rPr>
        <w:t>以及水利部办公厅关于《调整水利工程计价依据增值税计算标准的通知》办财务函〔2019</w:t>
      </w:r>
      <w:r>
        <w:rPr>
          <w:color w:val="000000"/>
          <w:spacing w:val="12"/>
          <w:szCs w:val="24"/>
        </w:rPr>
        <w:t>〕</w:t>
      </w:r>
      <w:r>
        <w:rPr>
          <w:rFonts w:hint="eastAsia"/>
          <w:color w:val="000000"/>
          <w:spacing w:val="12"/>
          <w:szCs w:val="24"/>
        </w:rPr>
        <w:t>448号文件要求，</w:t>
      </w:r>
      <w:r>
        <w:rPr>
          <w:color w:val="000000"/>
          <w:spacing w:val="12"/>
          <w:szCs w:val="24"/>
        </w:rPr>
        <w:t>税金=（直接费+间接费+利润</w:t>
      </w:r>
      <w:r>
        <w:rPr>
          <w:rFonts w:hint="eastAsia"/>
          <w:color w:val="000000"/>
          <w:spacing w:val="12"/>
          <w:szCs w:val="24"/>
        </w:rPr>
        <w:t>+材料价差+未计价材料费</w:t>
      </w:r>
      <w:r>
        <w:rPr>
          <w:color w:val="000000"/>
          <w:spacing w:val="12"/>
          <w:szCs w:val="24"/>
        </w:rPr>
        <w:t>）×</w:t>
      </w:r>
      <w:r>
        <w:rPr>
          <w:rFonts w:hint="eastAsia"/>
          <w:color w:val="000000"/>
          <w:spacing w:val="12"/>
          <w:szCs w:val="24"/>
        </w:rPr>
        <w:t>9.0</w:t>
      </w:r>
      <w:r>
        <w:rPr>
          <w:color w:val="000000"/>
          <w:spacing w:val="12"/>
          <w:szCs w:val="24"/>
        </w:rPr>
        <w:t>%。</w:t>
      </w:r>
    </w:p>
    <w:p>
      <w:pPr>
        <w:ind w:firstLine="528"/>
        <w:outlineLvl w:val="2"/>
        <w:rPr>
          <w:color w:val="000000"/>
          <w:spacing w:val="12"/>
          <w:szCs w:val="24"/>
        </w:rPr>
      </w:pPr>
      <w:r>
        <w:rPr>
          <w:rFonts w:hint="eastAsia"/>
          <w:color w:val="000000"/>
          <w:spacing w:val="12"/>
          <w:szCs w:val="24"/>
        </w:rPr>
        <w:t>b</w:t>
      </w:r>
      <w:r>
        <w:rPr>
          <w:color w:val="000000"/>
          <w:spacing w:val="12"/>
          <w:szCs w:val="24"/>
        </w:rPr>
        <w:t>）设备购置费</w:t>
      </w:r>
    </w:p>
    <w:p>
      <w:pPr>
        <w:ind w:firstLine="528"/>
        <w:rPr>
          <w:color w:val="000000"/>
          <w:spacing w:val="12"/>
          <w:szCs w:val="24"/>
        </w:rPr>
      </w:pPr>
      <w:r>
        <w:rPr>
          <w:color w:val="000000"/>
          <w:spacing w:val="12"/>
          <w:szCs w:val="24"/>
        </w:rPr>
        <w:t>本项目</w:t>
      </w:r>
      <w:r>
        <w:rPr>
          <w:rFonts w:hint="eastAsia"/>
          <w:color w:val="000000"/>
          <w:spacing w:val="12"/>
          <w:szCs w:val="24"/>
        </w:rPr>
        <w:t>无设备购置</w:t>
      </w:r>
      <w:r>
        <w:rPr>
          <w:color w:val="000000"/>
          <w:spacing w:val="12"/>
          <w:szCs w:val="24"/>
        </w:rPr>
        <w:t>。</w:t>
      </w:r>
    </w:p>
    <w:p>
      <w:pPr>
        <w:ind w:firstLine="528"/>
        <w:outlineLvl w:val="2"/>
        <w:rPr>
          <w:color w:val="000000"/>
          <w:spacing w:val="12"/>
          <w:szCs w:val="24"/>
        </w:rPr>
      </w:pPr>
      <w:r>
        <w:rPr>
          <w:rFonts w:hint="eastAsia"/>
          <w:color w:val="000000"/>
          <w:spacing w:val="12"/>
          <w:szCs w:val="24"/>
        </w:rPr>
        <w:t>c</w:t>
      </w:r>
      <w:r>
        <w:rPr>
          <w:color w:val="000000"/>
          <w:spacing w:val="12"/>
          <w:szCs w:val="24"/>
        </w:rPr>
        <w:t>）其他费用</w:t>
      </w:r>
    </w:p>
    <w:p>
      <w:pPr>
        <w:ind w:firstLine="528"/>
        <w:rPr>
          <w:color w:val="000000"/>
          <w:spacing w:val="12"/>
          <w:szCs w:val="24"/>
        </w:rPr>
      </w:pPr>
      <w:r>
        <w:rPr>
          <w:color w:val="000000"/>
          <w:spacing w:val="12"/>
          <w:szCs w:val="24"/>
        </w:rPr>
        <w:t>1）前期工作费</w:t>
      </w:r>
    </w:p>
    <w:p>
      <w:pPr>
        <w:ind w:firstLine="528"/>
        <w:rPr>
          <w:color w:val="000000"/>
          <w:spacing w:val="12"/>
          <w:szCs w:val="24"/>
        </w:rPr>
      </w:pPr>
      <w:r>
        <w:rPr>
          <w:rFonts w:hint="eastAsia"/>
          <w:color w:val="000000"/>
          <w:spacing w:val="12"/>
          <w:szCs w:val="24"/>
        </w:rPr>
        <w:t>①</w:t>
      </w:r>
      <w:r>
        <w:rPr>
          <w:color w:val="000000"/>
          <w:spacing w:val="12"/>
          <w:szCs w:val="24"/>
        </w:rPr>
        <w:t>土地清查费=工程施工费×0.5%；</w:t>
      </w:r>
    </w:p>
    <w:p>
      <w:pPr>
        <w:ind w:firstLine="528"/>
        <w:rPr>
          <w:rFonts w:hint="eastAsia"/>
          <w:color w:val="000000"/>
          <w:spacing w:val="12"/>
          <w:szCs w:val="24"/>
        </w:rPr>
      </w:pPr>
      <w:r>
        <w:rPr>
          <w:rFonts w:hint="eastAsia"/>
          <w:color w:val="000000"/>
          <w:spacing w:val="12"/>
          <w:szCs w:val="24"/>
        </w:rPr>
        <w:t>②</w:t>
      </w:r>
      <w:r>
        <w:rPr>
          <w:color w:val="000000"/>
          <w:spacing w:val="12"/>
          <w:szCs w:val="24"/>
        </w:rPr>
        <w:t>项目可行性研究费：</w:t>
      </w:r>
      <w:r>
        <w:rPr>
          <w:rFonts w:hint="eastAsia"/>
          <w:color w:val="000000"/>
          <w:spacing w:val="12"/>
          <w:szCs w:val="24"/>
        </w:rPr>
        <w:t>本项目不涉及可行性研究费；</w:t>
      </w:r>
    </w:p>
    <w:p>
      <w:pPr>
        <w:ind w:firstLine="528"/>
        <w:rPr>
          <w:rFonts w:hint="eastAsia"/>
          <w:color w:val="000000"/>
          <w:spacing w:val="12"/>
          <w:szCs w:val="24"/>
        </w:rPr>
      </w:pPr>
      <w:r>
        <w:rPr>
          <w:rFonts w:hint="eastAsia"/>
          <w:color w:val="000000"/>
          <w:spacing w:val="12"/>
          <w:szCs w:val="24"/>
        </w:rPr>
        <w:t>③</w:t>
      </w:r>
      <w:r>
        <w:rPr>
          <w:color w:val="000000"/>
          <w:spacing w:val="12"/>
          <w:szCs w:val="24"/>
        </w:rPr>
        <w:t>项目勘测费：</w:t>
      </w:r>
      <w:r>
        <w:rPr>
          <w:rFonts w:hint="eastAsia"/>
          <w:color w:val="000000"/>
          <w:spacing w:val="12"/>
          <w:szCs w:val="24"/>
        </w:rPr>
        <w:t>根据《定额标准》，项目勘测费按工程施工费的1.5%计算，本项目属丘陵地貌，乘以1.1的调整系数；</w:t>
      </w:r>
    </w:p>
    <w:p>
      <w:pPr>
        <w:ind w:firstLine="528"/>
        <w:rPr>
          <w:rFonts w:hint="eastAsia"/>
          <w:color w:val="000000"/>
          <w:spacing w:val="12"/>
          <w:szCs w:val="24"/>
        </w:rPr>
      </w:pPr>
      <w:r>
        <w:rPr>
          <w:rFonts w:hint="eastAsia"/>
          <w:color w:val="000000"/>
          <w:spacing w:val="12"/>
          <w:szCs w:val="24"/>
        </w:rPr>
        <w:t>④项目设计与预算编制费：根据《定额标准》，项目设计与预算编制费以工程施工费与设备购置费之和作为计费基数，采用分档定额计费方式计算（项目地貌类型为丘陵/山区的可乘以1.1的调整系数），各区间按插值法确定；</w:t>
      </w:r>
    </w:p>
    <w:p>
      <w:pPr>
        <w:ind w:firstLine="0" w:firstLineChars="0"/>
        <w:jc w:val="center"/>
        <w:rPr>
          <w:rFonts w:eastAsia="黑体"/>
          <w:sz w:val="21"/>
          <w:szCs w:val="21"/>
        </w:rPr>
      </w:pPr>
      <w:r>
        <w:rPr>
          <w:rFonts w:eastAsia="黑体"/>
          <w:sz w:val="21"/>
          <w:szCs w:val="21"/>
        </w:rPr>
        <w:t>表</w:t>
      </w:r>
      <w:r>
        <w:rPr>
          <w:rFonts w:hint="eastAsia" w:eastAsia="黑体"/>
          <w:sz w:val="21"/>
          <w:szCs w:val="21"/>
        </w:rPr>
        <w:t>7</w:t>
      </w:r>
      <w:r>
        <w:rPr>
          <w:rFonts w:eastAsia="黑体"/>
          <w:sz w:val="21"/>
          <w:szCs w:val="21"/>
        </w:rPr>
        <w:t>-6项目设计与预算编制费计费标准</w:t>
      </w:r>
    </w:p>
    <w:tbl>
      <w:tblPr>
        <w:tblStyle w:val="25"/>
        <w:tblW w:w="852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4297"/>
        <w:gridCol w:w="2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2789" w:type="dxa"/>
            <w:noWrap w:val="0"/>
            <w:vAlign w:val="center"/>
          </w:tcPr>
          <w:p>
            <w:pPr>
              <w:widowControl/>
              <w:spacing w:line="240" w:lineRule="auto"/>
              <w:ind w:firstLine="0" w:firstLineChars="0"/>
              <w:jc w:val="center"/>
              <w:rPr>
                <w:kern w:val="0"/>
                <w:sz w:val="21"/>
                <w:szCs w:val="21"/>
              </w:rPr>
            </w:pPr>
            <w:r>
              <w:rPr>
                <w:rFonts w:hint="eastAsia"/>
                <w:kern w:val="0"/>
                <w:sz w:val="21"/>
                <w:szCs w:val="21"/>
              </w:rPr>
              <w:t>设计及预算编制费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≤200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8000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20000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9</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40000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487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10</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60000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11</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80000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906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0" w:type="dxa"/>
            <w:noWrap w:val="0"/>
            <w:vAlign w:val="center"/>
          </w:tcPr>
          <w:p>
            <w:pPr>
              <w:widowControl/>
              <w:spacing w:line="240" w:lineRule="auto"/>
              <w:ind w:firstLine="0" w:firstLineChars="0"/>
              <w:jc w:val="center"/>
              <w:rPr>
                <w:kern w:val="0"/>
                <w:sz w:val="21"/>
                <w:szCs w:val="21"/>
              </w:rPr>
            </w:pPr>
            <w:r>
              <w:rPr>
                <w:kern w:val="0"/>
                <w:sz w:val="21"/>
                <w:szCs w:val="21"/>
              </w:rPr>
              <w:t>12</w:t>
            </w:r>
          </w:p>
        </w:tc>
        <w:tc>
          <w:tcPr>
            <w:tcW w:w="4297"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2789" w:type="dxa"/>
            <w:noWrap w:val="0"/>
            <w:vAlign w:val="center"/>
          </w:tcPr>
          <w:p>
            <w:pPr>
              <w:widowControl/>
              <w:spacing w:line="240" w:lineRule="auto"/>
              <w:ind w:firstLine="0" w:firstLineChars="0"/>
              <w:jc w:val="center"/>
              <w:rPr>
                <w:kern w:val="0"/>
                <w:sz w:val="21"/>
                <w:szCs w:val="21"/>
              </w:rPr>
            </w:pPr>
            <w:r>
              <w:rPr>
                <w:kern w:val="0"/>
                <w:sz w:val="21"/>
                <w:szCs w:val="21"/>
              </w:rPr>
              <w:t>1107</w:t>
            </w:r>
          </w:p>
        </w:tc>
      </w:tr>
    </w:tbl>
    <w:p>
      <w:pPr>
        <w:ind w:firstLine="528"/>
        <w:rPr>
          <w:rFonts w:hint="eastAsia"/>
          <w:color w:val="000000"/>
          <w:spacing w:val="12"/>
          <w:szCs w:val="24"/>
        </w:rPr>
      </w:pPr>
      <w:r>
        <w:rPr>
          <w:rFonts w:hint="eastAsia"/>
          <w:color w:val="000000"/>
          <w:spacing w:val="12"/>
          <w:szCs w:val="24"/>
        </w:rPr>
        <w:t>⑤</w:t>
      </w:r>
      <w:r>
        <w:rPr>
          <w:color w:val="000000"/>
          <w:spacing w:val="12"/>
          <w:szCs w:val="24"/>
        </w:rPr>
        <w:t>项目招标代理费=</w:t>
      </w:r>
      <w:r>
        <w:rPr>
          <w:rFonts w:hint="eastAsia"/>
          <w:color w:val="000000"/>
          <w:spacing w:val="12"/>
          <w:szCs w:val="24"/>
        </w:rPr>
        <w:t>本项目本着“谁破坏，谁复垦”的原则，由本建设施工单位进行复垦工作，土地复垦工作不做单独的招投标。故本项目不涉及</w:t>
      </w:r>
      <w:r>
        <w:rPr>
          <w:color w:val="000000"/>
          <w:spacing w:val="12"/>
          <w:szCs w:val="24"/>
        </w:rPr>
        <w:t>招标代理费</w:t>
      </w:r>
      <w:r>
        <w:rPr>
          <w:rFonts w:hint="eastAsia"/>
          <w:color w:val="000000"/>
          <w:spacing w:val="12"/>
          <w:szCs w:val="24"/>
        </w:rPr>
        <w:t>。</w:t>
      </w:r>
    </w:p>
    <w:p>
      <w:pPr>
        <w:ind w:firstLine="528"/>
        <w:rPr>
          <w:color w:val="000000"/>
          <w:spacing w:val="12"/>
          <w:szCs w:val="24"/>
        </w:rPr>
      </w:pPr>
      <w:r>
        <w:rPr>
          <w:color w:val="000000"/>
          <w:spacing w:val="12"/>
          <w:szCs w:val="24"/>
        </w:rPr>
        <w:t>2）工程监理费</w:t>
      </w:r>
    </w:p>
    <w:p>
      <w:pPr>
        <w:ind w:firstLine="528"/>
        <w:rPr>
          <w:color w:val="000000"/>
          <w:spacing w:val="12"/>
          <w:szCs w:val="24"/>
        </w:rPr>
      </w:pPr>
      <w:r>
        <w:rPr>
          <w:rFonts w:hint="eastAsia"/>
          <w:color w:val="000000"/>
          <w:spacing w:val="12"/>
          <w:szCs w:val="24"/>
        </w:rPr>
        <w:t>根据《定额标准》，项目工程监理费以工程施工费与设备购置费之和作为计费基数，采用分档定额计费方式计算</w:t>
      </w:r>
      <w:r>
        <w:rPr>
          <w:color w:val="000000"/>
          <w:spacing w:val="12"/>
          <w:szCs w:val="24"/>
        </w:rPr>
        <w:t>；</w:t>
      </w:r>
    </w:p>
    <w:p>
      <w:pPr>
        <w:spacing w:line="320" w:lineRule="exact"/>
        <w:ind w:firstLine="420"/>
        <w:jc w:val="right"/>
        <w:rPr>
          <w:rFonts w:eastAsia="黑体"/>
          <w:color w:val="000000"/>
          <w:sz w:val="21"/>
          <w:szCs w:val="21"/>
        </w:rPr>
      </w:pPr>
      <w:r>
        <w:rPr>
          <w:rFonts w:eastAsia="黑体"/>
          <w:color w:val="000000"/>
          <w:sz w:val="21"/>
          <w:szCs w:val="21"/>
        </w:rPr>
        <w:t>表</w:t>
      </w:r>
      <w:r>
        <w:rPr>
          <w:rFonts w:hint="eastAsia" w:eastAsia="黑体"/>
          <w:color w:val="000000"/>
          <w:sz w:val="21"/>
          <w:szCs w:val="21"/>
        </w:rPr>
        <w:t>7</w:t>
      </w:r>
      <w:r>
        <w:rPr>
          <w:rFonts w:eastAsia="黑体"/>
          <w:color w:val="000000"/>
          <w:sz w:val="21"/>
          <w:szCs w:val="21"/>
        </w:rPr>
        <w:t>-7项目工程监理费计费标准单位：</w:t>
      </w:r>
      <w:r>
        <w:rPr>
          <w:rFonts w:hint="eastAsia" w:eastAsia="黑体"/>
          <w:color w:val="000000"/>
          <w:sz w:val="21"/>
          <w:szCs w:val="21"/>
        </w:rPr>
        <w:t xml:space="preserve">                 </w:t>
      </w:r>
      <w:r>
        <w:rPr>
          <w:rFonts w:eastAsia="黑体"/>
          <w:color w:val="000000"/>
          <w:sz w:val="21"/>
          <w:szCs w:val="21"/>
        </w:rPr>
        <w:t>万元</w:t>
      </w:r>
    </w:p>
    <w:tbl>
      <w:tblPr>
        <w:tblStyle w:val="25"/>
        <w:tblW w:w="86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3494"/>
        <w:gridCol w:w="36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517" w:type="dxa"/>
            <w:noWrap/>
            <w:vAlign w:val="center"/>
          </w:tcPr>
          <w:p>
            <w:pPr>
              <w:spacing w:line="240" w:lineRule="auto"/>
              <w:ind w:firstLine="0" w:firstLineChars="0"/>
              <w:jc w:val="center"/>
              <w:rPr>
                <w:sz w:val="21"/>
                <w:szCs w:val="28"/>
              </w:rPr>
            </w:pPr>
            <w:r>
              <w:rPr>
                <w:sz w:val="21"/>
                <w:szCs w:val="28"/>
              </w:rPr>
              <w:t>序号</w:t>
            </w:r>
          </w:p>
        </w:tc>
        <w:tc>
          <w:tcPr>
            <w:tcW w:w="3494" w:type="dxa"/>
            <w:noWrap/>
            <w:vAlign w:val="center"/>
          </w:tcPr>
          <w:p>
            <w:pPr>
              <w:spacing w:line="240" w:lineRule="auto"/>
              <w:ind w:firstLine="0" w:firstLineChars="0"/>
              <w:jc w:val="center"/>
              <w:rPr>
                <w:sz w:val="21"/>
                <w:szCs w:val="28"/>
              </w:rPr>
            </w:pPr>
            <w:r>
              <w:rPr>
                <w:sz w:val="21"/>
                <w:szCs w:val="28"/>
              </w:rPr>
              <w:t>计费基数</w:t>
            </w:r>
          </w:p>
        </w:tc>
        <w:tc>
          <w:tcPr>
            <w:tcW w:w="3609" w:type="dxa"/>
            <w:noWrap/>
            <w:vAlign w:val="center"/>
          </w:tcPr>
          <w:p>
            <w:pPr>
              <w:spacing w:line="240" w:lineRule="auto"/>
              <w:ind w:firstLine="0" w:firstLineChars="0"/>
              <w:jc w:val="center"/>
              <w:rPr>
                <w:sz w:val="21"/>
                <w:szCs w:val="28"/>
              </w:rPr>
            </w:pPr>
            <w:r>
              <w:rPr>
                <w:rFonts w:hint="eastAsia"/>
                <w:sz w:val="21"/>
                <w:szCs w:val="28"/>
              </w:rPr>
              <w:t>工程监理费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1</w:t>
            </w:r>
          </w:p>
        </w:tc>
        <w:tc>
          <w:tcPr>
            <w:tcW w:w="3494" w:type="dxa"/>
            <w:noWrap/>
            <w:vAlign w:val="center"/>
          </w:tcPr>
          <w:p>
            <w:pPr>
              <w:spacing w:line="240" w:lineRule="auto"/>
              <w:ind w:firstLine="0" w:firstLineChars="0"/>
              <w:jc w:val="center"/>
              <w:rPr>
                <w:sz w:val="21"/>
                <w:szCs w:val="28"/>
              </w:rPr>
            </w:pPr>
            <w:r>
              <w:rPr>
                <w:sz w:val="21"/>
                <w:szCs w:val="28"/>
              </w:rPr>
              <w:t>≤200</w:t>
            </w:r>
          </w:p>
        </w:tc>
        <w:tc>
          <w:tcPr>
            <w:tcW w:w="3609" w:type="dxa"/>
            <w:noWrap/>
            <w:vAlign w:val="center"/>
          </w:tcPr>
          <w:p>
            <w:pPr>
              <w:spacing w:line="240" w:lineRule="auto"/>
              <w:ind w:firstLine="0" w:firstLineChars="0"/>
              <w:jc w:val="center"/>
              <w:rPr>
                <w:sz w:val="21"/>
                <w:szCs w:val="28"/>
              </w:rPr>
            </w:pPr>
            <w:r>
              <w:rPr>
                <w:sz w:val="21"/>
                <w:szCs w:val="28"/>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2</w:t>
            </w:r>
          </w:p>
        </w:tc>
        <w:tc>
          <w:tcPr>
            <w:tcW w:w="3494" w:type="dxa"/>
            <w:noWrap/>
            <w:vAlign w:val="center"/>
          </w:tcPr>
          <w:p>
            <w:pPr>
              <w:spacing w:line="240" w:lineRule="auto"/>
              <w:ind w:firstLine="0" w:firstLineChars="0"/>
              <w:jc w:val="center"/>
              <w:rPr>
                <w:sz w:val="21"/>
                <w:szCs w:val="28"/>
              </w:rPr>
            </w:pPr>
            <w:r>
              <w:rPr>
                <w:sz w:val="21"/>
                <w:szCs w:val="28"/>
              </w:rPr>
              <w:t>500</w:t>
            </w:r>
          </w:p>
        </w:tc>
        <w:tc>
          <w:tcPr>
            <w:tcW w:w="3609" w:type="dxa"/>
            <w:noWrap/>
            <w:vAlign w:val="center"/>
          </w:tcPr>
          <w:p>
            <w:pPr>
              <w:spacing w:line="240" w:lineRule="auto"/>
              <w:ind w:firstLine="0" w:firstLineChars="0"/>
              <w:jc w:val="center"/>
              <w:rPr>
                <w:sz w:val="21"/>
                <w:szCs w:val="28"/>
              </w:rPr>
            </w:pPr>
            <w:r>
              <w:rPr>
                <w:sz w:val="21"/>
                <w:szCs w:val="28"/>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3</w:t>
            </w:r>
          </w:p>
        </w:tc>
        <w:tc>
          <w:tcPr>
            <w:tcW w:w="3494" w:type="dxa"/>
            <w:noWrap/>
            <w:vAlign w:val="center"/>
          </w:tcPr>
          <w:p>
            <w:pPr>
              <w:spacing w:line="240" w:lineRule="auto"/>
              <w:ind w:firstLine="0" w:firstLineChars="0"/>
              <w:jc w:val="center"/>
              <w:rPr>
                <w:sz w:val="21"/>
                <w:szCs w:val="28"/>
              </w:rPr>
            </w:pPr>
            <w:r>
              <w:rPr>
                <w:sz w:val="21"/>
                <w:szCs w:val="28"/>
              </w:rPr>
              <w:t>1000</w:t>
            </w:r>
          </w:p>
        </w:tc>
        <w:tc>
          <w:tcPr>
            <w:tcW w:w="3609" w:type="dxa"/>
            <w:noWrap/>
            <w:vAlign w:val="center"/>
          </w:tcPr>
          <w:p>
            <w:pPr>
              <w:spacing w:line="240" w:lineRule="auto"/>
              <w:ind w:firstLine="0" w:firstLineChars="0"/>
              <w:jc w:val="center"/>
              <w:rPr>
                <w:sz w:val="21"/>
                <w:szCs w:val="28"/>
              </w:rPr>
            </w:pPr>
            <w:r>
              <w:rPr>
                <w:sz w:val="21"/>
                <w:szCs w:val="28"/>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4</w:t>
            </w:r>
          </w:p>
        </w:tc>
        <w:tc>
          <w:tcPr>
            <w:tcW w:w="3494" w:type="dxa"/>
            <w:noWrap/>
            <w:vAlign w:val="center"/>
          </w:tcPr>
          <w:p>
            <w:pPr>
              <w:spacing w:line="240" w:lineRule="auto"/>
              <w:ind w:firstLine="0" w:firstLineChars="0"/>
              <w:jc w:val="center"/>
              <w:rPr>
                <w:sz w:val="21"/>
                <w:szCs w:val="28"/>
              </w:rPr>
            </w:pPr>
            <w:r>
              <w:rPr>
                <w:sz w:val="21"/>
                <w:szCs w:val="28"/>
              </w:rPr>
              <w:t>3000</w:t>
            </w:r>
          </w:p>
        </w:tc>
        <w:tc>
          <w:tcPr>
            <w:tcW w:w="3609" w:type="dxa"/>
            <w:noWrap/>
            <w:vAlign w:val="center"/>
          </w:tcPr>
          <w:p>
            <w:pPr>
              <w:spacing w:line="240" w:lineRule="auto"/>
              <w:ind w:firstLine="0" w:firstLineChars="0"/>
              <w:jc w:val="center"/>
              <w:rPr>
                <w:sz w:val="21"/>
                <w:szCs w:val="28"/>
              </w:rPr>
            </w:pPr>
            <w:r>
              <w:rPr>
                <w:sz w:val="21"/>
                <w:szCs w:val="28"/>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5</w:t>
            </w:r>
          </w:p>
        </w:tc>
        <w:tc>
          <w:tcPr>
            <w:tcW w:w="3494" w:type="dxa"/>
            <w:noWrap/>
            <w:vAlign w:val="center"/>
          </w:tcPr>
          <w:p>
            <w:pPr>
              <w:spacing w:line="240" w:lineRule="auto"/>
              <w:ind w:firstLine="0" w:firstLineChars="0"/>
              <w:jc w:val="center"/>
              <w:rPr>
                <w:sz w:val="21"/>
                <w:szCs w:val="28"/>
              </w:rPr>
            </w:pPr>
            <w:r>
              <w:rPr>
                <w:sz w:val="21"/>
                <w:szCs w:val="28"/>
              </w:rPr>
              <w:t>5000</w:t>
            </w:r>
          </w:p>
        </w:tc>
        <w:tc>
          <w:tcPr>
            <w:tcW w:w="3609" w:type="dxa"/>
            <w:noWrap/>
            <w:vAlign w:val="center"/>
          </w:tcPr>
          <w:p>
            <w:pPr>
              <w:spacing w:line="240" w:lineRule="auto"/>
              <w:ind w:firstLine="0" w:firstLineChars="0"/>
              <w:jc w:val="center"/>
              <w:rPr>
                <w:sz w:val="21"/>
                <w:szCs w:val="28"/>
              </w:rPr>
            </w:pPr>
            <w:r>
              <w:rPr>
                <w:sz w:val="21"/>
                <w:szCs w:val="28"/>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6</w:t>
            </w:r>
          </w:p>
        </w:tc>
        <w:tc>
          <w:tcPr>
            <w:tcW w:w="3494" w:type="dxa"/>
            <w:noWrap/>
            <w:vAlign w:val="center"/>
          </w:tcPr>
          <w:p>
            <w:pPr>
              <w:spacing w:line="240" w:lineRule="auto"/>
              <w:ind w:firstLine="0" w:firstLineChars="0"/>
              <w:jc w:val="center"/>
              <w:rPr>
                <w:sz w:val="21"/>
                <w:szCs w:val="28"/>
              </w:rPr>
            </w:pPr>
            <w:r>
              <w:rPr>
                <w:sz w:val="21"/>
                <w:szCs w:val="28"/>
              </w:rPr>
              <w:t>8000</w:t>
            </w:r>
          </w:p>
        </w:tc>
        <w:tc>
          <w:tcPr>
            <w:tcW w:w="3609" w:type="dxa"/>
            <w:noWrap/>
            <w:vAlign w:val="center"/>
          </w:tcPr>
          <w:p>
            <w:pPr>
              <w:spacing w:line="240" w:lineRule="auto"/>
              <w:ind w:firstLine="0" w:firstLineChars="0"/>
              <w:jc w:val="center"/>
              <w:rPr>
                <w:sz w:val="21"/>
                <w:szCs w:val="28"/>
              </w:rPr>
            </w:pPr>
            <w:r>
              <w:rPr>
                <w:sz w:val="21"/>
                <w:szCs w:val="28"/>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7</w:t>
            </w:r>
          </w:p>
        </w:tc>
        <w:tc>
          <w:tcPr>
            <w:tcW w:w="3494" w:type="dxa"/>
            <w:noWrap/>
            <w:vAlign w:val="center"/>
          </w:tcPr>
          <w:p>
            <w:pPr>
              <w:spacing w:line="240" w:lineRule="auto"/>
              <w:ind w:firstLine="0" w:firstLineChars="0"/>
              <w:jc w:val="center"/>
              <w:rPr>
                <w:sz w:val="21"/>
                <w:szCs w:val="28"/>
              </w:rPr>
            </w:pPr>
            <w:r>
              <w:rPr>
                <w:sz w:val="21"/>
                <w:szCs w:val="28"/>
              </w:rPr>
              <w:t>10000</w:t>
            </w:r>
          </w:p>
        </w:tc>
        <w:tc>
          <w:tcPr>
            <w:tcW w:w="3609" w:type="dxa"/>
            <w:noWrap/>
            <w:vAlign w:val="center"/>
          </w:tcPr>
          <w:p>
            <w:pPr>
              <w:spacing w:line="240" w:lineRule="auto"/>
              <w:ind w:firstLine="0" w:firstLineChars="0"/>
              <w:jc w:val="center"/>
              <w:rPr>
                <w:sz w:val="21"/>
                <w:szCs w:val="28"/>
              </w:rPr>
            </w:pPr>
            <w:r>
              <w:rPr>
                <w:sz w:val="21"/>
                <w:szCs w:val="28"/>
              </w:rPr>
              <w:t>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8</w:t>
            </w:r>
          </w:p>
        </w:tc>
        <w:tc>
          <w:tcPr>
            <w:tcW w:w="3494" w:type="dxa"/>
            <w:noWrap/>
            <w:vAlign w:val="center"/>
          </w:tcPr>
          <w:p>
            <w:pPr>
              <w:spacing w:line="240" w:lineRule="auto"/>
              <w:ind w:firstLine="0" w:firstLineChars="0"/>
              <w:jc w:val="center"/>
              <w:rPr>
                <w:sz w:val="21"/>
                <w:szCs w:val="28"/>
              </w:rPr>
            </w:pPr>
            <w:r>
              <w:rPr>
                <w:sz w:val="21"/>
                <w:szCs w:val="28"/>
              </w:rPr>
              <w:t>20000</w:t>
            </w:r>
          </w:p>
        </w:tc>
        <w:tc>
          <w:tcPr>
            <w:tcW w:w="3609" w:type="dxa"/>
            <w:noWrap/>
            <w:vAlign w:val="center"/>
          </w:tcPr>
          <w:p>
            <w:pPr>
              <w:spacing w:line="240" w:lineRule="auto"/>
              <w:ind w:firstLine="0" w:firstLineChars="0"/>
              <w:jc w:val="center"/>
              <w:rPr>
                <w:sz w:val="21"/>
                <w:szCs w:val="28"/>
              </w:rPr>
            </w:pPr>
            <w:r>
              <w:rPr>
                <w:sz w:val="21"/>
                <w:szCs w:val="28"/>
              </w:rPr>
              <w:t>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9</w:t>
            </w:r>
          </w:p>
        </w:tc>
        <w:tc>
          <w:tcPr>
            <w:tcW w:w="3494" w:type="dxa"/>
            <w:noWrap/>
            <w:vAlign w:val="center"/>
          </w:tcPr>
          <w:p>
            <w:pPr>
              <w:spacing w:line="240" w:lineRule="auto"/>
              <w:ind w:firstLine="0" w:firstLineChars="0"/>
              <w:jc w:val="center"/>
              <w:rPr>
                <w:sz w:val="21"/>
                <w:szCs w:val="28"/>
              </w:rPr>
            </w:pPr>
            <w:r>
              <w:rPr>
                <w:sz w:val="21"/>
                <w:szCs w:val="28"/>
              </w:rPr>
              <w:t>40000</w:t>
            </w:r>
          </w:p>
        </w:tc>
        <w:tc>
          <w:tcPr>
            <w:tcW w:w="3609" w:type="dxa"/>
            <w:noWrap/>
            <w:vAlign w:val="center"/>
          </w:tcPr>
          <w:p>
            <w:pPr>
              <w:spacing w:line="240" w:lineRule="auto"/>
              <w:ind w:firstLine="0" w:firstLineChars="0"/>
              <w:jc w:val="center"/>
              <w:rPr>
                <w:sz w:val="21"/>
                <w:szCs w:val="28"/>
              </w:rPr>
            </w:pPr>
            <w:r>
              <w:rPr>
                <w:sz w:val="21"/>
                <w:szCs w:val="28"/>
              </w:rPr>
              <w:t>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10</w:t>
            </w:r>
          </w:p>
        </w:tc>
        <w:tc>
          <w:tcPr>
            <w:tcW w:w="3494" w:type="dxa"/>
            <w:noWrap/>
            <w:vAlign w:val="center"/>
          </w:tcPr>
          <w:p>
            <w:pPr>
              <w:spacing w:line="240" w:lineRule="auto"/>
              <w:ind w:firstLine="0" w:firstLineChars="0"/>
              <w:jc w:val="center"/>
              <w:rPr>
                <w:sz w:val="21"/>
                <w:szCs w:val="28"/>
              </w:rPr>
            </w:pPr>
            <w:r>
              <w:rPr>
                <w:sz w:val="21"/>
                <w:szCs w:val="28"/>
              </w:rPr>
              <w:t>60000</w:t>
            </w:r>
          </w:p>
        </w:tc>
        <w:tc>
          <w:tcPr>
            <w:tcW w:w="3609" w:type="dxa"/>
            <w:noWrap/>
            <w:vAlign w:val="center"/>
          </w:tcPr>
          <w:p>
            <w:pPr>
              <w:spacing w:line="240" w:lineRule="auto"/>
              <w:ind w:firstLine="0" w:firstLineChars="0"/>
              <w:jc w:val="center"/>
              <w:rPr>
                <w:sz w:val="21"/>
                <w:szCs w:val="28"/>
              </w:rPr>
            </w:pPr>
            <w:r>
              <w:rPr>
                <w:sz w:val="21"/>
                <w:szCs w:val="28"/>
              </w:rPr>
              <w:t>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11</w:t>
            </w:r>
          </w:p>
        </w:tc>
        <w:tc>
          <w:tcPr>
            <w:tcW w:w="3494" w:type="dxa"/>
            <w:noWrap/>
            <w:vAlign w:val="center"/>
          </w:tcPr>
          <w:p>
            <w:pPr>
              <w:spacing w:line="240" w:lineRule="auto"/>
              <w:ind w:firstLine="0" w:firstLineChars="0"/>
              <w:jc w:val="center"/>
              <w:rPr>
                <w:sz w:val="21"/>
                <w:szCs w:val="28"/>
              </w:rPr>
            </w:pPr>
            <w:r>
              <w:rPr>
                <w:sz w:val="21"/>
                <w:szCs w:val="28"/>
              </w:rPr>
              <w:t>80000</w:t>
            </w:r>
          </w:p>
        </w:tc>
        <w:tc>
          <w:tcPr>
            <w:tcW w:w="3609" w:type="dxa"/>
            <w:noWrap/>
            <w:vAlign w:val="center"/>
          </w:tcPr>
          <w:p>
            <w:pPr>
              <w:spacing w:line="240" w:lineRule="auto"/>
              <w:ind w:firstLine="0" w:firstLineChars="0"/>
              <w:jc w:val="center"/>
              <w:rPr>
                <w:sz w:val="21"/>
                <w:szCs w:val="28"/>
              </w:rPr>
            </w:pPr>
            <w:r>
              <w:rPr>
                <w:sz w:val="21"/>
                <w:szCs w:val="28"/>
              </w:rPr>
              <w:t>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7" w:type="dxa"/>
            <w:noWrap/>
            <w:vAlign w:val="center"/>
          </w:tcPr>
          <w:p>
            <w:pPr>
              <w:spacing w:line="240" w:lineRule="auto"/>
              <w:ind w:firstLine="0" w:firstLineChars="0"/>
              <w:jc w:val="center"/>
              <w:rPr>
                <w:sz w:val="21"/>
                <w:szCs w:val="28"/>
              </w:rPr>
            </w:pPr>
            <w:r>
              <w:rPr>
                <w:sz w:val="21"/>
                <w:szCs w:val="28"/>
              </w:rPr>
              <w:t>12</w:t>
            </w:r>
          </w:p>
        </w:tc>
        <w:tc>
          <w:tcPr>
            <w:tcW w:w="3494" w:type="dxa"/>
            <w:noWrap/>
            <w:vAlign w:val="center"/>
          </w:tcPr>
          <w:p>
            <w:pPr>
              <w:spacing w:line="240" w:lineRule="auto"/>
              <w:ind w:firstLine="0" w:firstLineChars="0"/>
              <w:jc w:val="center"/>
              <w:rPr>
                <w:sz w:val="21"/>
                <w:szCs w:val="28"/>
              </w:rPr>
            </w:pPr>
            <w:r>
              <w:rPr>
                <w:sz w:val="21"/>
                <w:szCs w:val="28"/>
              </w:rPr>
              <w:t>100000</w:t>
            </w:r>
          </w:p>
        </w:tc>
        <w:tc>
          <w:tcPr>
            <w:tcW w:w="3609" w:type="dxa"/>
            <w:noWrap/>
            <w:vAlign w:val="center"/>
          </w:tcPr>
          <w:p>
            <w:pPr>
              <w:spacing w:line="240" w:lineRule="auto"/>
              <w:ind w:firstLine="0" w:firstLineChars="0"/>
              <w:jc w:val="center"/>
              <w:rPr>
                <w:sz w:val="21"/>
                <w:szCs w:val="28"/>
              </w:rPr>
            </w:pPr>
            <w:r>
              <w:rPr>
                <w:sz w:val="21"/>
                <w:szCs w:val="28"/>
              </w:rPr>
              <w:t>1085</w:t>
            </w:r>
          </w:p>
        </w:tc>
      </w:tr>
    </w:tbl>
    <w:p>
      <w:pPr>
        <w:ind w:firstLine="528"/>
        <w:rPr>
          <w:color w:val="000000"/>
          <w:spacing w:val="12"/>
          <w:szCs w:val="24"/>
        </w:rPr>
      </w:pPr>
      <w:r>
        <w:rPr>
          <w:color w:val="000000"/>
          <w:spacing w:val="12"/>
          <w:szCs w:val="24"/>
        </w:rPr>
        <w:t>3）拆迁补偿费</w:t>
      </w:r>
    </w:p>
    <w:p>
      <w:pPr>
        <w:ind w:firstLine="528"/>
        <w:rPr>
          <w:color w:val="000000"/>
          <w:spacing w:val="12"/>
          <w:szCs w:val="24"/>
        </w:rPr>
      </w:pPr>
      <w:r>
        <w:rPr>
          <w:color w:val="000000"/>
          <w:spacing w:val="12"/>
          <w:szCs w:val="24"/>
        </w:rPr>
        <w:t>本项目无拆迁补偿费。</w:t>
      </w:r>
    </w:p>
    <w:p>
      <w:pPr>
        <w:ind w:firstLine="528"/>
        <w:rPr>
          <w:color w:val="000000"/>
          <w:spacing w:val="12"/>
          <w:szCs w:val="24"/>
        </w:rPr>
      </w:pPr>
      <w:r>
        <w:rPr>
          <w:color w:val="000000"/>
          <w:spacing w:val="12"/>
          <w:szCs w:val="24"/>
        </w:rPr>
        <w:t>4）竣工验收费</w:t>
      </w:r>
    </w:p>
    <w:p>
      <w:pPr>
        <w:ind w:firstLine="528"/>
        <w:rPr>
          <w:color w:val="000000"/>
          <w:spacing w:val="12"/>
          <w:szCs w:val="24"/>
        </w:rPr>
      </w:pPr>
      <w:r>
        <w:rPr>
          <w:color w:val="000000"/>
          <w:spacing w:val="12"/>
          <w:szCs w:val="24"/>
        </w:rPr>
        <w:t>根据《定额标准》，竣工验收费包括工程复核费、工程验收费、项目决算编制与审计费、复垦后土地重估和登记费、标识设定费，竣工验收费中各费用取值如下：</w:t>
      </w:r>
    </w:p>
    <w:p>
      <w:pPr>
        <w:ind w:firstLine="528"/>
        <w:rPr>
          <w:rFonts w:hint="eastAsia"/>
          <w:color w:val="000000"/>
          <w:spacing w:val="12"/>
          <w:szCs w:val="24"/>
        </w:rPr>
      </w:pPr>
      <w:r>
        <w:rPr>
          <w:rFonts w:hint="eastAsia"/>
          <w:color w:val="000000"/>
          <w:spacing w:val="12"/>
          <w:szCs w:val="24"/>
        </w:rPr>
        <w:t>①工程复核费：根据《定额标准》，工程复核费以工程施工费与设备购置费之和作为计费基数，采用差额定率累进法计算，具体计费标准详见下表。</w:t>
      </w:r>
    </w:p>
    <w:tbl>
      <w:tblPr>
        <w:tblStyle w:val="25"/>
        <w:tblW w:w="852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741"/>
        <w:gridCol w:w="1170"/>
        <w:gridCol w:w="1057"/>
        <w:gridCol w:w="3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79" w:type="dxa"/>
            <w:vMerge w:val="restart"/>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1741" w:type="dxa"/>
            <w:vMerge w:val="restart"/>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1170" w:type="dxa"/>
            <w:vMerge w:val="restart"/>
            <w:noWrap w:val="0"/>
            <w:vAlign w:val="center"/>
          </w:tcPr>
          <w:p>
            <w:pPr>
              <w:widowControl/>
              <w:spacing w:line="240" w:lineRule="auto"/>
              <w:ind w:firstLine="0" w:firstLineChars="0"/>
              <w:jc w:val="center"/>
              <w:rPr>
                <w:kern w:val="0"/>
                <w:sz w:val="21"/>
                <w:szCs w:val="21"/>
              </w:rPr>
            </w:pPr>
            <w:r>
              <w:rPr>
                <w:kern w:val="0"/>
                <w:sz w:val="21"/>
                <w:szCs w:val="21"/>
              </w:rPr>
              <w:t>费率（%）</w:t>
            </w:r>
          </w:p>
        </w:tc>
        <w:tc>
          <w:tcPr>
            <w:tcW w:w="4935" w:type="dxa"/>
            <w:gridSpan w:val="2"/>
            <w:noWrap w:val="0"/>
            <w:vAlign w:val="center"/>
          </w:tcPr>
          <w:p>
            <w:pPr>
              <w:widowControl/>
              <w:spacing w:line="240" w:lineRule="auto"/>
              <w:ind w:firstLine="0" w:firstLineChars="0"/>
              <w:jc w:val="center"/>
              <w:rPr>
                <w:kern w:val="0"/>
                <w:sz w:val="21"/>
                <w:szCs w:val="21"/>
              </w:rPr>
            </w:pPr>
            <w:r>
              <w:rPr>
                <w:kern w:val="0"/>
                <w:sz w:val="21"/>
                <w:szCs w:val="21"/>
              </w:rPr>
              <w:t>算例（单位：万元）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79" w:type="dxa"/>
            <w:vMerge w:val="continue"/>
            <w:noWrap w:val="0"/>
            <w:vAlign w:val="center"/>
          </w:tcPr>
          <w:p>
            <w:pPr>
              <w:widowControl/>
              <w:spacing w:line="240" w:lineRule="auto"/>
              <w:ind w:firstLine="0" w:firstLineChars="0"/>
              <w:jc w:val="center"/>
              <w:rPr>
                <w:kern w:val="0"/>
                <w:sz w:val="21"/>
                <w:szCs w:val="21"/>
              </w:rPr>
            </w:pPr>
          </w:p>
        </w:tc>
        <w:tc>
          <w:tcPr>
            <w:tcW w:w="1741" w:type="dxa"/>
            <w:vMerge w:val="continue"/>
            <w:noWrap w:val="0"/>
            <w:vAlign w:val="center"/>
          </w:tcPr>
          <w:p>
            <w:pPr>
              <w:widowControl/>
              <w:spacing w:line="240" w:lineRule="auto"/>
              <w:ind w:firstLine="0" w:firstLineChars="0"/>
              <w:jc w:val="center"/>
              <w:rPr>
                <w:kern w:val="0"/>
                <w:sz w:val="21"/>
                <w:szCs w:val="21"/>
              </w:rPr>
            </w:pPr>
          </w:p>
        </w:tc>
        <w:tc>
          <w:tcPr>
            <w:tcW w:w="1170" w:type="dxa"/>
            <w:vMerge w:val="continue"/>
            <w:noWrap w:val="0"/>
            <w:vAlign w:val="center"/>
          </w:tcPr>
          <w:p>
            <w:pPr>
              <w:widowControl/>
              <w:spacing w:line="240" w:lineRule="auto"/>
              <w:ind w:firstLine="0" w:firstLineChars="0"/>
              <w:jc w:val="center"/>
              <w:rPr>
                <w:kern w:val="0"/>
                <w:sz w:val="21"/>
                <w:szCs w:val="21"/>
              </w:rPr>
            </w:pP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计费基数</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工程复核费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0.70</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500×0.70%=3.5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500～1000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0.65</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3.5+（1000-500）×0.65%=6.75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1000～3000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0.60</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6.75+（3000-1000）×0.60%=18.75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3000～5000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0.55</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18.75+（5000-3000）×0.55%=29.75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5000～10000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0.50</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29.75+（10000-5000）×0.50%=54.75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10000～50000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0.45</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54.75+（50000-10000）×0.45%=234.75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50000～100000</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0.40</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234.75+（100000-50000）×0.40%=434.75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9"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1741" w:type="dxa"/>
            <w:noWrap w:val="0"/>
            <w:vAlign w:val="center"/>
          </w:tcPr>
          <w:p>
            <w:pPr>
              <w:widowControl/>
              <w:spacing w:line="240" w:lineRule="auto"/>
              <w:ind w:firstLine="0" w:firstLineChars="0"/>
              <w:jc w:val="center"/>
              <w:rPr>
                <w:kern w:val="0"/>
                <w:sz w:val="21"/>
                <w:szCs w:val="21"/>
              </w:rPr>
            </w:pPr>
            <w:r>
              <w:rPr>
                <w:kern w:val="0"/>
                <w:sz w:val="21"/>
                <w:szCs w:val="21"/>
              </w:rPr>
              <w:t>100000以上</w:t>
            </w:r>
          </w:p>
        </w:tc>
        <w:tc>
          <w:tcPr>
            <w:tcW w:w="1170" w:type="dxa"/>
            <w:noWrap w:val="0"/>
            <w:vAlign w:val="center"/>
          </w:tcPr>
          <w:p>
            <w:pPr>
              <w:widowControl/>
              <w:spacing w:line="240" w:lineRule="auto"/>
              <w:ind w:firstLine="0" w:firstLineChars="0"/>
              <w:jc w:val="center"/>
              <w:rPr>
                <w:kern w:val="0"/>
                <w:sz w:val="21"/>
                <w:szCs w:val="21"/>
              </w:rPr>
            </w:pPr>
            <w:r>
              <w:rPr>
                <w:kern w:val="0"/>
                <w:sz w:val="21"/>
                <w:szCs w:val="21"/>
              </w:rPr>
              <w:t>0.35</w:t>
            </w:r>
          </w:p>
        </w:tc>
        <w:tc>
          <w:tcPr>
            <w:tcW w:w="1057" w:type="dxa"/>
            <w:noWrap w:val="0"/>
            <w:vAlign w:val="center"/>
          </w:tcPr>
          <w:p>
            <w:pPr>
              <w:widowControl/>
              <w:spacing w:line="240" w:lineRule="auto"/>
              <w:ind w:firstLine="0" w:firstLineChars="0"/>
              <w:jc w:val="center"/>
              <w:rPr>
                <w:kern w:val="0"/>
                <w:sz w:val="21"/>
                <w:szCs w:val="21"/>
              </w:rPr>
            </w:pPr>
            <w:r>
              <w:rPr>
                <w:kern w:val="0"/>
                <w:sz w:val="21"/>
                <w:szCs w:val="21"/>
              </w:rPr>
              <w:t>150000</w:t>
            </w:r>
          </w:p>
        </w:tc>
        <w:tc>
          <w:tcPr>
            <w:tcW w:w="3878" w:type="dxa"/>
            <w:noWrap w:val="0"/>
            <w:vAlign w:val="center"/>
          </w:tcPr>
          <w:p>
            <w:pPr>
              <w:widowControl/>
              <w:spacing w:line="240" w:lineRule="auto"/>
              <w:ind w:firstLine="0" w:firstLineChars="0"/>
              <w:jc w:val="center"/>
              <w:rPr>
                <w:kern w:val="0"/>
                <w:sz w:val="21"/>
                <w:szCs w:val="21"/>
              </w:rPr>
            </w:pPr>
            <w:r>
              <w:rPr>
                <w:kern w:val="0"/>
                <w:sz w:val="21"/>
                <w:szCs w:val="21"/>
              </w:rPr>
              <w:t>434.75+（150000-100000）×0.35%=609.75</w:t>
            </w:r>
          </w:p>
        </w:tc>
      </w:tr>
    </w:tbl>
    <w:p>
      <w:pPr>
        <w:ind w:firstLine="528"/>
        <w:rPr>
          <w:rFonts w:hint="eastAsia"/>
          <w:color w:val="000000"/>
          <w:spacing w:val="12"/>
          <w:szCs w:val="24"/>
        </w:rPr>
      </w:pPr>
      <w:r>
        <w:rPr>
          <w:rFonts w:hint="eastAsia"/>
          <w:color w:val="000000"/>
          <w:spacing w:val="12"/>
          <w:szCs w:val="24"/>
        </w:rPr>
        <w:t>②工程验收费：根据《定额标准》，工程验收费以工程施工费与设备购置费之和作为计费基数，采用差额定率累进法计算；具体计费标准详见下表。</w:t>
      </w:r>
    </w:p>
    <w:p>
      <w:pPr>
        <w:spacing w:line="320" w:lineRule="exact"/>
        <w:ind w:firstLine="420"/>
        <w:jc w:val="center"/>
        <w:rPr>
          <w:rFonts w:eastAsia="黑体"/>
          <w:color w:val="000000"/>
          <w:sz w:val="21"/>
          <w:szCs w:val="21"/>
        </w:rPr>
      </w:pPr>
      <w:r>
        <w:rPr>
          <w:rFonts w:eastAsia="黑体"/>
          <w:color w:val="000000"/>
          <w:sz w:val="21"/>
          <w:szCs w:val="21"/>
        </w:rPr>
        <w:t>表</w:t>
      </w:r>
      <w:r>
        <w:rPr>
          <w:rFonts w:hint="eastAsia" w:eastAsia="黑体"/>
          <w:color w:val="000000"/>
          <w:sz w:val="21"/>
          <w:szCs w:val="21"/>
        </w:rPr>
        <w:t>7</w:t>
      </w:r>
      <w:r>
        <w:rPr>
          <w:rFonts w:eastAsia="黑体"/>
          <w:color w:val="000000"/>
          <w:sz w:val="21"/>
          <w:szCs w:val="21"/>
        </w:rPr>
        <w:t>-9工程验收费计费标准</w:t>
      </w:r>
    </w:p>
    <w:tbl>
      <w:tblPr>
        <w:tblStyle w:val="2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692"/>
        <w:gridCol w:w="1150"/>
        <w:gridCol w:w="1231"/>
        <w:gridCol w:w="3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70" w:type="dxa"/>
            <w:vMerge w:val="restart"/>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1692" w:type="dxa"/>
            <w:vMerge w:val="restart"/>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1150" w:type="dxa"/>
            <w:vMerge w:val="restart"/>
            <w:noWrap w:val="0"/>
            <w:vAlign w:val="center"/>
          </w:tcPr>
          <w:p>
            <w:pPr>
              <w:widowControl/>
              <w:spacing w:line="240" w:lineRule="auto"/>
              <w:ind w:firstLine="0" w:firstLineChars="0"/>
              <w:jc w:val="center"/>
              <w:rPr>
                <w:kern w:val="0"/>
                <w:sz w:val="21"/>
                <w:szCs w:val="21"/>
              </w:rPr>
            </w:pPr>
            <w:r>
              <w:rPr>
                <w:kern w:val="0"/>
                <w:sz w:val="21"/>
                <w:szCs w:val="21"/>
              </w:rPr>
              <w:t>费率（%）</w:t>
            </w:r>
          </w:p>
        </w:tc>
        <w:tc>
          <w:tcPr>
            <w:tcW w:w="5010" w:type="dxa"/>
            <w:gridSpan w:val="2"/>
            <w:noWrap w:val="0"/>
            <w:vAlign w:val="center"/>
          </w:tcPr>
          <w:p>
            <w:pPr>
              <w:widowControl/>
              <w:spacing w:line="240" w:lineRule="auto"/>
              <w:ind w:firstLine="0" w:firstLineChars="0"/>
              <w:jc w:val="center"/>
              <w:rPr>
                <w:kern w:val="0"/>
                <w:sz w:val="21"/>
                <w:szCs w:val="21"/>
              </w:rPr>
            </w:pPr>
            <w:r>
              <w:rPr>
                <w:kern w:val="0"/>
                <w:sz w:val="21"/>
                <w:szCs w:val="21"/>
              </w:rPr>
              <w:t>算例（单位：万元）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70" w:type="dxa"/>
            <w:vMerge w:val="continue"/>
            <w:noWrap w:val="0"/>
            <w:vAlign w:val="center"/>
          </w:tcPr>
          <w:p>
            <w:pPr>
              <w:widowControl/>
              <w:spacing w:line="240" w:lineRule="auto"/>
              <w:ind w:firstLine="0" w:firstLineChars="0"/>
              <w:jc w:val="center"/>
              <w:rPr>
                <w:kern w:val="0"/>
                <w:sz w:val="21"/>
                <w:szCs w:val="21"/>
              </w:rPr>
            </w:pPr>
          </w:p>
        </w:tc>
        <w:tc>
          <w:tcPr>
            <w:tcW w:w="1692" w:type="dxa"/>
            <w:vMerge w:val="continue"/>
            <w:noWrap w:val="0"/>
            <w:vAlign w:val="center"/>
          </w:tcPr>
          <w:p>
            <w:pPr>
              <w:widowControl/>
              <w:spacing w:line="240" w:lineRule="auto"/>
              <w:ind w:firstLine="0" w:firstLineChars="0"/>
              <w:jc w:val="center"/>
              <w:rPr>
                <w:kern w:val="0"/>
                <w:sz w:val="21"/>
                <w:szCs w:val="21"/>
              </w:rPr>
            </w:pPr>
          </w:p>
        </w:tc>
        <w:tc>
          <w:tcPr>
            <w:tcW w:w="1150" w:type="dxa"/>
            <w:vMerge w:val="continue"/>
            <w:noWrap w:val="0"/>
            <w:vAlign w:val="center"/>
          </w:tcPr>
          <w:p>
            <w:pPr>
              <w:widowControl/>
              <w:spacing w:line="240" w:lineRule="auto"/>
              <w:ind w:firstLine="0" w:firstLineChars="0"/>
              <w:jc w:val="center"/>
              <w:rPr>
                <w:kern w:val="0"/>
                <w:sz w:val="21"/>
                <w:szCs w:val="21"/>
              </w:rPr>
            </w:pP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计费基数</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工程验收费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1.4</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500×1.4%=7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500～1000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1.3</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7+（1000-500）×1.3%=13.5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1000～3000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1.2</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13.5+（3000-1000）×1.2%=37.5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3000～5000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1.1</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37.5+（5000-3000）×1.1%=59.5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5000～10000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1.0</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59.5+（10000-5000）×1.0%=109.5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10000～50000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0.9</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109.5+（50000-10000）×0.9%=469.5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50000～100000</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0.8</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469.5+（100000-50000）×0.8%=869.5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1692" w:type="dxa"/>
            <w:noWrap w:val="0"/>
            <w:vAlign w:val="center"/>
          </w:tcPr>
          <w:p>
            <w:pPr>
              <w:widowControl/>
              <w:spacing w:line="240" w:lineRule="auto"/>
              <w:ind w:firstLine="0" w:firstLineChars="0"/>
              <w:jc w:val="center"/>
              <w:rPr>
                <w:kern w:val="0"/>
                <w:sz w:val="21"/>
                <w:szCs w:val="21"/>
              </w:rPr>
            </w:pPr>
            <w:r>
              <w:rPr>
                <w:kern w:val="0"/>
                <w:sz w:val="21"/>
                <w:szCs w:val="21"/>
              </w:rPr>
              <w:t>100000以上</w:t>
            </w:r>
          </w:p>
        </w:tc>
        <w:tc>
          <w:tcPr>
            <w:tcW w:w="1150" w:type="dxa"/>
            <w:noWrap w:val="0"/>
            <w:vAlign w:val="center"/>
          </w:tcPr>
          <w:p>
            <w:pPr>
              <w:widowControl/>
              <w:spacing w:line="240" w:lineRule="auto"/>
              <w:ind w:firstLine="0" w:firstLineChars="0"/>
              <w:jc w:val="center"/>
              <w:rPr>
                <w:kern w:val="0"/>
                <w:sz w:val="21"/>
                <w:szCs w:val="21"/>
              </w:rPr>
            </w:pPr>
            <w:r>
              <w:rPr>
                <w:kern w:val="0"/>
                <w:sz w:val="21"/>
                <w:szCs w:val="21"/>
              </w:rPr>
              <w:t>0.7</w:t>
            </w:r>
          </w:p>
        </w:tc>
        <w:tc>
          <w:tcPr>
            <w:tcW w:w="1231" w:type="dxa"/>
            <w:noWrap w:val="0"/>
            <w:vAlign w:val="center"/>
          </w:tcPr>
          <w:p>
            <w:pPr>
              <w:widowControl/>
              <w:spacing w:line="240" w:lineRule="auto"/>
              <w:ind w:firstLine="0" w:firstLineChars="0"/>
              <w:jc w:val="center"/>
              <w:rPr>
                <w:kern w:val="0"/>
                <w:sz w:val="21"/>
                <w:szCs w:val="21"/>
              </w:rPr>
            </w:pPr>
            <w:r>
              <w:rPr>
                <w:kern w:val="0"/>
                <w:sz w:val="21"/>
                <w:szCs w:val="21"/>
              </w:rPr>
              <w:t>150000</w:t>
            </w:r>
          </w:p>
        </w:tc>
        <w:tc>
          <w:tcPr>
            <w:tcW w:w="3779" w:type="dxa"/>
            <w:noWrap w:val="0"/>
            <w:vAlign w:val="center"/>
          </w:tcPr>
          <w:p>
            <w:pPr>
              <w:widowControl/>
              <w:spacing w:line="240" w:lineRule="auto"/>
              <w:ind w:firstLine="0" w:firstLineChars="0"/>
              <w:jc w:val="center"/>
              <w:rPr>
                <w:kern w:val="0"/>
                <w:sz w:val="21"/>
                <w:szCs w:val="21"/>
              </w:rPr>
            </w:pPr>
            <w:r>
              <w:rPr>
                <w:kern w:val="0"/>
                <w:sz w:val="21"/>
                <w:szCs w:val="21"/>
              </w:rPr>
              <w:t>869.5+（150000-100000）×0.7%=1219.5</w:t>
            </w:r>
          </w:p>
        </w:tc>
      </w:tr>
    </w:tbl>
    <w:p>
      <w:pPr>
        <w:ind w:firstLine="528"/>
        <w:rPr>
          <w:rFonts w:hint="eastAsia"/>
          <w:color w:val="000000"/>
          <w:spacing w:val="12"/>
          <w:szCs w:val="24"/>
        </w:rPr>
      </w:pPr>
      <w:r>
        <w:rPr>
          <w:rFonts w:hint="eastAsia"/>
          <w:color w:val="000000"/>
          <w:spacing w:val="12"/>
          <w:szCs w:val="24"/>
        </w:rPr>
        <w:t>③项目决算编制与审计费：根据《定额标准》，项目决算编制与审计费以工程施工费与设备购置费之和作为计费基数，采用差额定率累进法计算。具体计费标准见下表。</w:t>
      </w:r>
    </w:p>
    <w:p>
      <w:pPr>
        <w:spacing w:line="320" w:lineRule="exact"/>
        <w:ind w:firstLine="420"/>
        <w:jc w:val="center"/>
        <w:rPr>
          <w:rFonts w:hint="eastAsia" w:eastAsia="黑体"/>
          <w:color w:val="000000"/>
          <w:sz w:val="21"/>
          <w:szCs w:val="21"/>
        </w:rPr>
      </w:pPr>
      <w:r>
        <w:rPr>
          <w:rFonts w:hint="eastAsia" w:eastAsia="黑体"/>
          <w:color w:val="000000"/>
          <w:sz w:val="21"/>
          <w:szCs w:val="21"/>
        </w:rPr>
        <w:t>表7-10项目决算编制与审计费计费标准</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740"/>
        <w:gridCol w:w="1183"/>
        <w:gridCol w:w="1188"/>
        <w:gridCol w:w="3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trPr>
        <w:tc>
          <w:tcPr>
            <w:tcW w:w="670" w:type="dxa"/>
            <w:vMerge w:val="restart"/>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1740" w:type="dxa"/>
            <w:vMerge w:val="restart"/>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1183" w:type="dxa"/>
            <w:vMerge w:val="restart"/>
            <w:noWrap w:val="0"/>
            <w:vAlign w:val="center"/>
          </w:tcPr>
          <w:p>
            <w:pPr>
              <w:widowControl/>
              <w:spacing w:line="240" w:lineRule="auto"/>
              <w:ind w:firstLine="0" w:firstLineChars="0"/>
              <w:jc w:val="center"/>
              <w:rPr>
                <w:kern w:val="0"/>
                <w:sz w:val="21"/>
                <w:szCs w:val="21"/>
              </w:rPr>
            </w:pPr>
            <w:r>
              <w:rPr>
                <w:kern w:val="0"/>
                <w:sz w:val="21"/>
                <w:szCs w:val="21"/>
              </w:rPr>
              <w:t>费率（%）</w:t>
            </w:r>
          </w:p>
        </w:tc>
        <w:tc>
          <w:tcPr>
            <w:tcW w:w="4929" w:type="dxa"/>
            <w:gridSpan w:val="2"/>
            <w:noWrap w:val="0"/>
            <w:vAlign w:val="center"/>
          </w:tcPr>
          <w:p>
            <w:pPr>
              <w:widowControl/>
              <w:spacing w:line="240" w:lineRule="auto"/>
              <w:ind w:firstLine="0" w:firstLineChars="0"/>
              <w:jc w:val="center"/>
              <w:rPr>
                <w:kern w:val="0"/>
                <w:sz w:val="21"/>
                <w:szCs w:val="21"/>
              </w:rPr>
            </w:pPr>
            <w:r>
              <w:rPr>
                <w:kern w:val="0"/>
                <w:sz w:val="21"/>
                <w:szCs w:val="21"/>
              </w:rPr>
              <w:t>算例（单位：万元）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trPr>
        <w:tc>
          <w:tcPr>
            <w:tcW w:w="670" w:type="dxa"/>
            <w:vMerge w:val="continue"/>
            <w:noWrap w:val="0"/>
            <w:vAlign w:val="center"/>
          </w:tcPr>
          <w:p>
            <w:pPr>
              <w:widowControl/>
              <w:spacing w:line="240" w:lineRule="auto"/>
              <w:ind w:firstLine="0" w:firstLineChars="0"/>
              <w:jc w:val="center"/>
              <w:rPr>
                <w:kern w:val="0"/>
                <w:sz w:val="21"/>
                <w:szCs w:val="21"/>
              </w:rPr>
            </w:pPr>
          </w:p>
        </w:tc>
        <w:tc>
          <w:tcPr>
            <w:tcW w:w="1740" w:type="dxa"/>
            <w:vMerge w:val="continue"/>
            <w:noWrap w:val="0"/>
            <w:vAlign w:val="center"/>
          </w:tcPr>
          <w:p>
            <w:pPr>
              <w:widowControl/>
              <w:spacing w:line="240" w:lineRule="auto"/>
              <w:ind w:firstLine="0" w:firstLineChars="0"/>
              <w:jc w:val="center"/>
              <w:rPr>
                <w:kern w:val="0"/>
                <w:sz w:val="21"/>
                <w:szCs w:val="21"/>
              </w:rPr>
            </w:pPr>
          </w:p>
        </w:tc>
        <w:tc>
          <w:tcPr>
            <w:tcW w:w="1183" w:type="dxa"/>
            <w:vMerge w:val="continue"/>
            <w:noWrap w:val="0"/>
            <w:vAlign w:val="center"/>
          </w:tcPr>
          <w:p>
            <w:pPr>
              <w:widowControl/>
              <w:spacing w:line="240" w:lineRule="auto"/>
              <w:ind w:firstLine="0" w:firstLineChars="0"/>
              <w:jc w:val="center"/>
              <w:rPr>
                <w:kern w:val="0"/>
                <w:sz w:val="21"/>
                <w:szCs w:val="21"/>
              </w:rPr>
            </w:pP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计费基数</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项目决算编制与审计费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1.0</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500×1.0%=5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500～1000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0.9</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5+（1000-500）×0.9%=9.5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1000～3000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0.8</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9.5+（3000-1000）×0.8%=25.5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3000～5000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0.7</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25.5+（5000-3000）×0.7%=39.5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5000～10000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0.6</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39.5+（10000-5000）×0.6%=69.5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10000～50000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0.5</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69.5+（50000-10000）×0.5%=269.5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50000～100000</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0.4</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269.5+（100000-50000）×0.4%=469.5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0"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1740" w:type="dxa"/>
            <w:noWrap w:val="0"/>
            <w:vAlign w:val="center"/>
          </w:tcPr>
          <w:p>
            <w:pPr>
              <w:widowControl/>
              <w:spacing w:line="240" w:lineRule="auto"/>
              <w:ind w:firstLine="0" w:firstLineChars="0"/>
              <w:jc w:val="center"/>
              <w:rPr>
                <w:kern w:val="0"/>
                <w:sz w:val="21"/>
                <w:szCs w:val="21"/>
              </w:rPr>
            </w:pPr>
            <w:r>
              <w:rPr>
                <w:kern w:val="0"/>
                <w:sz w:val="21"/>
                <w:szCs w:val="21"/>
              </w:rPr>
              <w:t>100000以上</w:t>
            </w:r>
          </w:p>
        </w:tc>
        <w:tc>
          <w:tcPr>
            <w:tcW w:w="1183" w:type="dxa"/>
            <w:noWrap w:val="0"/>
            <w:vAlign w:val="center"/>
          </w:tcPr>
          <w:p>
            <w:pPr>
              <w:widowControl/>
              <w:spacing w:line="240" w:lineRule="auto"/>
              <w:ind w:firstLine="0" w:firstLineChars="0"/>
              <w:jc w:val="center"/>
              <w:rPr>
                <w:kern w:val="0"/>
                <w:sz w:val="21"/>
                <w:szCs w:val="21"/>
              </w:rPr>
            </w:pPr>
            <w:r>
              <w:rPr>
                <w:kern w:val="0"/>
                <w:sz w:val="21"/>
                <w:szCs w:val="21"/>
              </w:rPr>
              <w:t>0.3</w:t>
            </w:r>
          </w:p>
        </w:tc>
        <w:tc>
          <w:tcPr>
            <w:tcW w:w="1188" w:type="dxa"/>
            <w:noWrap w:val="0"/>
            <w:vAlign w:val="center"/>
          </w:tcPr>
          <w:p>
            <w:pPr>
              <w:widowControl/>
              <w:spacing w:line="240" w:lineRule="auto"/>
              <w:ind w:firstLine="0" w:firstLineChars="0"/>
              <w:jc w:val="center"/>
              <w:rPr>
                <w:kern w:val="0"/>
                <w:sz w:val="21"/>
                <w:szCs w:val="21"/>
              </w:rPr>
            </w:pPr>
            <w:r>
              <w:rPr>
                <w:kern w:val="0"/>
                <w:sz w:val="21"/>
                <w:szCs w:val="21"/>
              </w:rPr>
              <w:t>150000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469.5+（150000-100000）×0.3%=619.5</w:t>
            </w:r>
          </w:p>
        </w:tc>
      </w:tr>
    </w:tbl>
    <w:p>
      <w:pPr>
        <w:ind w:firstLine="528"/>
        <w:rPr>
          <w:rFonts w:hint="eastAsia"/>
          <w:color w:val="000000"/>
          <w:spacing w:val="12"/>
          <w:szCs w:val="24"/>
        </w:rPr>
      </w:pPr>
      <w:r>
        <w:rPr>
          <w:rFonts w:hint="eastAsia"/>
          <w:color w:val="000000"/>
          <w:spacing w:val="12"/>
          <w:szCs w:val="24"/>
        </w:rPr>
        <w:t>④复垦后土地重估和登记费：根据《定额标准》，复垦后土地重估和登记费以工程施工费与设备购置费之和作为计费基数，采用差额定率累进法计算；具体计费标准详见下表。</w:t>
      </w:r>
    </w:p>
    <w:p>
      <w:pPr>
        <w:spacing w:line="320" w:lineRule="exact"/>
        <w:ind w:firstLine="420"/>
        <w:jc w:val="center"/>
        <w:rPr>
          <w:rFonts w:hint="eastAsia" w:eastAsia="黑体"/>
          <w:color w:val="000000"/>
          <w:sz w:val="21"/>
          <w:szCs w:val="21"/>
        </w:rPr>
      </w:pPr>
      <w:r>
        <w:rPr>
          <w:rFonts w:hint="eastAsia" w:eastAsia="黑体"/>
          <w:color w:val="000000"/>
          <w:sz w:val="21"/>
          <w:szCs w:val="21"/>
        </w:rPr>
        <w:t>表7-11整理后土地重估与登记费计费标准</w:t>
      </w:r>
    </w:p>
    <w:tbl>
      <w:tblPr>
        <w:tblStyle w:val="2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53"/>
        <w:gridCol w:w="1110"/>
        <w:gridCol w:w="1226"/>
        <w:gridCol w:w="3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61" w:type="dxa"/>
            <w:vMerge w:val="restart"/>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1653" w:type="dxa"/>
            <w:vMerge w:val="restart"/>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1110" w:type="dxa"/>
            <w:vMerge w:val="restart"/>
            <w:noWrap w:val="0"/>
            <w:vAlign w:val="center"/>
          </w:tcPr>
          <w:p>
            <w:pPr>
              <w:widowControl/>
              <w:spacing w:line="240" w:lineRule="auto"/>
              <w:ind w:firstLine="0" w:firstLineChars="0"/>
              <w:jc w:val="center"/>
              <w:rPr>
                <w:kern w:val="0"/>
                <w:sz w:val="21"/>
                <w:szCs w:val="21"/>
              </w:rPr>
            </w:pPr>
            <w:r>
              <w:rPr>
                <w:kern w:val="0"/>
                <w:sz w:val="21"/>
                <w:szCs w:val="21"/>
              </w:rPr>
              <w:t>费率（%）</w:t>
            </w:r>
          </w:p>
        </w:tc>
        <w:tc>
          <w:tcPr>
            <w:tcW w:w="5098" w:type="dxa"/>
            <w:gridSpan w:val="2"/>
            <w:noWrap w:val="0"/>
            <w:vAlign w:val="center"/>
          </w:tcPr>
          <w:p>
            <w:pPr>
              <w:widowControl/>
              <w:spacing w:line="240" w:lineRule="auto"/>
              <w:ind w:firstLine="0" w:firstLineChars="0"/>
              <w:jc w:val="center"/>
              <w:rPr>
                <w:kern w:val="0"/>
                <w:sz w:val="21"/>
                <w:szCs w:val="21"/>
              </w:rPr>
            </w:pPr>
            <w:r>
              <w:rPr>
                <w:kern w:val="0"/>
                <w:sz w:val="21"/>
                <w:szCs w:val="21"/>
              </w:rPr>
              <w:t>算例（单位：万元）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61" w:type="dxa"/>
            <w:vMerge w:val="continue"/>
            <w:noWrap w:val="0"/>
            <w:vAlign w:val="center"/>
          </w:tcPr>
          <w:p>
            <w:pPr>
              <w:widowControl/>
              <w:spacing w:line="240" w:lineRule="auto"/>
              <w:ind w:firstLine="0" w:firstLineChars="0"/>
              <w:jc w:val="center"/>
              <w:rPr>
                <w:kern w:val="0"/>
                <w:sz w:val="21"/>
                <w:szCs w:val="21"/>
              </w:rPr>
            </w:pPr>
          </w:p>
        </w:tc>
        <w:tc>
          <w:tcPr>
            <w:tcW w:w="1653" w:type="dxa"/>
            <w:vMerge w:val="continue"/>
            <w:noWrap w:val="0"/>
            <w:vAlign w:val="center"/>
          </w:tcPr>
          <w:p>
            <w:pPr>
              <w:widowControl/>
              <w:spacing w:line="240" w:lineRule="auto"/>
              <w:ind w:firstLine="0" w:firstLineChars="0"/>
              <w:jc w:val="center"/>
              <w:rPr>
                <w:kern w:val="0"/>
                <w:sz w:val="21"/>
                <w:szCs w:val="21"/>
              </w:rPr>
            </w:pPr>
          </w:p>
        </w:tc>
        <w:tc>
          <w:tcPr>
            <w:tcW w:w="1110" w:type="dxa"/>
            <w:vMerge w:val="continue"/>
            <w:noWrap w:val="0"/>
            <w:vAlign w:val="center"/>
          </w:tcPr>
          <w:p>
            <w:pPr>
              <w:widowControl/>
              <w:spacing w:line="240" w:lineRule="auto"/>
              <w:ind w:firstLine="0" w:firstLineChars="0"/>
              <w:jc w:val="center"/>
              <w:rPr>
                <w:kern w:val="0"/>
                <w:sz w:val="21"/>
                <w:szCs w:val="21"/>
              </w:rPr>
            </w:pP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计费基数</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整理后土地重估与登记费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0.65</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500×0.65%=3.25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500～1000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0.60</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3.25+（1000-500）×0.60%=6.25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1000～3000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0.55</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6.25+（3000-1000）×0.55%=17.25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3000～5000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0.50</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17.25+（5000-3000）×0.50%=27.25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5000～10000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0.45</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27.25+（10000-5000）×0.45%=49.75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10000～50000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0.40</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49.75+（50000-10000）×0.40%=209.75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50000～100000</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0.35</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209.75+（100000-50000）×0.35%=384.75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61"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1653" w:type="dxa"/>
            <w:noWrap w:val="0"/>
            <w:vAlign w:val="center"/>
          </w:tcPr>
          <w:p>
            <w:pPr>
              <w:widowControl/>
              <w:spacing w:line="240" w:lineRule="auto"/>
              <w:ind w:firstLine="0" w:firstLineChars="0"/>
              <w:jc w:val="center"/>
              <w:rPr>
                <w:kern w:val="0"/>
                <w:sz w:val="21"/>
                <w:szCs w:val="21"/>
              </w:rPr>
            </w:pPr>
            <w:r>
              <w:rPr>
                <w:kern w:val="0"/>
                <w:sz w:val="21"/>
                <w:szCs w:val="21"/>
              </w:rPr>
              <w:t>100000以上</w:t>
            </w:r>
          </w:p>
        </w:tc>
        <w:tc>
          <w:tcPr>
            <w:tcW w:w="1110" w:type="dxa"/>
            <w:noWrap w:val="0"/>
            <w:vAlign w:val="center"/>
          </w:tcPr>
          <w:p>
            <w:pPr>
              <w:widowControl/>
              <w:spacing w:line="240" w:lineRule="auto"/>
              <w:ind w:firstLine="0" w:firstLineChars="0"/>
              <w:jc w:val="center"/>
              <w:rPr>
                <w:kern w:val="0"/>
                <w:sz w:val="21"/>
                <w:szCs w:val="21"/>
              </w:rPr>
            </w:pPr>
            <w:r>
              <w:rPr>
                <w:kern w:val="0"/>
                <w:sz w:val="21"/>
                <w:szCs w:val="21"/>
              </w:rPr>
              <w:t>0.30</w:t>
            </w:r>
          </w:p>
        </w:tc>
        <w:tc>
          <w:tcPr>
            <w:tcW w:w="1226" w:type="dxa"/>
            <w:noWrap w:val="0"/>
            <w:vAlign w:val="center"/>
          </w:tcPr>
          <w:p>
            <w:pPr>
              <w:widowControl/>
              <w:spacing w:line="240" w:lineRule="auto"/>
              <w:ind w:firstLine="0" w:firstLineChars="0"/>
              <w:jc w:val="center"/>
              <w:rPr>
                <w:kern w:val="0"/>
                <w:sz w:val="21"/>
                <w:szCs w:val="21"/>
              </w:rPr>
            </w:pPr>
            <w:r>
              <w:rPr>
                <w:kern w:val="0"/>
                <w:sz w:val="21"/>
                <w:szCs w:val="21"/>
              </w:rPr>
              <w:t>150000</w:t>
            </w:r>
          </w:p>
        </w:tc>
        <w:tc>
          <w:tcPr>
            <w:tcW w:w="3872" w:type="dxa"/>
            <w:noWrap w:val="0"/>
            <w:vAlign w:val="center"/>
          </w:tcPr>
          <w:p>
            <w:pPr>
              <w:widowControl/>
              <w:spacing w:line="240" w:lineRule="auto"/>
              <w:ind w:firstLine="0" w:firstLineChars="0"/>
              <w:jc w:val="center"/>
              <w:rPr>
                <w:kern w:val="0"/>
                <w:sz w:val="21"/>
                <w:szCs w:val="21"/>
              </w:rPr>
            </w:pPr>
            <w:r>
              <w:rPr>
                <w:kern w:val="0"/>
                <w:sz w:val="21"/>
                <w:szCs w:val="21"/>
              </w:rPr>
              <w:t>384.75+（150000-100000）×0.30%=534.75</w:t>
            </w:r>
          </w:p>
        </w:tc>
      </w:tr>
    </w:tbl>
    <w:p>
      <w:pPr>
        <w:ind w:firstLine="528"/>
        <w:rPr>
          <w:rFonts w:hint="eastAsia"/>
          <w:color w:val="000000"/>
          <w:spacing w:val="12"/>
          <w:szCs w:val="24"/>
        </w:rPr>
      </w:pPr>
      <w:r>
        <w:rPr>
          <w:rFonts w:hint="eastAsia"/>
          <w:color w:val="000000"/>
          <w:spacing w:val="12"/>
          <w:szCs w:val="24"/>
        </w:rPr>
        <w:t>⑤标识设定费：根据《定额标准》，标识设定费以工程施工费与设备购置费之和作为计费基数，采用差额定率累进法计算；具体计费标准详见下表。</w:t>
      </w:r>
    </w:p>
    <w:p>
      <w:pPr>
        <w:spacing w:line="320" w:lineRule="exact"/>
        <w:ind w:firstLine="420"/>
        <w:jc w:val="center"/>
        <w:rPr>
          <w:rFonts w:hint="eastAsia" w:eastAsia="黑体"/>
          <w:color w:val="000000"/>
          <w:sz w:val="21"/>
          <w:szCs w:val="21"/>
        </w:rPr>
      </w:pPr>
      <w:r>
        <w:rPr>
          <w:rFonts w:hint="eastAsia" w:eastAsia="黑体"/>
          <w:color w:val="000000"/>
          <w:sz w:val="21"/>
          <w:szCs w:val="21"/>
        </w:rPr>
        <w:t>表7-12标识设定费计费标准</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09"/>
        <w:gridCol w:w="1151"/>
        <w:gridCol w:w="1271"/>
        <w:gridCol w:w="3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650" w:type="dxa"/>
            <w:vMerge w:val="restart"/>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1709" w:type="dxa"/>
            <w:vMerge w:val="restart"/>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1151" w:type="dxa"/>
            <w:vMerge w:val="restart"/>
            <w:noWrap w:val="0"/>
            <w:vAlign w:val="center"/>
          </w:tcPr>
          <w:p>
            <w:pPr>
              <w:widowControl/>
              <w:spacing w:line="240" w:lineRule="auto"/>
              <w:ind w:firstLine="0" w:firstLineChars="0"/>
              <w:jc w:val="center"/>
              <w:rPr>
                <w:kern w:val="0"/>
                <w:sz w:val="21"/>
                <w:szCs w:val="21"/>
              </w:rPr>
            </w:pPr>
            <w:r>
              <w:rPr>
                <w:kern w:val="0"/>
                <w:sz w:val="21"/>
                <w:szCs w:val="21"/>
              </w:rPr>
              <w:t>费率（%）</w:t>
            </w:r>
          </w:p>
        </w:tc>
        <w:tc>
          <w:tcPr>
            <w:tcW w:w="5012" w:type="dxa"/>
            <w:gridSpan w:val="2"/>
            <w:noWrap w:val="0"/>
            <w:vAlign w:val="center"/>
          </w:tcPr>
          <w:p>
            <w:pPr>
              <w:widowControl/>
              <w:spacing w:line="240" w:lineRule="auto"/>
              <w:ind w:firstLine="0" w:firstLineChars="0"/>
              <w:jc w:val="center"/>
              <w:rPr>
                <w:kern w:val="0"/>
                <w:sz w:val="21"/>
                <w:szCs w:val="21"/>
              </w:rPr>
            </w:pPr>
            <w:r>
              <w:rPr>
                <w:kern w:val="0"/>
                <w:sz w:val="21"/>
                <w:szCs w:val="21"/>
              </w:rPr>
              <w:t>算例（单位：万元）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650" w:type="dxa"/>
            <w:vMerge w:val="continue"/>
            <w:noWrap w:val="0"/>
            <w:vAlign w:val="center"/>
          </w:tcPr>
          <w:p>
            <w:pPr>
              <w:widowControl/>
              <w:spacing w:line="240" w:lineRule="auto"/>
              <w:ind w:firstLine="0" w:firstLineChars="0"/>
              <w:jc w:val="center"/>
              <w:rPr>
                <w:kern w:val="0"/>
                <w:sz w:val="21"/>
                <w:szCs w:val="21"/>
              </w:rPr>
            </w:pPr>
          </w:p>
        </w:tc>
        <w:tc>
          <w:tcPr>
            <w:tcW w:w="1709" w:type="dxa"/>
            <w:vMerge w:val="continue"/>
            <w:noWrap w:val="0"/>
            <w:vAlign w:val="center"/>
          </w:tcPr>
          <w:p>
            <w:pPr>
              <w:widowControl/>
              <w:spacing w:line="240" w:lineRule="auto"/>
              <w:ind w:firstLine="0" w:firstLineChars="0"/>
              <w:jc w:val="center"/>
              <w:rPr>
                <w:kern w:val="0"/>
                <w:sz w:val="21"/>
                <w:szCs w:val="21"/>
              </w:rPr>
            </w:pPr>
          </w:p>
        </w:tc>
        <w:tc>
          <w:tcPr>
            <w:tcW w:w="1151" w:type="dxa"/>
            <w:vMerge w:val="continue"/>
            <w:noWrap w:val="0"/>
            <w:vAlign w:val="center"/>
          </w:tcPr>
          <w:p>
            <w:pPr>
              <w:widowControl/>
              <w:spacing w:line="240" w:lineRule="auto"/>
              <w:ind w:firstLine="0" w:firstLineChars="0"/>
              <w:jc w:val="center"/>
              <w:rPr>
                <w:kern w:val="0"/>
                <w:sz w:val="21"/>
                <w:szCs w:val="21"/>
              </w:rPr>
            </w:pP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计费基数</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标识设定费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0.11</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3741" w:type="dxa"/>
            <w:noWrap w:val="0"/>
            <w:vAlign w:val="center"/>
          </w:tcPr>
          <w:p>
            <w:pPr>
              <w:widowControl/>
              <w:spacing w:line="240" w:lineRule="auto"/>
              <w:ind w:firstLine="0" w:firstLineChars="0"/>
              <w:jc w:val="center"/>
              <w:rPr>
                <w:kern w:val="0"/>
                <w:sz w:val="21"/>
                <w:szCs w:val="21"/>
              </w:rPr>
            </w:pPr>
            <w:r>
              <w:rPr>
                <w:rFonts w:hint="eastAsia"/>
                <w:kern w:val="0"/>
                <w:sz w:val="21"/>
                <w:szCs w:val="21"/>
              </w:rPr>
              <w:t>1+</w:t>
            </w:r>
            <w:r>
              <w:rPr>
                <w:kern w:val="0"/>
                <w:sz w:val="21"/>
                <w:szCs w:val="21"/>
              </w:rPr>
              <w:t>500×0.11%=</w:t>
            </w:r>
            <w:r>
              <w:rPr>
                <w:rFonts w:hint="eastAsia"/>
                <w:kern w:val="0"/>
                <w:sz w:val="21"/>
                <w:szCs w:val="21"/>
              </w:rPr>
              <w:t>1</w:t>
            </w:r>
            <w:r>
              <w:rPr>
                <w:kern w:val="0"/>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500～1000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0.10</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3741" w:type="dxa"/>
            <w:noWrap w:val="0"/>
            <w:vAlign w:val="center"/>
          </w:tcPr>
          <w:p>
            <w:pPr>
              <w:widowControl/>
              <w:spacing w:line="240" w:lineRule="auto"/>
              <w:ind w:firstLine="0" w:firstLineChars="0"/>
              <w:jc w:val="center"/>
              <w:rPr>
                <w:kern w:val="0"/>
                <w:sz w:val="21"/>
                <w:szCs w:val="21"/>
              </w:rPr>
            </w:pPr>
            <w:r>
              <w:rPr>
                <w:rFonts w:hint="eastAsia"/>
                <w:kern w:val="0"/>
                <w:sz w:val="21"/>
                <w:szCs w:val="21"/>
              </w:rPr>
              <w:t>1</w:t>
            </w:r>
            <w:r>
              <w:rPr>
                <w:kern w:val="0"/>
                <w:sz w:val="21"/>
                <w:szCs w:val="21"/>
              </w:rPr>
              <w:t>.55+（1000-500）×0.10%=</w:t>
            </w:r>
            <w:r>
              <w:rPr>
                <w:rFonts w:hint="eastAsia"/>
                <w:kern w:val="0"/>
                <w:sz w:val="21"/>
                <w:szCs w:val="21"/>
              </w:rPr>
              <w:t>2</w:t>
            </w:r>
            <w:r>
              <w:rPr>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1000～3000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0.09</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3741" w:type="dxa"/>
            <w:noWrap w:val="0"/>
            <w:vAlign w:val="center"/>
          </w:tcPr>
          <w:p>
            <w:pPr>
              <w:widowControl/>
              <w:spacing w:line="240" w:lineRule="auto"/>
              <w:ind w:firstLine="0" w:firstLineChars="0"/>
              <w:jc w:val="center"/>
              <w:rPr>
                <w:kern w:val="0"/>
                <w:sz w:val="21"/>
                <w:szCs w:val="21"/>
              </w:rPr>
            </w:pPr>
            <w:r>
              <w:rPr>
                <w:rFonts w:hint="eastAsia"/>
                <w:kern w:val="0"/>
                <w:sz w:val="21"/>
                <w:szCs w:val="21"/>
              </w:rPr>
              <w:t>2</w:t>
            </w:r>
            <w:r>
              <w:rPr>
                <w:kern w:val="0"/>
                <w:sz w:val="21"/>
                <w:szCs w:val="21"/>
              </w:rPr>
              <w:t>.05+（3000-1000）×0.09%=</w:t>
            </w:r>
            <w:r>
              <w:rPr>
                <w:rFonts w:hint="eastAsia"/>
                <w:kern w:val="0"/>
                <w:sz w:val="21"/>
                <w:szCs w:val="21"/>
              </w:rPr>
              <w:t>3</w:t>
            </w:r>
            <w:r>
              <w:rPr>
                <w:kern w:val="0"/>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3000～5000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0.08</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3741" w:type="dxa"/>
            <w:noWrap w:val="0"/>
            <w:vAlign w:val="center"/>
          </w:tcPr>
          <w:p>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.85+（5000-3000）×0.08%=</w:t>
            </w:r>
            <w:r>
              <w:rPr>
                <w:rFonts w:hint="eastAsia"/>
                <w:kern w:val="0"/>
                <w:sz w:val="21"/>
                <w:szCs w:val="21"/>
              </w:rPr>
              <w:t>5</w:t>
            </w:r>
            <w:r>
              <w:rPr>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5000～10000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0.07</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3741" w:type="dxa"/>
            <w:noWrap w:val="0"/>
            <w:vAlign w:val="center"/>
          </w:tcPr>
          <w:p>
            <w:pPr>
              <w:widowControl/>
              <w:spacing w:line="240" w:lineRule="auto"/>
              <w:ind w:firstLine="0" w:firstLineChars="0"/>
              <w:jc w:val="center"/>
              <w:rPr>
                <w:kern w:val="0"/>
                <w:sz w:val="21"/>
                <w:szCs w:val="21"/>
              </w:rPr>
            </w:pPr>
            <w:r>
              <w:rPr>
                <w:rFonts w:hint="eastAsia"/>
                <w:kern w:val="0"/>
                <w:sz w:val="21"/>
                <w:szCs w:val="21"/>
              </w:rPr>
              <w:t>5</w:t>
            </w:r>
            <w:r>
              <w:rPr>
                <w:kern w:val="0"/>
                <w:sz w:val="21"/>
                <w:szCs w:val="21"/>
              </w:rPr>
              <w:t>.45+（10000-5000）×0.07%=</w:t>
            </w:r>
            <w:r>
              <w:rPr>
                <w:rFonts w:hint="eastAsia"/>
                <w:kern w:val="0"/>
                <w:sz w:val="21"/>
                <w:szCs w:val="21"/>
              </w:rPr>
              <w:t>8</w:t>
            </w:r>
            <w:r>
              <w:rPr>
                <w:kern w:val="0"/>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10000～50000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0.06</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3741" w:type="dxa"/>
            <w:noWrap w:val="0"/>
            <w:vAlign w:val="center"/>
          </w:tcPr>
          <w:p>
            <w:pPr>
              <w:widowControl/>
              <w:spacing w:line="240" w:lineRule="auto"/>
              <w:ind w:firstLine="0" w:firstLineChars="0"/>
              <w:jc w:val="center"/>
              <w:rPr>
                <w:kern w:val="0"/>
                <w:sz w:val="21"/>
                <w:szCs w:val="21"/>
              </w:rPr>
            </w:pPr>
            <w:r>
              <w:rPr>
                <w:rFonts w:hint="eastAsia"/>
                <w:kern w:val="0"/>
                <w:sz w:val="21"/>
                <w:szCs w:val="21"/>
              </w:rPr>
              <w:t>8</w:t>
            </w:r>
            <w:r>
              <w:rPr>
                <w:kern w:val="0"/>
                <w:sz w:val="21"/>
                <w:szCs w:val="21"/>
              </w:rPr>
              <w:t>.95+（50000-10000）×0.06%=</w:t>
            </w:r>
            <w:r>
              <w:rPr>
                <w:rFonts w:hint="eastAsia"/>
                <w:kern w:val="0"/>
                <w:sz w:val="21"/>
                <w:szCs w:val="21"/>
              </w:rPr>
              <w:t>32</w:t>
            </w:r>
            <w:r>
              <w:rPr>
                <w:kern w:val="0"/>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50000～100000</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0.05</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3</w:t>
            </w:r>
            <w:r>
              <w:rPr>
                <w:rFonts w:hint="eastAsia"/>
                <w:kern w:val="0"/>
                <w:sz w:val="21"/>
                <w:szCs w:val="21"/>
              </w:rPr>
              <w:t>2</w:t>
            </w:r>
            <w:r>
              <w:rPr>
                <w:kern w:val="0"/>
                <w:sz w:val="21"/>
                <w:szCs w:val="21"/>
              </w:rPr>
              <w:t>.95+（100000-50000）×0.05%=5</w:t>
            </w:r>
            <w:r>
              <w:rPr>
                <w:rFonts w:hint="eastAsia"/>
                <w:kern w:val="0"/>
                <w:sz w:val="21"/>
                <w:szCs w:val="21"/>
              </w:rPr>
              <w:t>7</w:t>
            </w:r>
            <w:r>
              <w:rPr>
                <w:kern w:val="0"/>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650"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1709" w:type="dxa"/>
            <w:noWrap w:val="0"/>
            <w:vAlign w:val="center"/>
          </w:tcPr>
          <w:p>
            <w:pPr>
              <w:widowControl/>
              <w:spacing w:line="240" w:lineRule="auto"/>
              <w:ind w:firstLine="0" w:firstLineChars="0"/>
              <w:jc w:val="center"/>
              <w:rPr>
                <w:kern w:val="0"/>
                <w:sz w:val="21"/>
                <w:szCs w:val="21"/>
              </w:rPr>
            </w:pPr>
            <w:r>
              <w:rPr>
                <w:kern w:val="0"/>
                <w:sz w:val="21"/>
                <w:szCs w:val="21"/>
              </w:rPr>
              <w:t>100000以上</w:t>
            </w:r>
          </w:p>
        </w:tc>
        <w:tc>
          <w:tcPr>
            <w:tcW w:w="1151" w:type="dxa"/>
            <w:noWrap w:val="0"/>
            <w:vAlign w:val="center"/>
          </w:tcPr>
          <w:p>
            <w:pPr>
              <w:widowControl/>
              <w:spacing w:line="240" w:lineRule="auto"/>
              <w:ind w:firstLine="0" w:firstLineChars="0"/>
              <w:jc w:val="center"/>
              <w:rPr>
                <w:kern w:val="0"/>
                <w:sz w:val="21"/>
                <w:szCs w:val="21"/>
              </w:rPr>
            </w:pPr>
            <w:r>
              <w:rPr>
                <w:kern w:val="0"/>
                <w:sz w:val="21"/>
                <w:szCs w:val="21"/>
              </w:rPr>
              <w:t>0.04</w:t>
            </w:r>
          </w:p>
        </w:tc>
        <w:tc>
          <w:tcPr>
            <w:tcW w:w="1271" w:type="dxa"/>
            <w:noWrap w:val="0"/>
            <w:vAlign w:val="center"/>
          </w:tcPr>
          <w:p>
            <w:pPr>
              <w:widowControl/>
              <w:spacing w:line="240" w:lineRule="auto"/>
              <w:ind w:firstLine="0" w:firstLineChars="0"/>
              <w:jc w:val="center"/>
              <w:rPr>
                <w:kern w:val="0"/>
                <w:sz w:val="21"/>
                <w:szCs w:val="21"/>
              </w:rPr>
            </w:pPr>
            <w:r>
              <w:rPr>
                <w:kern w:val="0"/>
                <w:sz w:val="21"/>
                <w:szCs w:val="21"/>
              </w:rPr>
              <w:t>150000</w:t>
            </w:r>
          </w:p>
        </w:tc>
        <w:tc>
          <w:tcPr>
            <w:tcW w:w="3741" w:type="dxa"/>
            <w:noWrap w:val="0"/>
            <w:vAlign w:val="center"/>
          </w:tcPr>
          <w:p>
            <w:pPr>
              <w:widowControl/>
              <w:spacing w:line="240" w:lineRule="auto"/>
              <w:ind w:firstLine="0" w:firstLineChars="0"/>
              <w:jc w:val="center"/>
              <w:rPr>
                <w:kern w:val="0"/>
                <w:sz w:val="21"/>
                <w:szCs w:val="21"/>
              </w:rPr>
            </w:pPr>
            <w:r>
              <w:rPr>
                <w:kern w:val="0"/>
                <w:sz w:val="21"/>
                <w:szCs w:val="21"/>
              </w:rPr>
              <w:t>5</w:t>
            </w:r>
            <w:r>
              <w:rPr>
                <w:rFonts w:hint="eastAsia"/>
                <w:kern w:val="0"/>
                <w:sz w:val="21"/>
                <w:szCs w:val="21"/>
              </w:rPr>
              <w:t>7</w:t>
            </w:r>
            <w:r>
              <w:rPr>
                <w:kern w:val="0"/>
                <w:sz w:val="21"/>
                <w:szCs w:val="21"/>
              </w:rPr>
              <w:t>.95+（150000-100000）×0.04%=7</w:t>
            </w:r>
            <w:r>
              <w:rPr>
                <w:rFonts w:hint="eastAsia"/>
                <w:kern w:val="0"/>
                <w:sz w:val="21"/>
                <w:szCs w:val="21"/>
              </w:rPr>
              <w:t>7</w:t>
            </w:r>
            <w:r>
              <w:rPr>
                <w:kern w:val="0"/>
                <w:sz w:val="21"/>
                <w:szCs w:val="21"/>
              </w:rPr>
              <w:t>.95</w:t>
            </w:r>
          </w:p>
        </w:tc>
      </w:tr>
    </w:tbl>
    <w:p>
      <w:pPr>
        <w:ind w:firstLine="528"/>
        <w:rPr>
          <w:color w:val="000000"/>
          <w:spacing w:val="12"/>
          <w:szCs w:val="24"/>
        </w:rPr>
      </w:pPr>
      <w:r>
        <w:rPr>
          <w:rFonts w:hint="eastAsia"/>
          <w:color w:val="000000"/>
          <w:spacing w:val="12"/>
          <w:szCs w:val="24"/>
        </w:rPr>
        <w:br w:type="page"/>
      </w:r>
      <w:r>
        <w:rPr>
          <w:rFonts w:hint="eastAsia"/>
          <w:color w:val="000000"/>
          <w:spacing w:val="12"/>
          <w:szCs w:val="24"/>
        </w:rPr>
        <w:t>5）业主管理费</w:t>
      </w:r>
    </w:p>
    <w:p>
      <w:pPr>
        <w:ind w:firstLine="528"/>
        <w:rPr>
          <w:rFonts w:hint="eastAsia"/>
          <w:color w:val="000000"/>
          <w:spacing w:val="12"/>
          <w:szCs w:val="24"/>
        </w:rPr>
      </w:pPr>
      <w:r>
        <w:rPr>
          <w:rFonts w:hint="eastAsia"/>
          <w:color w:val="000000"/>
          <w:spacing w:val="12"/>
          <w:szCs w:val="24"/>
        </w:rPr>
        <w:t>业主管理费是指项目承担单位为项目的立项、筹建、建设等工作所发生的费用。</w:t>
      </w:r>
    </w:p>
    <w:p>
      <w:pPr>
        <w:ind w:firstLine="528"/>
        <w:rPr>
          <w:rFonts w:hint="eastAsia"/>
          <w:color w:val="000000"/>
          <w:spacing w:val="12"/>
          <w:szCs w:val="24"/>
        </w:rPr>
      </w:pPr>
      <w:r>
        <w:rPr>
          <w:rFonts w:hint="eastAsia"/>
          <w:color w:val="000000"/>
          <w:spacing w:val="12"/>
          <w:szCs w:val="24"/>
        </w:rPr>
        <w:t>依据《云南省补充编制规定》规定，业主管理费以工程施工费、设备购置费、前期工作费、工程监理费、拆迁补偿费和竣工验收费之和作为计费基数，采用差额定率累进法计算。具体计费标准详见下表。</w:t>
      </w:r>
    </w:p>
    <w:p>
      <w:pPr>
        <w:spacing w:line="320" w:lineRule="exact"/>
        <w:ind w:firstLine="420"/>
        <w:jc w:val="center"/>
        <w:rPr>
          <w:rFonts w:hint="eastAsia" w:eastAsia="黑体"/>
          <w:color w:val="000000"/>
          <w:sz w:val="21"/>
          <w:szCs w:val="21"/>
        </w:rPr>
      </w:pPr>
      <w:r>
        <w:rPr>
          <w:rFonts w:hint="eastAsia" w:eastAsia="黑体"/>
          <w:color w:val="000000"/>
          <w:sz w:val="21"/>
          <w:szCs w:val="21"/>
        </w:rPr>
        <w:t>表7-13业主管理费计费标准</w:t>
      </w:r>
    </w:p>
    <w:tbl>
      <w:tblPr>
        <w:tblStyle w:val="2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919"/>
        <w:gridCol w:w="1245"/>
        <w:gridCol w:w="1068"/>
        <w:gridCol w:w="3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45" w:type="dxa"/>
            <w:vMerge w:val="restart"/>
            <w:noWrap w:val="0"/>
            <w:vAlign w:val="center"/>
          </w:tcPr>
          <w:p>
            <w:pPr>
              <w:widowControl/>
              <w:spacing w:line="240" w:lineRule="auto"/>
              <w:ind w:firstLine="0" w:firstLineChars="0"/>
              <w:jc w:val="center"/>
              <w:rPr>
                <w:kern w:val="0"/>
                <w:sz w:val="21"/>
                <w:szCs w:val="21"/>
              </w:rPr>
            </w:pPr>
            <w:r>
              <w:rPr>
                <w:kern w:val="0"/>
                <w:sz w:val="21"/>
                <w:szCs w:val="21"/>
              </w:rPr>
              <w:t>序号</w:t>
            </w:r>
          </w:p>
        </w:tc>
        <w:tc>
          <w:tcPr>
            <w:tcW w:w="1919" w:type="dxa"/>
            <w:vMerge w:val="restart"/>
            <w:noWrap w:val="0"/>
            <w:vAlign w:val="center"/>
          </w:tcPr>
          <w:p>
            <w:pPr>
              <w:widowControl/>
              <w:spacing w:line="240" w:lineRule="auto"/>
              <w:ind w:firstLine="0" w:firstLineChars="0"/>
              <w:jc w:val="center"/>
              <w:rPr>
                <w:kern w:val="0"/>
                <w:sz w:val="21"/>
                <w:szCs w:val="21"/>
              </w:rPr>
            </w:pPr>
            <w:r>
              <w:rPr>
                <w:kern w:val="0"/>
                <w:sz w:val="21"/>
                <w:szCs w:val="21"/>
              </w:rPr>
              <w:t>计费基数（万元）</w:t>
            </w:r>
          </w:p>
        </w:tc>
        <w:tc>
          <w:tcPr>
            <w:tcW w:w="1245" w:type="dxa"/>
            <w:vMerge w:val="restart"/>
            <w:noWrap w:val="0"/>
            <w:vAlign w:val="center"/>
          </w:tcPr>
          <w:p>
            <w:pPr>
              <w:widowControl/>
              <w:spacing w:line="240" w:lineRule="auto"/>
              <w:ind w:firstLine="0" w:firstLineChars="0"/>
              <w:jc w:val="center"/>
              <w:rPr>
                <w:kern w:val="0"/>
                <w:sz w:val="21"/>
                <w:szCs w:val="21"/>
              </w:rPr>
            </w:pPr>
            <w:r>
              <w:rPr>
                <w:kern w:val="0"/>
                <w:sz w:val="21"/>
                <w:szCs w:val="21"/>
              </w:rPr>
              <w:t>费率（%）</w:t>
            </w:r>
          </w:p>
        </w:tc>
        <w:tc>
          <w:tcPr>
            <w:tcW w:w="4713" w:type="dxa"/>
            <w:gridSpan w:val="2"/>
            <w:noWrap w:val="0"/>
            <w:vAlign w:val="center"/>
          </w:tcPr>
          <w:p>
            <w:pPr>
              <w:widowControl/>
              <w:spacing w:line="240" w:lineRule="auto"/>
              <w:ind w:firstLine="0" w:firstLineChars="0"/>
              <w:jc w:val="center"/>
              <w:rPr>
                <w:kern w:val="0"/>
                <w:sz w:val="21"/>
                <w:szCs w:val="21"/>
              </w:rPr>
            </w:pPr>
            <w:r>
              <w:rPr>
                <w:kern w:val="0"/>
                <w:sz w:val="21"/>
                <w:szCs w:val="21"/>
              </w:rPr>
              <w:t>算例（单位：万元）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645" w:type="dxa"/>
            <w:vMerge w:val="continue"/>
            <w:noWrap w:val="0"/>
            <w:vAlign w:val="center"/>
          </w:tcPr>
          <w:p>
            <w:pPr>
              <w:widowControl/>
              <w:spacing w:line="240" w:lineRule="auto"/>
              <w:ind w:firstLine="0" w:firstLineChars="0"/>
              <w:jc w:val="center"/>
              <w:rPr>
                <w:kern w:val="0"/>
                <w:sz w:val="21"/>
                <w:szCs w:val="21"/>
              </w:rPr>
            </w:pPr>
          </w:p>
        </w:tc>
        <w:tc>
          <w:tcPr>
            <w:tcW w:w="1919" w:type="dxa"/>
            <w:vMerge w:val="continue"/>
            <w:noWrap w:val="0"/>
            <w:vAlign w:val="center"/>
          </w:tcPr>
          <w:p>
            <w:pPr>
              <w:widowControl/>
              <w:spacing w:line="240" w:lineRule="auto"/>
              <w:ind w:firstLine="0" w:firstLineChars="0"/>
              <w:jc w:val="center"/>
              <w:rPr>
                <w:kern w:val="0"/>
                <w:sz w:val="21"/>
                <w:szCs w:val="21"/>
              </w:rPr>
            </w:pPr>
          </w:p>
        </w:tc>
        <w:tc>
          <w:tcPr>
            <w:tcW w:w="1245" w:type="dxa"/>
            <w:vMerge w:val="continue"/>
            <w:noWrap w:val="0"/>
            <w:vAlign w:val="center"/>
          </w:tcPr>
          <w:p>
            <w:pPr>
              <w:widowControl/>
              <w:spacing w:line="240" w:lineRule="auto"/>
              <w:ind w:firstLine="0" w:firstLineChars="0"/>
              <w:jc w:val="center"/>
              <w:rPr>
                <w:kern w:val="0"/>
                <w:sz w:val="21"/>
                <w:szCs w:val="21"/>
              </w:rPr>
            </w:pP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计费基数</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业主管理费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1</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2.8</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500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500×2.8%=14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2</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500～1000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2.6</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1000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14+（1000-500）×2.6%=27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3</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1000～3000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2.4</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3000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27+（3000-1000）×2.4%=75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4</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3000～5000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2.2</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5000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75+（5000-3000）×2.2%=119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5</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5000～10000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1.9</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10000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119+（10000-5000）×1.9%=214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6</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10000～50000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1.6</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50000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214+（50000-10000）×1.6%=854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7</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50000～100000</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1.2</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100000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854+（100000-50000）×1.2%=1454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645" w:type="dxa"/>
            <w:noWrap w:val="0"/>
            <w:vAlign w:val="center"/>
          </w:tcPr>
          <w:p>
            <w:pPr>
              <w:widowControl/>
              <w:spacing w:line="240" w:lineRule="auto"/>
              <w:ind w:firstLine="0" w:firstLineChars="0"/>
              <w:jc w:val="center"/>
              <w:rPr>
                <w:kern w:val="0"/>
                <w:sz w:val="21"/>
                <w:szCs w:val="21"/>
              </w:rPr>
            </w:pPr>
            <w:r>
              <w:rPr>
                <w:kern w:val="0"/>
                <w:sz w:val="21"/>
                <w:szCs w:val="21"/>
              </w:rPr>
              <w:t>8</w:t>
            </w:r>
          </w:p>
        </w:tc>
        <w:tc>
          <w:tcPr>
            <w:tcW w:w="1919" w:type="dxa"/>
            <w:noWrap w:val="0"/>
            <w:vAlign w:val="center"/>
          </w:tcPr>
          <w:p>
            <w:pPr>
              <w:widowControl/>
              <w:spacing w:line="240" w:lineRule="auto"/>
              <w:ind w:firstLine="0" w:firstLineChars="0"/>
              <w:jc w:val="center"/>
              <w:rPr>
                <w:kern w:val="0"/>
                <w:sz w:val="21"/>
                <w:szCs w:val="21"/>
              </w:rPr>
            </w:pPr>
            <w:r>
              <w:rPr>
                <w:kern w:val="0"/>
                <w:sz w:val="21"/>
                <w:szCs w:val="21"/>
              </w:rPr>
              <w:t>100000以上</w:t>
            </w:r>
          </w:p>
        </w:tc>
        <w:tc>
          <w:tcPr>
            <w:tcW w:w="1245" w:type="dxa"/>
            <w:noWrap w:val="0"/>
            <w:vAlign w:val="center"/>
          </w:tcPr>
          <w:p>
            <w:pPr>
              <w:widowControl/>
              <w:spacing w:line="240" w:lineRule="auto"/>
              <w:ind w:firstLine="0" w:firstLineChars="0"/>
              <w:jc w:val="center"/>
              <w:rPr>
                <w:kern w:val="0"/>
                <w:sz w:val="21"/>
                <w:szCs w:val="21"/>
              </w:rPr>
            </w:pPr>
            <w:r>
              <w:rPr>
                <w:kern w:val="0"/>
                <w:sz w:val="21"/>
                <w:szCs w:val="21"/>
              </w:rPr>
              <w:t>0.8</w:t>
            </w:r>
          </w:p>
        </w:tc>
        <w:tc>
          <w:tcPr>
            <w:tcW w:w="1068" w:type="dxa"/>
            <w:noWrap w:val="0"/>
            <w:vAlign w:val="center"/>
          </w:tcPr>
          <w:p>
            <w:pPr>
              <w:widowControl/>
              <w:spacing w:line="240" w:lineRule="auto"/>
              <w:ind w:firstLine="0" w:firstLineChars="0"/>
              <w:jc w:val="center"/>
              <w:rPr>
                <w:kern w:val="0"/>
                <w:sz w:val="21"/>
                <w:szCs w:val="21"/>
              </w:rPr>
            </w:pPr>
            <w:r>
              <w:rPr>
                <w:kern w:val="0"/>
                <w:sz w:val="21"/>
                <w:szCs w:val="21"/>
              </w:rPr>
              <w:t>150000</w:t>
            </w:r>
          </w:p>
        </w:tc>
        <w:tc>
          <w:tcPr>
            <w:tcW w:w="3645" w:type="dxa"/>
            <w:noWrap w:val="0"/>
            <w:vAlign w:val="center"/>
          </w:tcPr>
          <w:p>
            <w:pPr>
              <w:widowControl/>
              <w:spacing w:line="240" w:lineRule="auto"/>
              <w:ind w:firstLine="0" w:firstLineChars="0"/>
              <w:jc w:val="center"/>
              <w:rPr>
                <w:kern w:val="0"/>
                <w:sz w:val="21"/>
                <w:szCs w:val="21"/>
              </w:rPr>
            </w:pPr>
            <w:r>
              <w:rPr>
                <w:kern w:val="0"/>
                <w:sz w:val="21"/>
                <w:szCs w:val="21"/>
              </w:rPr>
              <w:t>1454+（150000-100000）×0.8%=1854</w:t>
            </w:r>
          </w:p>
        </w:tc>
      </w:tr>
    </w:tbl>
    <w:p>
      <w:pPr>
        <w:spacing w:line="240" w:lineRule="auto"/>
        <w:ind w:firstLine="528"/>
        <w:outlineLvl w:val="2"/>
        <w:rPr>
          <w:color w:val="000000"/>
          <w:spacing w:val="12"/>
          <w:szCs w:val="24"/>
        </w:rPr>
      </w:pPr>
      <w:r>
        <w:rPr>
          <w:color w:val="000000"/>
          <w:spacing w:val="12"/>
          <w:szCs w:val="24"/>
        </w:rPr>
        <w:t>d）预备费</w:t>
      </w:r>
    </w:p>
    <w:p>
      <w:pPr>
        <w:ind w:firstLine="528"/>
        <w:rPr>
          <w:color w:val="000000"/>
          <w:spacing w:val="12"/>
          <w:szCs w:val="24"/>
        </w:rPr>
      </w:pPr>
      <w:r>
        <w:rPr>
          <w:color w:val="000000"/>
          <w:spacing w:val="12"/>
          <w:szCs w:val="24"/>
        </w:rPr>
        <w:t>①基本预备费</w:t>
      </w:r>
    </w:p>
    <w:p>
      <w:pPr>
        <w:ind w:firstLine="528"/>
        <w:rPr>
          <w:color w:val="000000"/>
          <w:spacing w:val="12"/>
          <w:szCs w:val="24"/>
        </w:rPr>
      </w:pPr>
      <w:r>
        <w:rPr>
          <w:color w:val="000000"/>
          <w:spacing w:val="12"/>
          <w:szCs w:val="24"/>
        </w:rPr>
        <w:t>基本预备费=（工程施工费+设备购置费+其他费用）×费率6%。</w:t>
      </w:r>
    </w:p>
    <w:p>
      <w:pPr>
        <w:ind w:firstLine="528"/>
        <w:rPr>
          <w:color w:val="000000"/>
          <w:spacing w:val="12"/>
          <w:szCs w:val="24"/>
        </w:rPr>
      </w:pPr>
      <w:r>
        <w:rPr>
          <w:color w:val="000000"/>
          <w:spacing w:val="12"/>
          <w:szCs w:val="24"/>
        </w:rPr>
        <w:t>②价差预备费</w:t>
      </w:r>
    </w:p>
    <w:p>
      <w:pPr>
        <w:ind w:firstLine="528"/>
        <w:rPr>
          <w:color w:val="000000"/>
          <w:spacing w:val="12"/>
          <w:szCs w:val="24"/>
        </w:rPr>
      </w:pPr>
      <w:r>
        <w:rPr>
          <w:color w:val="000000"/>
          <w:spacing w:val="12"/>
          <w:szCs w:val="24"/>
        </w:rPr>
        <w:t>考虑到经济发展及物价波动等因素，应根据静态投资及复垦工作安排进行价差预备费计算。</w:t>
      </w:r>
    </w:p>
    <w:p>
      <w:pPr>
        <w:ind w:firstLine="528"/>
        <w:rPr>
          <w:color w:val="000000"/>
          <w:spacing w:val="12"/>
          <w:szCs w:val="24"/>
        </w:rPr>
      </w:pPr>
      <w:r>
        <w:rPr>
          <w:color w:val="000000"/>
          <w:spacing w:val="12"/>
          <w:szCs w:val="24"/>
        </w:rPr>
        <w:t>假设项目生产服务年限为n年，年度</w:t>
      </w:r>
      <w:bookmarkStart w:id="142" w:name="_Toc305068292"/>
      <w:r>
        <w:rPr>
          <w:color w:val="000000"/>
          <w:spacing w:val="12"/>
          <w:szCs w:val="24"/>
        </w:rPr>
        <w:t>价格波动水平按国家规定的物价指数（r)计算，若每年的静态投资费为a1、a2、a3……an（万元)，则第i年的价差预备费Wi：</w:t>
      </w:r>
    </w:p>
    <w:p>
      <w:pPr>
        <w:ind w:firstLine="528"/>
        <w:rPr>
          <w:color w:val="000000"/>
          <w:spacing w:val="12"/>
          <w:szCs w:val="24"/>
        </w:rPr>
      </w:pPr>
      <w:r>
        <w:rPr>
          <w:color w:val="000000"/>
          <w:spacing w:val="12"/>
          <w:szCs w:val="24"/>
        </w:rPr>
        <w:t>Wi=ai〔(1+r)n-1-1〕</w:t>
      </w:r>
    </w:p>
    <w:p>
      <w:pPr>
        <w:ind w:firstLine="528"/>
        <w:rPr>
          <w:color w:val="000000"/>
          <w:spacing w:val="12"/>
          <w:szCs w:val="24"/>
        </w:rPr>
      </w:pPr>
      <w:r>
        <w:rPr>
          <w:color w:val="000000"/>
          <w:spacing w:val="12"/>
          <w:szCs w:val="24"/>
        </w:rPr>
        <w:t>③风险金</w:t>
      </w:r>
    </w:p>
    <w:p>
      <w:pPr>
        <w:ind w:firstLine="528"/>
        <w:rPr>
          <w:rFonts w:hint="eastAsia"/>
          <w:color w:val="000000"/>
          <w:spacing w:val="12"/>
          <w:szCs w:val="24"/>
        </w:rPr>
      </w:pPr>
      <w:r>
        <w:rPr>
          <w:color w:val="000000"/>
          <w:spacing w:val="12"/>
          <w:szCs w:val="24"/>
        </w:rPr>
        <w:t>本方案风险金是可预见而目前技术上无法完全避免的土地复垦过程中可能发生风险的备用金，一般风险金按不低于项目静态总投资的3.00%计算</w:t>
      </w:r>
      <w:r>
        <w:rPr>
          <w:rFonts w:hint="eastAsia"/>
          <w:color w:val="000000"/>
          <w:spacing w:val="12"/>
          <w:szCs w:val="24"/>
        </w:rPr>
        <w:t>。</w:t>
      </w:r>
    </w:p>
    <w:p>
      <w:pPr>
        <w:ind w:firstLine="528"/>
        <w:outlineLvl w:val="2"/>
        <w:rPr>
          <w:color w:val="000000"/>
          <w:spacing w:val="12"/>
          <w:szCs w:val="24"/>
        </w:rPr>
      </w:pPr>
      <w:r>
        <w:rPr>
          <w:color w:val="000000"/>
          <w:spacing w:val="12"/>
          <w:szCs w:val="24"/>
        </w:rPr>
        <w:br w:type="page"/>
      </w:r>
      <w:r>
        <w:rPr>
          <w:color w:val="000000"/>
          <w:spacing w:val="12"/>
          <w:szCs w:val="24"/>
        </w:rPr>
        <w:t>e）管护费</w:t>
      </w:r>
    </w:p>
    <w:p>
      <w:pPr>
        <w:ind w:firstLine="528"/>
        <w:rPr>
          <w:color w:val="000000"/>
          <w:spacing w:val="12"/>
          <w:szCs w:val="24"/>
          <w:highlight w:val="yellow"/>
        </w:rPr>
      </w:pPr>
      <w:r>
        <w:rPr>
          <w:rFonts w:hint="eastAsia"/>
          <w:color w:val="000000"/>
          <w:spacing w:val="12"/>
          <w:szCs w:val="24"/>
        </w:rPr>
        <w:t>复垦方向为林地的已编制《恢复林业生产条件实施方案》，方案中已设置管护费，本方案中不在重复设置。</w:t>
      </w:r>
    </w:p>
    <w:bookmarkEnd w:id="142"/>
    <w:p>
      <w:pPr>
        <w:pStyle w:val="4"/>
        <w:spacing w:before="0" w:after="0"/>
        <w:ind w:firstLine="0" w:firstLineChars="0"/>
        <w:rPr>
          <w:rFonts w:hint="eastAsia"/>
          <w:color w:val="000000"/>
          <w:kern w:val="0"/>
          <w:szCs w:val="30"/>
        </w:rPr>
      </w:pPr>
      <w:bookmarkStart w:id="143" w:name="_Toc305068293"/>
      <w:bookmarkStart w:id="144" w:name="_Toc35614692"/>
      <w:bookmarkStart w:id="145" w:name="_Toc12293"/>
      <w:r>
        <w:rPr>
          <w:rFonts w:hint="eastAsia"/>
          <w:color w:val="000000"/>
          <w:kern w:val="0"/>
          <w:szCs w:val="30"/>
        </w:rPr>
        <w:t>7</w:t>
      </w:r>
      <w:r>
        <w:rPr>
          <w:color w:val="000000"/>
          <w:kern w:val="0"/>
          <w:szCs w:val="30"/>
        </w:rPr>
        <w:t>.2估算成果</w:t>
      </w:r>
      <w:bookmarkEnd w:id="143"/>
      <w:bookmarkEnd w:id="144"/>
      <w:bookmarkEnd w:id="145"/>
    </w:p>
    <w:p>
      <w:pPr>
        <w:ind w:firstLine="528"/>
        <w:rPr>
          <w:color w:val="000000"/>
          <w:spacing w:val="12"/>
          <w:szCs w:val="24"/>
        </w:rPr>
      </w:pPr>
      <w:r>
        <w:rPr>
          <w:color w:val="000000"/>
          <w:spacing w:val="12"/>
          <w:szCs w:val="24"/>
        </w:rPr>
        <w:t>本项目复垦静态总投资为</w:t>
      </w:r>
      <w:r>
        <w:rPr>
          <w:rFonts w:hint="eastAsia"/>
          <w:color w:val="000000"/>
          <w:spacing w:val="12"/>
          <w:szCs w:val="24"/>
        </w:rPr>
        <w:t>164.5101万元</w:t>
      </w:r>
      <w:r>
        <w:rPr>
          <w:color w:val="000000"/>
          <w:spacing w:val="12"/>
          <w:szCs w:val="24"/>
        </w:rPr>
        <w:t>，动态总投资为</w:t>
      </w:r>
      <w:r>
        <w:rPr>
          <w:rFonts w:hint="eastAsia"/>
          <w:color w:val="000000"/>
          <w:spacing w:val="12"/>
          <w:szCs w:val="24"/>
        </w:rPr>
        <w:t>210.0265万元，</w:t>
      </w:r>
      <w:r>
        <w:rPr>
          <w:color w:val="000000"/>
          <w:spacing w:val="12"/>
          <w:szCs w:val="24"/>
        </w:rPr>
        <w:t>本方案复垦土地面积为</w:t>
      </w:r>
      <w:r>
        <w:rPr>
          <w:rFonts w:hint="eastAsia"/>
          <w:color w:val="000000"/>
          <w:spacing w:val="12"/>
          <w:szCs w:val="24"/>
        </w:rPr>
        <w:t>4.1706hm</w:t>
      </w:r>
      <w:r>
        <w:rPr>
          <w:color w:val="000000"/>
          <w:spacing w:val="12"/>
          <w:szCs w:val="24"/>
        </w:rPr>
        <w:t>²，项目静态投资为</w:t>
      </w:r>
      <w:r>
        <w:rPr>
          <w:rFonts w:hint="eastAsia"/>
          <w:color w:val="000000"/>
          <w:spacing w:val="12"/>
          <w:szCs w:val="24"/>
        </w:rPr>
        <w:t>39.4452万元</w:t>
      </w:r>
      <w:r>
        <w:rPr>
          <w:color w:val="000000"/>
          <w:spacing w:val="12"/>
          <w:szCs w:val="24"/>
        </w:rPr>
        <w:t>/</w:t>
      </w:r>
      <w:r>
        <w:rPr>
          <w:rFonts w:hint="eastAsia"/>
          <w:color w:val="000000"/>
          <w:spacing w:val="12"/>
          <w:szCs w:val="24"/>
        </w:rPr>
        <w:t>公顷（26296.79元/亩）</w:t>
      </w:r>
      <w:r>
        <w:rPr>
          <w:color w:val="000000"/>
          <w:spacing w:val="12"/>
          <w:szCs w:val="24"/>
        </w:rPr>
        <w:t>，动态投资为</w:t>
      </w:r>
      <w:r>
        <w:rPr>
          <w:rFonts w:hint="eastAsia"/>
          <w:color w:val="000000"/>
          <w:spacing w:val="12"/>
          <w:szCs w:val="24"/>
        </w:rPr>
        <w:t>50.3588万元</w:t>
      </w:r>
      <w:r>
        <w:rPr>
          <w:color w:val="000000"/>
          <w:spacing w:val="12"/>
          <w:szCs w:val="24"/>
        </w:rPr>
        <w:t>/</w:t>
      </w:r>
      <w:r>
        <w:rPr>
          <w:rFonts w:hint="eastAsia"/>
          <w:color w:val="000000"/>
          <w:spacing w:val="12"/>
          <w:szCs w:val="24"/>
        </w:rPr>
        <w:t>公顷（33572.55元/亩）</w:t>
      </w:r>
      <w:r>
        <w:rPr>
          <w:color w:val="000000"/>
          <w:spacing w:val="12"/>
          <w:szCs w:val="24"/>
        </w:rPr>
        <w:t>。项目区土地复垦投资估算总表、其他费用表、工程措施费估算表和动态投资估算见下表</w:t>
      </w:r>
      <w:r>
        <w:rPr>
          <w:rFonts w:hint="eastAsia"/>
          <w:color w:val="000000"/>
          <w:spacing w:val="12"/>
          <w:szCs w:val="24"/>
        </w:rPr>
        <w:t>：</w:t>
      </w:r>
    </w:p>
    <w:p>
      <w:pPr>
        <w:ind w:firstLine="420"/>
        <w:jc w:val="center"/>
        <w:rPr>
          <w:rFonts w:eastAsia="黑体"/>
          <w:color w:val="000000"/>
          <w:sz w:val="21"/>
          <w:szCs w:val="21"/>
        </w:rPr>
      </w:pPr>
      <w:r>
        <w:rPr>
          <w:rFonts w:eastAsia="黑体"/>
          <w:color w:val="000000"/>
          <w:sz w:val="21"/>
          <w:szCs w:val="21"/>
        </w:rPr>
        <w:t>表</w:t>
      </w:r>
      <w:r>
        <w:rPr>
          <w:rFonts w:hint="eastAsia" w:eastAsia="黑体"/>
          <w:color w:val="000000"/>
          <w:sz w:val="21"/>
          <w:szCs w:val="21"/>
        </w:rPr>
        <w:t>7-14</w:t>
      </w:r>
      <w:r>
        <w:rPr>
          <w:rFonts w:eastAsia="黑体"/>
          <w:color w:val="000000"/>
          <w:sz w:val="21"/>
          <w:szCs w:val="21"/>
        </w:rPr>
        <w:t>土地复垦投资估算总表</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2806"/>
        <w:gridCol w:w="1558"/>
        <w:gridCol w:w="33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2806"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工程或费用名称</w:t>
            </w:r>
          </w:p>
        </w:tc>
        <w:tc>
          <w:tcPr>
            <w:tcW w:w="1558"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费用（万元）</w:t>
            </w:r>
          </w:p>
        </w:tc>
        <w:tc>
          <w:tcPr>
            <w:tcW w:w="331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各项费用占动态投资的比例（%）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vMerge w:val="continue"/>
            <w:noWrap/>
            <w:vAlign w:val="center"/>
          </w:tcPr>
          <w:p>
            <w:pPr>
              <w:widowControl/>
              <w:spacing w:line="240" w:lineRule="auto"/>
              <w:ind w:firstLine="0" w:firstLineChars="0"/>
              <w:jc w:val="center"/>
              <w:rPr>
                <w:color w:val="000000"/>
                <w:sz w:val="21"/>
                <w:szCs w:val="21"/>
              </w:rPr>
            </w:pPr>
          </w:p>
        </w:tc>
        <w:tc>
          <w:tcPr>
            <w:tcW w:w="2806" w:type="dxa"/>
            <w:vMerge w:val="continue"/>
            <w:noWrap/>
            <w:vAlign w:val="center"/>
          </w:tcPr>
          <w:p>
            <w:pPr>
              <w:widowControl/>
              <w:spacing w:line="240" w:lineRule="auto"/>
              <w:ind w:firstLine="0" w:firstLineChars="0"/>
              <w:jc w:val="center"/>
              <w:rPr>
                <w:color w:val="000000"/>
                <w:sz w:val="21"/>
                <w:szCs w:val="21"/>
              </w:rPr>
            </w:pPr>
          </w:p>
        </w:tc>
        <w:tc>
          <w:tcPr>
            <w:tcW w:w="1558" w:type="dxa"/>
            <w:vMerge w:val="continue"/>
            <w:noWrap/>
            <w:vAlign w:val="center"/>
          </w:tcPr>
          <w:p>
            <w:pPr>
              <w:widowControl/>
              <w:spacing w:line="240" w:lineRule="auto"/>
              <w:ind w:firstLine="0" w:firstLineChars="0"/>
              <w:jc w:val="center"/>
              <w:rPr>
                <w:color w:val="000000"/>
                <w:sz w:val="21"/>
                <w:szCs w:val="21"/>
              </w:rPr>
            </w:pPr>
          </w:p>
        </w:tc>
        <w:tc>
          <w:tcPr>
            <w:tcW w:w="3315" w:type="dxa"/>
            <w:vMerge w:val="continue"/>
            <w:noWrap w:val="0"/>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工程施工费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120.7772</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73.42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设备费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三</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其他费用</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29.7629</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18.09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四</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监测与管护费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监测费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管护费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五</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预备费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59.4864</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36.16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基本预备费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9.0300</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5.49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价差预备费</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45.5164</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27.67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（三）</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风险金</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4.9400</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静态总投资</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164.5101</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8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七</w:t>
            </w:r>
          </w:p>
        </w:tc>
        <w:tc>
          <w:tcPr>
            <w:tcW w:w="280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动态总投资</w:t>
            </w:r>
          </w:p>
        </w:tc>
        <w:tc>
          <w:tcPr>
            <w:tcW w:w="15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210.0265</w:t>
            </w:r>
          </w:p>
        </w:tc>
        <w:tc>
          <w:tcPr>
            <w:tcW w:w="3315" w:type="dxa"/>
            <w:noWrap/>
            <w:vAlign w:val="center"/>
          </w:tcPr>
          <w:p>
            <w:pPr>
              <w:widowControl/>
              <w:spacing w:line="240" w:lineRule="auto"/>
              <w:ind w:firstLine="0" w:firstLineChars="0"/>
              <w:jc w:val="center"/>
              <w:textAlignment w:val="center"/>
              <w:rPr>
                <w:color w:val="000000"/>
                <w:sz w:val="21"/>
                <w:szCs w:val="21"/>
              </w:rPr>
            </w:pPr>
            <w:r>
              <w:rPr>
                <w:rFonts w:hint="eastAsia" w:ascii="宋体" w:hAnsi="宋体" w:eastAsia="宋体" w:cs="宋体"/>
                <w:color w:val="000000"/>
                <w:kern w:val="0"/>
                <w:szCs w:val="24"/>
                <w:lang w:bidi="ar"/>
              </w:rPr>
              <w:t>-</w:t>
            </w:r>
          </w:p>
        </w:tc>
      </w:tr>
    </w:tbl>
    <w:p>
      <w:pPr>
        <w:spacing w:before="240" w:line="320" w:lineRule="exact"/>
        <w:ind w:firstLine="420"/>
        <w:jc w:val="center"/>
        <w:rPr>
          <w:rFonts w:hint="eastAsia" w:eastAsia="黑体"/>
          <w:color w:val="000000"/>
          <w:sz w:val="21"/>
          <w:szCs w:val="21"/>
          <w:highlight w:val="yellow"/>
        </w:rPr>
      </w:pPr>
      <w:r>
        <w:rPr>
          <w:rFonts w:eastAsia="黑体"/>
          <w:color w:val="000000"/>
          <w:sz w:val="21"/>
          <w:szCs w:val="21"/>
        </w:rPr>
        <w:t>表</w:t>
      </w:r>
      <w:r>
        <w:rPr>
          <w:rFonts w:hint="eastAsia" w:eastAsia="黑体"/>
          <w:color w:val="000000"/>
          <w:sz w:val="21"/>
          <w:szCs w:val="21"/>
        </w:rPr>
        <w:t>7-15工程施工费估算汇总表（总表）</w:t>
      </w:r>
    </w:p>
    <w:tbl>
      <w:tblPr>
        <w:tblStyle w:val="25"/>
        <w:tblW w:w="852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13"/>
        <w:gridCol w:w="1616"/>
        <w:gridCol w:w="2138"/>
        <w:gridCol w:w="37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16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单项名称</w:t>
            </w:r>
          </w:p>
        </w:tc>
        <w:tc>
          <w:tcPr>
            <w:tcW w:w="213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预算金额（万元）</w:t>
            </w:r>
          </w:p>
        </w:tc>
        <w:tc>
          <w:tcPr>
            <w:tcW w:w="37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各项费用占工程施工费的比例(%)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3" w:type="dxa"/>
            <w:vMerge w:val="continue"/>
            <w:noWrap/>
            <w:vAlign w:val="center"/>
          </w:tcPr>
          <w:p>
            <w:pPr>
              <w:widowControl/>
              <w:spacing w:line="240" w:lineRule="auto"/>
              <w:ind w:firstLine="0" w:firstLineChars="0"/>
              <w:jc w:val="center"/>
              <w:rPr>
                <w:color w:val="000000"/>
                <w:sz w:val="21"/>
                <w:szCs w:val="21"/>
              </w:rPr>
            </w:pPr>
          </w:p>
        </w:tc>
        <w:tc>
          <w:tcPr>
            <w:tcW w:w="16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13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7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6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2138"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120.7772</w:t>
            </w:r>
          </w:p>
        </w:tc>
        <w:tc>
          <w:tcPr>
            <w:tcW w:w="3758"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PrEx>
        <w:trPr>
          <w:trHeight w:val="397" w:hRule="atLeast"/>
          <w:jc w:val="center"/>
        </w:trPr>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161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2138"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120.7772</w:t>
            </w:r>
          </w:p>
        </w:tc>
        <w:tc>
          <w:tcPr>
            <w:tcW w:w="37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spacing w:before="240" w:line="320" w:lineRule="exact"/>
        <w:ind w:firstLine="0" w:firstLineChars="0"/>
        <w:jc w:val="center"/>
        <w:rPr>
          <w:rFonts w:hint="eastAsia" w:eastAsia="黑体"/>
          <w:color w:val="000000"/>
          <w:sz w:val="21"/>
          <w:szCs w:val="21"/>
          <w:highlight w:val="yellow"/>
        </w:rPr>
      </w:pPr>
      <w:r>
        <w:rPr>
          <w:rFonts w:eastAsia="黑体"/>
          <w:color w:val="000000"/>
          <w:sz w:val="21"/>
          <w:szCs w:val="21"/>
        </w:rPr>
        <w:br w:type="page"/>
      </w:r>
      <w:r>
        <w:rPr>
          <w:rFonts w:eastAsia="黑体"/>
          <w:color w:val="000000"/>
          <w:sz w:val="21"/>
          <w:szCs w:val="21"/>
        </w:rPr>
        <w:t>表</w:t>
      </w:r>
      <w:r>
        <w:rPr>
          <w:rFonts w:hint="eastAsia" w:eastAsia="黑体"/>
          <w:color w:val="000000"/>
          <w:sz w:val="21"/>
          <w:szCs w:val="21"/>
        </w:rPr>
        <w:t>7-16工程施工费估算表（分地块）</w:t>
      </w:r>
    </w:p>
    <w:tbl>
      <w:tblPr>
        <w:tblStyle w:val="25"/>
        <w:tblW w:w="852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2614"/>
        <w:gridCol w:w="2014"/>
        <w:gridCol w:w="32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26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单项名称</w:t>
            </w:r>
          </w:p>
        </w:tc>
        <w:tc>
          <w:tcPr>
            <w:tcW w:w="20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预算金额（万元）</w:t>
            </w:r>
          </w:p>
        </w:tc>
        <w:tc>
          <w:tcPr>
            <w:tcW w:w="326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各项费用占工程施工费的比例(%)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vMerge w:val="continue"/>
            <w:noWrap/>
            <w:vAlign w:val="center"/>
          </w:tcPr>
          <w:p>
            <w:pPr>
              <w:widowControl/>
              <w:spacing w:line="240" w:lineRule="auto"/>
              <w:ind w:firstLine="0" w:firstLineChars="0"/>
              <w:jc w:val="center"/>
              <w:rPr>
                <w:color w:val="000000"/>
                <w:sz w:val="21"/>
                <w:szCs w:val="21"/>
              </w:rPr>
            </w:pPr>
          </w:p>
        </w:tc>
        <w:tc>
          <w:tcPr>
            <w:tcW w:w="26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0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26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noWrap/>
            <w:vAlign w:val="center"/>
          </w:tcPr>
          <w:p>
            <w:pPr>
              <w:widowControl/>
              <w:spacing w:line="240" w:lineRule="auto"/>
              <w:ind w:firstLine="0" w:firstLineChars="0"/>
              <w:jc w:val="center"/>
              <w:rPr>
                <w:color w:val="000000"/>
                <w:sz w:val="21"/>
                <w:szCs w:val="21"/>
              </w:rPr>
            </w:pPr>
          </w:p>
        </w:tc>
        <w:tc>
          <w:tcPr>
            <w:tcW w:w="2614" w:type="dxa"/>
            <w:noWrap/>
            <w:vAlign w:val="center"/>
          </w:tcPr>
          <w:p>
            <w:pPr>
              <w:widowControl/>
              <w:spacing w:line="240" w:lineRule="auto"/>
              <w:ind w:firstLine="0" w:firstLineChars="0"/>
              <w:jc w:val="center"/>
              <w:textAlignment w:val="center"/>
              <w:rPr>
                <w:rFonts w:hint="eastAsia"/>
                <w:color w:val="000000"/>
                <w:sz w:val="21"/>
                <w:szCs w:val="21"/>
              </w:rPr>
            </w:pPr>
            <w:r>
              <w:rPr>
                <w:color w:val="000000"/>
                <w:kern w:val="0"/>
                <w:sz w:val="21"/>
                <w:szCs w:val="21"/>
                <w:lang w:bidi="ar"/>
              </w:rPr>
              <w:t>1#</w:t>
            </w:r>
            <w:r>
              <w:rPr>
                <w:rFonts w:hint="eastAsia"/>
                <w:color w:val="000000"/>
                <w:kern w:val="0"/>
                <w:sz w:val="21"/>
                <w:szCs w:val="21"/>
                <w:lang w:bidi="ar"/>
              </w:rPr>
              <w:t>弃土场</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9.7031</w:t>
            </w:r>
          </w:p>
        </w:tc>
        <w:tc>
          <w:tcPr>
            <w:tcW w:w="3261"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8.03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6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9.7031</w:t>
            </w:r>
          </w:p>
        </w:tc>
        <w:tc>
          <w:tcPr>
            <w:tcW w:w="3261"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8.03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noWrap/>
            <w:vAlign w:val="center"/>
          </w:tcPr>
          <w:p>
            <w:pPr>
              <w:widowControl/>
              <w:spacing w:line="240" w:lineRule="auto"/>
              <w:ind w:firstLine="0" w:firstLineChars="0"/>
              <w:jc w:val="center"/>
              <w:rPr>
                <w:color w:val="000000"/>
                <w:sz w:val="21"/>
                <w:szCs w:val="21"/>
              </w:rPr>
            </w:pPr>
          </w:p>
        </w:tc>
        <w:tc>
          <w:tcPr>
            <w:tcW w:w="2614" w:type="dxa"/>
            <w:noWrap/>
            <w:vAlign w:val="center"/>
          </w:tcPr>
          <w:p>
            <w:pPr>
              <w:widowControl/>
              <w:spacing w:line="240" w:lineRule="auto"/>
              <w:ind w:firstLine="0" w:firstLineChars="0"/>
              <w:jc w:val="center"/>
              <w:textAlignment w:val="center"/>
              <w:rPr>
                <w:rFonts w:hint="eastAsia"/>
                <w:color w:val="000000"/>
                <w:sz w:val="21"/>
                <w:szCs w:val="21"/>
              </w:rPr>
            </w:pPr>
            <w:r>
              <w:rPr>
                <w:color w:val="000000"/>
                <w:kern w:val="0"/>
                <w:sz w:val="21"/>
                <w:szCs w:val="21"/>
                <w:lang w:bidi="ar"/>
              </w:rPr>
              <w:t>1#</w:t>
            </w:r>
            <w:r>
              <w:rPr>
                <w:rFonts w:hint="eastAsia"/>
                <w:color w:val="000000"/>
                <w:kern w:val="0"/>
                <w:sz w:val="21"/>
                <w:szCs w:val="21"/>
                <w:lang w:bidi="ar"/>
              </w:rPr>
              <w:t>拌合站</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111.0741</w:t>
            </w:r>
          </w:p>
        </w:tc>
        <w:tc>
          <w:tcPr>
            <w:tcW w:w="3261"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91.97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6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111.0741</w:t>
            </w:r>
          </w:p>
        </w:tc>
        <w:tc>
          <w:tcPr>
            <w:tcW w:w="3261"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91.97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26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120.7772</w:t>
            </w:r>
          </w:p>
        </w:tc>
        <w:tc>
          <w:tcPr>
            <w:tcW w:w="326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spacing w:line="320" w:lineRule="exact"/>
        <w:ind w:firstLine="0" w:firstLineChars="0"/>
        <w:jc w:val="center"/>
        <w:rPr>
          <w:rFonts w:hint="eastAsia" w:eastAsia="黑体"/>
          <w:color w:val="000000"/>
          <w:sz w:val="21"/>
          <w:szCs w:val="21"/>
          <w:highlight w:val="yellow"/>
        </w:rPr>
      </w:pPr>
      <w:r>
        <w:rPr>
          <w:rFonts w:eastAsia="黑体"/>
          <w:color w:val="000000"/>
          <w:sz w:val="21"/>
          <w:szCs w:val="21"/>
        </w:rPr>
        <w:t>表</w:t>
      </w:r>
      <w:r>
        <w:rPr>
          <w:rFonts w:hint="eastAsia" w:eastAsia="黑体"/>
          <w:color w:val="000000"/>
          <w:sz w:val="21"/>
          <w:szCs w:val="21"/>
        </w:rPr>
        <w:t>7-17其他费用估算总表</w:t>
      </w:r>
    </w:p>
    <w:tbl>
      <w:tblPr>
        <w:tblStyle w:val="25"/>
        <w:tblW w:w="852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2060"/>
        <w:gridCol w:w="2671"/>
        <w:gridCol w:w="1359"/>
        <w:gridCol w:w="17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vMerge w:val="restart"/>
            <w:noWrap/>
            <w:vAlign w:val="center"/>
          </w:tcPr>
          <w:p>
            <w:pPr>
              <w:widowControl/>
              <w:spacing w:line="240" w:lineRule="auto"/>
              <w:ind w:firstLine="0" w:firstLineChars="0"/>
              <w:jc w:val="center"/>
              <w:textAlignment w:val="center"/>
              <w:rPr>
                <w:color w:val="000000"/>
                <w:sz w:val="21"/>
                <w:szCs w:val="21"/>
              </w:rPr>
            </w:pPr>
            <w:bookmarkStart w:id="146" w:name="_Toc305068294"/>
            <w:bookmarkStart w:id="147" w:name="_Toc35614693"/>
            <w:r>
              <w:rPr>
                <w:color w:val="000000"/>
                <w:kern w:val="0"/>
                <w:sz w:val="21"/>
                <w:szCs w:val="21"/>
                <w:lang w:bidi="ar"/>
              </w:rPr>
              <w:t>序号</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费用名称</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计算式</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预算金额</w:t>
            </w:r>
            <w:r>
              <w:rPr>
                <w:rFonts w:hint="eastAsia"/>
                <w:color w:val="000000"/>
                <w:kern w:val="0"/>
                <w:sz w:val="21"/>
                <w:szCs w:val="21"/>
                <w:lang w:bidi="ar"/>
              </w:rPr>
              <w:t>（</w:t>
            </w:r>
            <w:r>
              <w:rPr>
                <w:rFonts w:hint="eastAsia"/>
                <w:color w:val="000000"/>
                <w:kern w:val="0"/>
                <w:sz w:val="21"/>
                <w:szCs w:val="21"/>
                <w:lang w:val="en-US" w:eastAsia="zh-CN" w:bidi="ar"/>
              </w:rPr>
              <w:t>万</w:t>
            </w:r>
            <w:r>
              <w:rPr>
                <w:rFonts w:hint="eastAsia"/>
                <w:color w:val="000000"/>
                <w:kern w:val="0"/>
                <w:sz w:val="21"/>
                <w:szCs w:val="21"/>
                <w:lang w:bidi="ar"/>
              </w:rPr>
              <w:t>元）</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各项费用占其它费用的比例(%)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vMerge w:val="continue"/>
            <w:noWrap/>
            <w:vAlign w:val="center"/>
          </w:tcPr>
          <w:p>
            <w:pPr>
              <w:widowControl/>
              <w:spacing w:line="240" w:lineRule="auto"/>
              <w:ind w:firstLine="0" w:firstLineChars="0"/>
              <w:jc w:val="center"/>
              <w:rPr>
                <w:color w:val="000000"/>
                <w:sz w:val="21"/>
                <w:szCs w:val="21"/>
              </w:rPr>
            </w:pP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１</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前期工作费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(1)＋(2)＋(3)＋(4)＋(5)</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12.0006</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土地清查费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施工费×0.5%</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0.6039</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项目可行性研究费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(施工费＋设备费)×0.5%</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0.6039</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项目勘测费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施工费×1.65%</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1.9928</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项目勘察费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施工费×0.55%</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0.6643</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项目测量费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施工费×1.1%</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1.3285</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项目设计与预算编制费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(8)×1.1</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8.8000</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项目招标代理费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２</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工程监理费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8.00</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8.0000</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３</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拆迁补偿费</w:t>
            </w:r>
          </w:p>
        </w:tc>
        <w:tc>
          <w:tcPr>
            <w:tcW w:w="2671" w:type="dxa"/>
            <w:noWrap/>
            <w:vAlign w:val="center"/>
          </w:tcPr>
          <w:p>
            <w:pPr>
              <w:widowControl/>
              <w:spacing w:line="240" w:lineRule="auto"/>
              <w:ind w:firstLine="0" w:firstLineChars="0"/>
              <w:jc w:val="center"/>
              <w:rPr>
                <w:color w:val="000000"/>
                <w:sz w:val="21"/>
                <w:szCs w:val="21"/>
              </w:rPr>
            </w:pP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４</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竣工验收费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(1)＋(2)＋(3)＋(4)＋(5)＋(6)</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5.6620</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工程复核费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(施工费＋设备费)×0.70%</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0.8454</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工程验收费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(施工费＋设备费)×1.4%</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1.6909</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决算编制与审计费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(施工费＋设备费)×1.00%</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1.2078</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整理后土地重估与登记费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(施工费＋设备费)×0.65%</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0.7851</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标识设定费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1.00＋(施工费＋设备费)×0.11%</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1.1329</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新增耕地核查认定费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５</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业主管理费</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(施工费＋设备费＋１＋２＋３＋４)×2.80%</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4.1003</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206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267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3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29.7629</w:t>
            </w:r>
          </w:p>
        </w:tc>
        <w:tc>
          <w:tcPr>
            <w:tcW w:w="17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100.00</w:t>
            </w:r>
          </w:p>
        </w:tc>
      </w:tr>
    </w:tbl>
    <w:p>
      <w:pPr>
        <w:pStyle w:val="3"/>
        <w:adjustRightInd w:val="0"/>
        <w:snapToGrid w:val="0"/>
        <w:spacing w:before="0" w:after="0"/>
        <w:ind w:firstLine="0" w:firstLineChars="0"/>
        <w:jc w:val="both"/>
        <w:rPr>
          <w:color w:val="000000"/>
          <w:kern w:val="0"/>
          <w:szCs w:val="32"/>
        </w:rPr>
      </w:pPr>
      <w:r>
        <w:rPr>
          <w:color w:val="000000"/>
          <w:kern w:val="0"/>
          <w:szCs w:val="32"/>
          <w:highlight w:val="yellow"/>
        </w:rPr>
        <w:br w:type="page"/>
      </w:r>
      <w:bookmarkStart w:id="148" w:name="_Toc9967"/>
      <w:r>
        <w:rPr>
          <w:rFonts w:hint="eastAsia"/>
          <w:color w:val="000000"/>
          <w:kern w:val="0"/>
          <w:szCs w:val="32"/>
        </w:rPr>
        <w:t>8</w:t>
      </w:r>
      <w:r>
        <w:rPr>
          <w:color w:val="000000"/>
          <w:kern w:val="0"/>
          <w:szCs w:val="32"/>
        </w:rPr>
        <w:t>土地复垦服务年限与复垦工作计划安排</w:t>
      </w:r>
      <w:bookmarkEnd w:id="146"/>
      <w:bookmarkEnd w:id="147"/>
      <w:bookmarkEnd w:id="148"/>
    </w:p>
    <w:p>
      <w:pPr>
        <w:pStyle w:val="4"/>
        <w:spacing w:before="0" w:after="0"/>
        <w:ind w:firstLine="0" w:firstLineChars="0"/>
        <w:rPr>
          <w:color w:val="000000"/>
          <w:kern w:val="0"/>
          <w:szCs w:val="30"/>
        </w:rPr>
      </w:pPr>
      <w:bookmarkStart w:id="149" w:name="_Toc183660137"/>
      <w:bookmarkStart w:id="150" w:name="_Toc183617083"/>
      <w:bookmarkStart w:id="151" w:name="_Toc183660255"/>
      <w:bookmarkStart w:id="152" w:name="_Toc544"/>
      <w:bookmarkStart w:id="153" w:name="_Toc35614694"/>
      <w:bookmarkStart w:id="154" w:name="_Toc318961399"/>
      <w:r>
        <w:rPr>
          <w:rFonts w:hint="eastAsia"/>
          <w:color w:val="000000"/>
          <w:kern w:val="0"/>
          <w:szCs w:val="30"/>
        </w:rPr>
        <w:t>8</w:t>
      </w:r>
      <w:r>
        <w:rPr>
          <w:color w:val="000000"/>
          <w:kern w:val="0"/>
          <w:szCs w:val="30"/>
        </w:rPr>
        <w:t>.1</w:t>
      </w:r>
      <w:bookmarkEnd w:id="149"/>
      <w:bookmarkEnd w:id="150"/>
      <w:bookmarkEnd w:id="151"/>
      <w:r>
        <w:rPr>
          <w:color w:val="000000"/>
          <w:kern w:val="0"/>
          <w:szCs w:val="30"/>
        </w:rPr>
        <w:t>土地复垦服务年限</w:t>
      </w:r>
      <w:bookmarkEnd w:id="152"/>
      <w:bookmarkEnd w:id="153"/>
      <w:bookmarkEnd w:id="154"/>
    </w:p>
    <w:p>
      <w:pPr>
        <w:ind w:firstLine="528"/>
        <w:rPr>
          <w:color w:val="000000"/>
          <w:spacing w:val="12"/>
          <w:szCs w:val="24"/>
        </w:rPr>
      </w:pPr>
      <w:r>
        <w:rPr>
          <w:color w:val="000000"/>
          <w:spacing w:val="12"/>
          <w:szCs w:val="24"/>
        </w:rPr>
        <w:t>本土地复垦方案服务年限依据</w:t>
      </w:r>
      <w:r>
        <w:rPr>
          <w:rFonts w:hint="eastAsia"/>
          <w:color w:val="000000"/>
          <w:spacing w:val="12"/>
          <w:szCs w:val="24"/>
        </w:rPr>
        <w:t>《土地复垦方案编制规程-通则》以及</w:t>
      </w:r>
      <w:r>
        <w:rPr>
          <w:color w:val="000000"/>
          <w:spacing w:val="12"/>
          <w:szCs w:val="24"/>
        </w:rPr>
        <w:t>项目的工程建设进度编制，</w:t>
      </w:r>
      <w:r>
        <w:rPr>
          <w:rFonts w:hint="eastAsia"/>
          <w:color w:val="000000"/>
          <w:spacing w:val="12"/>
          <w:szCs w:val="24"/>
        </w:rPr>
        <w:t>项目主体工程建设年限为2023</w:t>
      </w:r>
      <w:r>
        <w:rPr>
          <w:color w:val="000000"/>
          <w:spacing w:val="12"/>
          <w:szCs w:val="24"/>
        </w:rPr>
        <w:t>年</w:t>
      </w:r>
      <w:r>
        <w:rPr>
          <w:rFonts w:hint="eastAsia"/>
          <w:color w:val="000000"/>
          <w:spacing w:val="12"/>
          <w:szCs w:val="24"/>
        </w:rPr>
        <w:t>1</w:t>
      </w:r>
      <w:r>
        <w:rPr>
          <w:color w:val="000000"/>
          <w:spacing w:val="12"/>
          <w:szCs w:val="24"/>
        </w:rPr>
        <w:t>月</w:t>
      </w:r>
      <w:r>
        <w:rPr>
          <w:rFonts w:hint="eastAsia"/>
          <w:color w:val="000000"/>
          <w:spacing w:val="12"/>
          <w:szCs w:val="24"/>
        </w:rPr>
        <w:t>~2026</w:t>
      </w:r>
      <w:r>
        <w:rPr>
          <w:color w:val="000000"/>
          <w:spacing w:val="12"/>
          <w:szCs w:val="24"/>
        </w:rPr>
        <w:t>年</w:t>
      </w:r>
      <w:r>
        <w:rPr>
          <w:rFonts w:hint="eastAsia"/>
          <w:color w:val="000000"/>
          <w:spacing w:val="12"/>
          <w:szCs w:val="24"/>
        </w:rPr>
        <w:t>12</w:t>
      </w:r>
      <w:r>
        <w:rPr>
          <w:color w:val="000000"/>
          <w:spacing w:val="12"/>
          <w:szCs w:val="24"/>
        </w:rPr>
        <w:t>月</w:t>
      </w:r>
      <w:r>
        <w:rPr>
          <w:rFonts w:hint="eastAsia"/>
          <w:color w:val="000000"/>
          <w:spacing w:val="12"/>
          <w:szCs w:val="24"/>
        </w:rPr>
        <w:t>，共4年</w:t>
      </w:r>
      <w:r>
        <w:rPr>
          <w:color w:val="000000"/>
          <w:spacing w:val="12"/>
          <w:szCs w:val="24"/>
        </w:rPr>
        <w:t>。</w:t>
      </w:r>
      <w:r>
        <w:rPr>
          <w:rFonts w:hint="eastAsia"/>
          <w:color w:val="000000"/>
          <w:spacing w:val="12"/>
          <w:szCs w:val="24"/>
        </w:rPr>
        <w:t>临时用地使用年限为2022年12月~2026年6月，共3年7个月，</w:t>
      </w:r>
      <w:r>
        <w:rPr>
          <w:color w:val="000000"/>
          <w:spacing w:val="12"/>
          <w:szCs w:val="24"/>
        </w:rPr>
        <w:t>本复垦方案的服务年限为</w:t>
      </w:r>
      <w:r>
        <w:rPr>
          <w:rFonts w:hint="eastAsia"/>
          <w:color w:val="000000"/>
          <w:spacing w:val="12"/>
          <w:szCs w:val="24"/>
        </w:rPr>
        <w:t>2022</w:t>
      </w:r>
      <w:r>
        <w:rPr>
          <w:color w:val="000000"/>
          <w:spacing w:val="12"/>
          <w:szCs w:val="24"/>
        </w:rPr>
        <w:t>年</w:t>
      </w:r>
      <w:r>
        <w:rPr>
          <w:rFonts w:hint="eastAsia"/>
          <w:color w:val="000000"/>
          <w:spacing w:val="12"/>
          <w:szCs w:val="24"/>
        </w:rPr>
        <w:t>12</w:t>
      </w:r>
      <w:r>
        <w:rPr>
          <w:color w:val="000000"/>
          <w:spacing w:val="12"/>
          <w:szCs w:val="24"/>
        </w:rPr>
        <w:t>月</w:t>
      </w:r>
      <w:r>
        <w:rPr>
          <w:rFonts w:hint="eastAsia"/>
          <w:color w:val="000000"/>
          <w:spacing w:val="12"/>
          <w:szCs w:val="24"/>
        </w:rPr>
        <w:t>~2026</w:t>
      </w:r>
      <w:r>
        <w:rPr>
          <w:color w:val="000000"/>
          <w:spacing w:val="12"/>
          <w:szCs w:val="24"/>
        </w:rPr>
        <w:t>年</w:t>
      </w:r>
      <w:r>
        <w:rPr>
          <w:rFonts w:hint="eastAsia"/>
          <w:color w:val="000000"/>
          <w:spacing w:val="12"/>
          <w:szCs w:val="24"/>
        </w:rPr>
        <w:t>11</w:t>
      </w:r>
      <w:r>
        <w:rPr>
          <w:color w:val="000000"/>
          <w:spacing w:val="12"/>
          <w:szCs w:val="24"/>
        </w:rPr>
        <w:t>月，共</w:t>
      </w:r>
      <w:r>
        <w:rPr>
          <w:rFonts w:hint="eastAsia"/>
          <w:color w:val="000000"/>
          <w:spacing w:val="12"/>
          <w:szCs w:val="24"/>
        </w:rPr>
        <w:t>4年</w:t>
      </w:r>
      <w:r>
        <w:rPr>
          <w:color w:val="000000"/>
          <w:spacing w:val="12"/>
          <w:szCs w:val="24"/>
        </w:rPr>
        <w:t>，其中</w:t>
      </w:r>
      <w:r>
        <w:rPr>
          <w:rFonts w:hint="eastAsia"/>
          <w:color w:val="000000"/>
          <w:spacing w:val="12"/>
          <w:szCs w:val="24"/>
        </w:rPr>
        <w:t>2026</w:t>
      </w:r>
      <w:r>
        <w:rPr>
          <w:color w:val="000000"/>
          <w:spacing w:val="12"/>
          <w:szCs w:val="24"/>
        </w:rPr>
        <w:t>年</w:t>
      </w:r>
      <w:r>
        <w:rPr>
          <w:rFonts w:hint="eastAsia"/>
          <w:color w:val="000000"/>
          <w:spacing w:val="12"/>
          <w:szCs w:val="24"/>
        </w:rPr>
        <w:t>7</w:t>
      </w:r>
      <w:r>
        <w:rPr>
          <w:color w:val="000000"/>
          <w:spacing w:val="12"/>
          <w:szCs w:val="24"/>
        </w:rPr>
        <w:t>月</w:t>
      </w:r>
      <w:r>
        <w:rPr>
          <w:rFonts w:hint="eastAsia"/>
          <w:color w:val="000000"/>
          <w:spacing w:val="12"/>
          <w:szCs w:val="24"/>
        </w:rPr>
        <w:t>~2026</w:t>
      </w:r>
      <w:r>
        <w:rPr>
          <w:color w:val="000000"/>
          <w:spacing w:val="12"/>
          <w:szCs w:val="24"/>
        </w:rPr>
        <w:t>年</w:t>
      </w:r>
      <w:r>
        <w:rPr>
          <w:rFonts w:hint="eastAsia"/>
          <w:color w:val="000000"/>
          <w:spacing w:val="12"/>
          <w:szCs w:val="24"/>
        </w:rPr>
        <w:t>11</w:t>
      </w:r>
      <w:r>
        <w:rPr>
          <w:color w:val="000000"/>
          <w:spacing w:val="12"/>
          <w:szCs w:val="24"/>
        </w:rPr>
        <w:t>月为</w:t>
      </w:r>
      <w:r>
        <w:rPr>
          <w:rFonts w:hint="eastAsia"/>
          <w:color w:val="000000"/>
          <w:spacing w:val="12"/>
          <w:szCs w:val="24"/>
        </w:rPr>
        <w:t>复垦期</w:t>
      </w:r>
      <w:r>
        <w:rPr>
          <w:color w:val="000000"/>
          <w:spacing w:val="12"/>
          <w:szCs w:val="24"/>
        </w:rPr>
        <w:t>。</w:t>
      </w:r>
    </w:p>
    <w:p>
      <w:pPr>
        <w:pStyle w:val="4"/>
        <w:spacing w:before="0" w:after="0"/>
        <w:ind w:firstLine="0" w:firstLineChars="0"/>
        <w:rPr>
          <w:color w:val="000000"/>
          <w:kern w:val="0"/>
          <w:szCs w:val="30"/>
        </w:rPr>
      </w:pPr>
      <w:bookmarkStart w:id="155" w:name="_Toc318961400"/>
      <w:bookmarkStart w:id="156" w:name="_Toc10098"/>
      <w:bookmarkStart w:id="157" w:name="_Toc35614695"/>
      <w:bookmarkStart w:id="158" w:name="_Toc183660256"/>
      <w:bookmarkStart w:id="159" w:name="_Toc183617084"/>
      <w:bookmarkStart w:id="160" w:name="_Toc183660138"/>
      <w:r>
        <w:rPr>
          <w:rFonts w:hint="eastAsia"/>
          <w:color w:val="000000"/>
          <w:kern w:val="0"/>
          <w:szCs w:val="30"/>
        </w:rPr>
        <w:t>8</w:t>
      </w:r>
      <w:r>
        <w:rPr>
          <w:color w:val="000000"/>
          <w:kern w:val="0"/>
          <w:szCs w:val="30"/>
        </w:rPr>
        <w:t>.2土地复垦工作计划安排</w:t>
      </w:r>
      <w:bookmarkEnd w:id="155"/>
      <w:bookmarkEnd w:id="156"/>
      <w:bookmarkEnd w:id="157"/>
      <w:bookmarkEnd w:id="158"/>
      <w:bookmarkEnd w:id="159"/>
      <w:bookmarkEnd w:id="160"/>
    </w:p>
    <w:p>
      <w:pPr>
        <w:ind w:firstLine="528"/>
        <w:rPr>
          <w:color w:val="000000"/>
          <w:spacing w:val="12"/>
          <w:szCs w:val="24"/>
        </w:rPr>
      </w:pPr>
      <w:bookmarkStart w:id="161" w:name="_Toc318961401"/>
      <w:r>
        <w:rPr>
          <w:color w:val="000000"/>
          <w:spacing w:val="12"/>
          <w:szCs w:val="24"/>
        </w:rPr>
        <w:t>本复垦方案的土地复垦工作计划安排，根据</w:t>
      </w:r>
      <w:r>
        <w:rPr>
          <w:rFonts w:hint="eastAsia"/>
          <w:color w:val="000000"/>
          <w:spacing w:val="12"/>
          <w:szCs w:val="24"/>
        </w:rPr>
        <w:t>《土地复垦方案编制规程-通则》、</w:t>
      </w:r>
      <w:r>
        <w:rPr>
          <w:color w:val="000000"/>
          <w:spacing w:val="12"/>
          <w:szCs w:val="24"/>
        </w:rPr>
        <w:t>项目建设计划、土地损毁分析和预测、土地复垦适宜性评价和土地复垦单元的划定来确定。本项目的土地复垦工作计划安排按年度分析如下：</w:t>
      </w:r>
    </w:p>
    <w:p>
      <w:pPr>
        <w:ind w:firstLine="528"/>
        <w:rPr>
          <w:color w:val="000000"/>
          <w:spacing w:val="12"/>
          <w:szCs w:val="24"/>
        </w:rPr>
      </w:pPr>
      <w:r>
        <w:rPr>
          <w:color w:val="000000"/>
          <w:spacing w:val="12"/>
          <w:szCs w:val="24"/>
        </w:rPr>
        <w:t>20</w:t>
      </w:r>
      <w:r>
        <w:rPr>
          <w:rFonts w:hint="eastAsia"/>
          <w:color w:val="000000"/>
          <w:spacing w:val="12"/>
          <w:szCs w:val="24"/>
        </w:rPr>
        <w:t>23</w:t>
      </w:r>
      <w:r>
        <w:rPr>
          <w:color w:val="000000"/>
          <w:spacing w:val="12"/>
          <w:szCs w:val="24"/>
        </w:rPr>
        <w:t>年</w:t>
      </w:r>
      <w:r>
        <w:rPr>
          <w:rFonts w:hint="eastAsia"/>
          <w:color w:val="000000"/>
          <w:spacing w:val="12"/>
          <w:szCs w:val="24"/>
        </w:rPr>
        <w:t>1</w:t>
      </w:r>
      <w:r>
        <w:rPr>
          <w:color w:val="000000"/>
          <w:spacing w:val="12"/>
          <w:szCs w:val="24"/>
        </w:rPr>
        <w:t>月</w:t>
      </w:r>
      <w:r>
        <w:rPr>
          <w:rFonts w:hint="eastAsia"/>
          <w:color w:val="000000"/>
          <w:spacing w:val="12"/>
          <w:szCs w:val="24"/>
        </w:rPr>
        <w:t>~</w:t>
      </w:r>
      <w:r>
        <w:rPr>
          <w:color w:val="000000"/>
          <w:spacing w:val="12"/>
          <w:szCs w:val="24"/>
        </w:rPr>
        <w:t>20</w:t>
      </w:r>
      <w:r>
        <w:rPr>
          <w:rFonts w:hint="eastAsia"/>
          <w:color w:val="000000"/>
          <w:spacing w:val="12"/>
          <w:szCs w:val="24"/>
        </w:rPr>
        <w:t>26</w:t>
      </w:r>
      <w:r>
        <w:rPr>
          <w:color w:val="000000"/>
          <w:spacing w:val="12"/>
          <w:szCs w:val="24"/>
        </w:rPr>
        <w:t>年</w:t>
      </w:r>
      <w:r>
        <w:rPr>
          <w:rFonts w:hint="eastAsia"/>
          <w:color w:val="000000"/>
          <w:spacing w:val="12"/>
          <w:szCs w:val="24"/>
        </w:rPr>
        <w:t>12</w:t>
      </w:r>
      <w:r>
        <w:rPr>
          <w:color w:val="000000"/>
          <w:spacing w:val="12"/>
          <w:szCs w:val="24"/>
        </w:rPr>
        <w:t>月，该阶段为</w:t>
      </w:r>
      <w:r>
        <w:rPr>
          <w:rFonts w:hint="eastAsia"/>
          <w:color w:val="000000"/>
          <w:spacing w:val="12"/>
          <w:szCs w:val="24"/>
        </w:rPr>
        <w:t>西富高速主体工程</w:t>
      </w:r>
      <w:r>
        <w:rPr>
          <w:color w:val="000000"/>
          <w:spacing w:val="12"/>
          <w:szCs w:val="24"/>
        </w:rPr>
        <w:t>基建期。</w:t>
      </w:r>
    </w:p>
    <w:p>
      <w:pPr>
        <w:ind w:firstLine="528"/>
        <w:rPr>
          <w:color w:val="000000"/>
          <w:spacing w:val="12"/>
          <w:szCs w:val="24"/>
        </w:rPr>
      </w:pPr>
      <w:r>
        <w:rPr>
          <w:rFonts w:hint="eastAsia"/>
          <w:color w:val="000000"/>
          <w:spacing w:val="12"/>
          <w:szCs w:val="24"/>
        </w:rPr>
        <w:t>2022年12月</w:t>
      </w:r>
      <w:r>
        <w:rPr>
          <w:color w:val="000000"/>
          <w:spacing w:val="12"/>
          <w:szCs w:val="24"/>
        </w:rPr>
        <w:t>~</w:t>
      </w:r>
      <w:r>
        <w:rPr>
          <w:rFonts w:hint="eastAsia"/>
          <w:color w:val="000000"/>
          <w:spacing w:val="12"/>
          <w:szCs w:val="24"/>
        </w:rPr>
        <w:t>2026年6月，为临时用地使用期</w:t>
      </w:r>
      <w:r>
        <w:rPr>
          <w:color w:val="000000"/>
          <w:spacing w:val="12"/>
          <w:szCs w:val="24"/>
        </w:rPr>
        <w:t>。</w:t>
      </w:r>
    </w:p>
    <w:p>
      <w:pPr>
        <w:ind w:firstLine="528"/>
        <w:rPr>
          <w:rFonts w:hint="eastAsia"/>
          <w:color w:val="000000"/>
          <w:spacing w:val="12"/>
          <w:szCs w:val="24"/>
        </w:rPr>
      </w:pPr>
      <w:r>
        <w:rPr>
          <w:color w:val="000000"/>
          <w:spacing w:val="12"/>
          <w:szCs w:val="24"/>
        </w:rPr>
        <w:t>202</w:t>
      </w:r>
      <w:r>
        <w:rPr>
          <w:rFonts w:hint="eastAsia"/>
          <w:color w:val="000000"/>
          <w:spacing w:val="12"/>
          <w:szCs w:val="24"/>
        </w:rPr>
        <w:t>6</w:t>
      </w:r>
      <w:r>
        <w:rPr>
          <w:color w:val="000000"/>
          <w:spacing w:val="12"/>
          <w:szCs w:val="24"/>
        </w:rPr>
        <w:t>年</w:t>
      </w:r>
      <w:r>
        <w:rPr>
          <w:rFonts w:hint="eastAsia"/>
          <w:color w:val="000000"/>
          <w:spacing w:val="12"/>
          <w:szCs w:val="24"/>
        </w:rPr>
        <w:t>7</w:t>
      </w:r>
      <w:r>
        <w:rPr>
          <w:color w:val="000000"/>
          <w:spacing w:val="12"/>
          <w:szCs w:val="24"/>
        </w:rPr>
        <w:t>月~</w:t>
      </w:r>
      <w:r>
        <w:rPr>
          <w:rFonts w:hint="eastAsia"/>
          <w:color w:val="000000"/>
          <w:spacing w:val="12"/>
          <w:szCs w:val="24"/>
        </w:rPr>
        <w:t>2026年11月，</w:t>
      </w:r>
      <w:r>
        <w:rPr>
          <w:color w:val="000000"/>
          <w:spacing w:val="12"/>
          <w:szCs w:val="24"/>
        </w:rPr>
        <w:t>为复垦实施期，本项目考虑</w:t>
      </w:r>
      <w:r>
        <w:rPr>
          <w:rFonts w:hint="eastAsia"/>
          <w:color w:val="000000"/>
          <w:spacing w:val="12"/>
          <w:szCs w:val="24"/>
        </w:rPr>
        <w:t>5个月</w:t>
      </w:r>
      <w:r>
        <w:rPr>
          <w:color w:val="000000"/>
          <w:spacing w:val="12"/>
          <w:szCs w:val="24"/>
        </w:rPr>
        <w:t>的复垦实施期，对项目各个复垦单元进行全面复垦，复垦工程内容</w:t>
      </w:r>
      <w:r>
        <w:rPr>
          <w:rFonts w:hint="eastAsia"/>
          <w:color w:val="000000"/>
          <w:spacing w:val="12"/>
          <w:szCs w:val="24"/>
        </w:rPr>
        <w:t>为土壤重构工程</w:t>
      </w:r>
      <w:r>
        <w:rPr>
          <w:color w:val="000000"/>
          <w:spacing w:val="12"/>
          <w:szCs w:val="24"/>
        </w:rPr>
        <w:t>。</w:t>
      </w:r>
    </w:p>
    <w:p>
      <w:pPr>
        <w:ind w:firstLine="528"/>
        <w:rPr>
          <w:rFonts w:hint="eastAsia"/>
          <w:color w:val="000000"/>
          <w:spacing w:val="12"/>
          <w:szCs w:val="24"/>
        </w:rPr>
      </w:pPr>
      <w:r>
        <w:rPr>
          <w:rFonts w:hint="eastAsia"/>
          <w:color w:val="000000"/>
          <w:spacing w:val="12"/>
          <w:szCs w:val="24"/>
        </w:rPr>
        <w:t>在复垦方案实施，应当合理安排好施工工序，因此特提出以下几项注意事项：</w:t>
      </w:r>
    </w:p>
    <w:p>
      <w:pPr>
        <w:ind w:firstLine="528"/>
        <w:rPr>
          <w:rFonts w:hint="eastAsia"/>
          <w:color w:val="000000"/>
          <w:spacing w:val="12"/>
          <w:szCs w:val="24"/>
        </w:rPr>
      </w:pPr>
      <w:r>
        <w:rPr>
          <w:rFonts w:hint="eastAsia"/>
          <w:color w:val="000000"/>
          <w:spacing w:val="12"/>
          <w:szCs w:val="24"/>
        </w:rPr>
        <w:t>1、本项目复垦中各临时用地所需的土壤来源为临时用地施工前剥离的表土。</w:t>
      </w:r>
    </w:p>
    <w:p>
      <w:pPr>
        <w:ind w:firstLine="528"/>
        <w:rPr>
          <w:rFonts w:hint="eastAsia"/>
          <w:color w:val="000000"/>
          <w:spacing w:val="12"/>
          <w:szCs w:val="24"/>
        </w:rPr>
      </w:pPr>
      <w:r>
        <w:rPr>
          <w:rFonts w:hint="eastAsia"/>
          <w:color w:val="000000"/>
          <w:spacing w:val="12"/>
          <w:szCs w:val="24"/>
        </w:rPr>
        <w:t>2、对于复垦为林地的复垦区域，在完成客土回覆工序后，进行树木栽植，植树应尽量安排在小雨天气，利于树木成活。</w:t>
      </w:r>
    </w:p>
    <w:p>
      <w:pPr>
        <w:ind w:firstLine="528"/>
        <w:rPr>
          <w:color w:val="000000"/>
          <w:spacing w:val="12"/>
          <w:szCs w:val="24"/>
        </w:rPr>
      </w:pPr>
      <w:r>
        <w:rPr>
          <w:color w:val="000000"/>
          <w:spacing w:val="12"/>
          <w:szCs w:val="24"/>
        </w:rPr>
        <w:t>复垦单元根据面积、工程量及使用时间确定其工期和时点。具体复垦工程进度如下：</w:t>
      </w:r>
    </w:p>
    <w:p>
      <w:pPr>
        <w:ind w:firstLine="528"/>
        <w:outlineLvl w:val="1"/>
        <w:rPr>
          <w:color w:val="000000"/>
          <w:spacing w:val="12"/>
          <w:szCs w:val="24"/>
        </w:rPr>
      </w:pPr>
      <w:bookmarkStart w:id="162" w:name="_Toc8483"/>
      <w:bookmarkStart w:id="163" w:name="_Toc26961"/>
      <w:bookmarkStart w:id="164" w:name="_Toc1649"/>
      <w:bookmarkStart w:id="165" w:name="_Toc19792"/>
      <w:bookmarkStart w:id="166" w:name="_Toc28347"/>
      <w:r>
        <w:rPr>
          <w:color w:val="000000"/>
          <w:spacing w:val="12"/>
          <w:szCs w:val="24"/>
        </w:rPr>
        <w:t>a）前期工作</w:t>
      </w:r>
      <w:bookmarkEnd w:id="162"/>
      <w:bookmarkEnd w:id="163"/>
      <w:bookmarkEnd w:id="164"/>
      <w:bookmarkEnd w:id="165"/>
      <w:bookmarkEnd w:id="166"/>
    </w:p>
    <w:p>
      <w:pPr>
        <w:ind w:firstLine="528"/>
        <w:rPr>
          <w:color w:val="000000"/>
          <w:spacing w:val="12"/>
          <w:szCs w:val="24"/>
        </w:rPr>
      </w:pPr>
      <w:r>
        <w:rPr>
          <w:color w:val="000000"/>
          <w:spacing w:val="12"/>
          <w:szCs w:val="24"/>
        </w:rPr>
        <w:t>临时用地使用期为</w:t>
      </w:r>
      <w:r>
        <w:rPr>
          <w:rFonts w:hint="eastAsia"/>
          <w:color w:val="000000"/>
          <w:spacing w:val="12"/>
          <w:szCs w:val="24"/>
        </w:rPr>
        <w:t>3</w:t>
      </w:r>
      <w:r>
        <w:rPr>
          <w:color w:val="000000"/>
          <w:spacing w:val="12"/>
          <w:szCs w:val="24"/>
        </w:rPr>
        <w:t>年</w:t>
      </w:r>
      <w:r>
        <w:rPr>
          <w:rFonts w:hint="eastAsia"/>
          <w:color w:val="000000"/>
          <w:spacing w:val="12"/>
          <w:szCs w:val="24"/>
        </w:rPr>
        <w:t>7</w:t>
      </w:r>
      <w:r>
        <w:rPr>
          <w:color w:val="000000"/>
          <w:spacing w:val="12"/>
          <w:szCs w:val="24"/>
        </w:rPr>
        <w:t>个月，即2022年</w:t>
      </w:r>
      <w:r>
        <w:rPr>
          <w:rFonts w:hint="eastAsia"/>
          <w:color w:val="000000"/>
          <w:spacing w:val="12"/>
          <w:szCs w:val="24"/>
        </w:rPr>
        <w:t>12</w:t>
      </w:r>
      <w:r>
        <w:rPr>
          <w:color w:val="000000"/>
          <w:spacing w:val="12"/>
          <w:szCs w:val="24"/>
        </w:rPr>
        <w:t>月～202</w:t>
      </w:r>
      <w:r>
        <w:rPr>
          <w:rFonts w:hint="eastAsia"/>
          <w:color w:val="000000"/>
          <w:spacing w:val="12"/>
          <w:szCs w:val="24"/>
        </w:rPr>
        <w:t>6</w:t>
      </w:r>
      <w:r>
        <w:rPr>
          <w:color w:val="000000"/>
          <w:spacing w:val="12"/>
          <w:szCs w:val="24"/>
        </w:rPr>
        <w:t>年</w:t>
      </w:r>
      <w:r>
        <w:rPr>
          <w:rFonts w:hint="eastAsia"/>
          <w:color w:val="000000"/>
          <w:spacing w:val="12"/>
          <w:szCs w:val="24"/>
        </w:rPr>
        <w:t>6</w:t>
      </w:r>
      <w:r>
        <w:rPr>
          <w:color w:val="000000"/>
          <w:spacing w:val="12"/>
          <w:szCs w:val="24"/>
        </w:rPr>
        <w:t>月。土地复垦前期工作为202</w:t>
      </w:r>
      <w:r>
        <w:rPr>
          <w:rFonts w:hint="eastAsia"/>
          <w:color w:val="000000"/>
          <w:spacing w:val="12"/>
          <w:szCs w:val="24"/>
        </w:rPr>
        <w:t>6</w:t>
      </w:r>
      <w:r>
        <w:rPr>
          <w:color w:val="000000"/>
          <w:spacing w:val="12"/>
          <w:szCs w:val="24"/>
        </w:rPr>
        <w:t>年</w:t>
      </w:r>
      <w:r>
        <w:rPr>
          <w:rFonts w:hint="eastAsia"/>
          <w:color w:val="000000"/>
          <w:spacing w:val="12"/>
          <w:szCs w:val="24"/>
        </w:rPr>
        <w:t>7</w:t>
      </w:r>
      <w:r>
        <w:rPr>
          <w:color w:val="000000"/>
          <w:spacing w:val="12"/>
          <w:szCs w:val="24"/>
        </w:rPr>
        <w:t>月</w:t>
      </w:r>
    </w:p>
    <w:p>
      <w:pPr>
        <w:ind w:firstLine="528"/>
        <w:outlineLvl w:val="1"/>
        <w:rPr>
          <w:color w:val="000000"/>
          <w:spacing w:val="12"/>
          <w:szCs w:val="24"/>
        </w:rPr>
      </w:pPr>
      <w:bookmarkStart w:id="167" w:name="_Toc28148"/>
      <w:bookmarkStart w:id="168" w:name="_Toc19010"/>
      <w:bookmarkStart w:id="169" w:name="_Toc8022"/>
      <w:bookmarkStart w:id="170" w:name="_Toc23938"/>
      <w:bookmarkStart w:id="171" w:name="_Toc26356"/>
      <w:r>
        <w:rPr>
          <w:color w:val="000000"/>
          <w:spacing w:val="12"/>
          <w:szCs w:val="24"/>
        </w:rPr>
        <w:t>b）土地复垦工程</w:t>
      </w:r>
      <w:bookmarkEnd w:id="167"/>
      <w:bookmarkEnd w:id="168"/>
      <w:bookmarkEnd w:id="169"/>
      <w:bookmarkEnd w:id="170"/>
      <w:bookmarkEnd w:id="171"/>
    </w:p>
    <w:p>
      <w:pPr>
        <w:ind w:firstLine="528"/>
        <w:rPr>
          <w:color w:val="000000"/>
          <w:spacing w:val="12"/>
          <w:szCs w:val="24"/>
          <w:highlight w:val="yellow"/>
        </w:rPr>
      </w:pPr>
      <w:r>
        <w:rPr>
          <w:color w:val="000000"/>
          <w:spacing w:val="12"/>
          <w:szCs w:val="24"/>
        </w:rPr>
        <w:t>202</w:t>
      </w:r>
      <w:r>
        <w:rPr>
          <w:rFonts w:hint="eastAsia"/>
          <w:color w:val="000000"/>
          <w:spacing w:val="12"/>
          <w:szCs w:val="24"/>
        </w:rPr>
        <w:t>6</w:t>
      </w:r>
      <w:r>
        <w:rPr>
          <w:color w:val="000000"/>
          <w:spacing w:val="12"/>
          <w:szCs w:val="24"/>
        </w:rPr>
        <w:t>年</w:t>
      </w:r>
      <w:r>
        <w:rPr>
          <w:rFonts w:hint="eastAsia"/>
          <w:color w:val="000000"/>
          <w:spacing w:val="12"/>
          <w:szCs w:val="24"/>
        </w:rPr>
        <w:t>8</w:t>
      </w:r>
      <w:r>
        <w:rPr>
          <w:color w:val="000000"/>
          <w:spacing w:val="12"/>
          <w:szCs w:val="24"/>
        </w:rPr>
        <w:t>月~202</w:t>
      </w:r>
      <w:r>
        <w:rPr>
          <w:rFonts w:hint="eastAsia"/>
          <w:color w:val="000000"/>
          <w:spacing w:val="12"/>
          <w:szCs w:val="24"/>
        </w:rPr>
        <w:t>6</w:t>
      </w:r>
      <w:r>
        <w:rPr>
          <w:color w:val="000000"/>
          <w:spacing w:val="12"/>
          <w:szCs w:val="24"/>
        </w:rPr>
        <w:t>年</w:t>
      </w:r>
      <w:r>
        <w:rPr>
          <w:rFonts w:hint="eastAsia"/>
          <w:color w:val="000000"/>
          <w:spacing w:val="12"/>
          <w:szCs w:val="24"/>
        </w:rPr>
        <w:t>9</w:t>
      </w:r>
      <w:r>
        <w:rPr>
          <w:color w:val="000000"/>
          <w:spacing w:val="12"/>
          <w:szCs w:val="24"/>
        </w:rPr>
        <w:t>月进行土地复垦工作，主要</w:t>
      </w:r>
      <w:r>
        <w:rPr>
          <w:rFonts w:hint="eastAsia"/>
          <w:color w:val="000000"/>
          <w:spacing w:val="12"/>
          <w:szCs w:val="24"/>
        </w:rPr>
        <w:t>为表土剥覆</w:t>
      </w:r>
      <w:r>
        <w:rPr>
          <w:color w:val="000000"/>
          <w:spacing w:val="12"/>
          <w:szCs w:val="24"/>
        </w:rPr>
        <w:t>工程</w:t>
      </w:r>
      <w:r>
        <w:rPr>
          <w:rFonts w:hint="eastAsia"/>
          <w:color w:val="000000"/>
          <w:spacing w:val="12"/>
          <w:szCs w:val="24"/>
        </w:rPr>
        <w:t>和清理工程</w:t>
      </w:r>
      <w:r>
        <w:rPr>
          <w:color w:val="000000"/>
          <w:spacing w:val="12"/>
          <w:szCs w:val="24"/>
        </w:rPr>
        <w:t>。</w:t>
      </w:r>
    </w:p>
    <w:p>
      <w:pPr>
        <w:ind w:firstLine="528"/>
        <w:outlineLvl w:val="1"/>
        <w:rPr>
          <w:color w:val="000000"/>
          <w:spacing w:val="12"/>
          <w:szCs w:val="24"/>
        </w:rPr>
      </w:pPr>
      <w:bookmarkStart w:id="172" w:name="_Toc13709"/>
      <w:bookmarkStart w:id="173" w:name="_Toc6661"/>
      <w:bookmarkStart w:id="174" w:name="_Toc14324"/>
      <w:bookmarkStart w:id="175" w:name="_Toc15306"/>
      <w:bookmarkStart w:id="176" w:name="_Toc5347"/>
      <w:r>
        <w:rPr>
          <w:color w:val="000000"/>
          <w:spacing w:val="12"/>
          <w:szCs w:val="24"/>
        </w:rPr>
        <w:t>c）农田水利工程</w:t>
      </w:r>
      <w:bookmarkEnd w:id="172"/>
      <w:bookmarkEnd w:id="173"/>
      <w:bookmarkEnd w:id="174"/>
      <w:bookmarkEnd w:id="175"/>
      <w:bookmarkEnd w:id="176"/>
    </w:p>
    <w:p>
      <w:pPr>
        <w:ind w:firstLine="528"/>
        <w:rPr>
          <w:color w:val="000000"/>
          <w:spacing w:val="12"/>
          <w:szCs w:val="24"/>
        </w:rPr>
      </w:pPr>
      <w:r>
        <w:rPr>
          <w:color w:val="000000"/>
          <w:spacing w:val="12"/>
          <w:szCs w:val="24"/>
        </w:rPr>
        <w:t>农田水利工程主要是弃土场周边挡土墙建设。工期1个月，要求在弃土场使用前建好，属水保方案措施。</w:t>
      </w:r>
    </w:p>
    <w:p>
      <w:pPr>
        <w:ind w:firstLine="528"/>
        <w:outlineLvl w:val="1"/>
        <w:rPr>
          <w:color w:val="000000"/>
          <w:spacing w:val="12"/>
          <w:szCs w:val="24"/>
        </w:rPr>
      </w:pPr>
      <w:bookmarkStart w:id="177" w:name="_Toc29915"/>
      <w:bookmarkStart w:id="178" w:name="_Toc9249"/>
      <w:bookmarkStart w:id="179" w:name="_Toc10037"/>
      <w:bookmarkStart w:id="180" w:name="_Toc2984"/>
      <w:bookmarkStart w:id="181" w:name="_Toc2179"/>
      <w:r>
        <w:rPr>
          <w:color w:val="000000"/>
          <w:spacing w:val="12"/>
          <w:szCs w:val="24"/>
        </w:rPr>
        <w:t>d）竣工验收</w:t>
      </w:r>
      <w:bookmarkEnd w:id="177"/>
      <w:bookmarkEnd w:id="178"/>
      <w:bookmarkEnd w:id="179"/>
      <w:bookmarkEnd w:id="180"/>
      <w:bookmarkEnd w:id="181"/>
    </w:p>
    <w:p>
      <w:pPr>
        <w:ind w:firstLine="528"/>
        <w:rPr>
          <w:color w:val="000000"/>
          <w:spacing w:val="12"/>
          <w:szCs w:val="24"/>
        </w:rPr>
      </w:pPr>
      <w:r>
        <w:rPr>
          <w:color w:val="000000"/>
          <w:spacing w:val="12"/>
          <w:szCs w:val="24"/>
        </w:rPr>
        <w:t>202</w:t>
      </w:r>
      <w:r>
        <w:rPr>
          <w:rFonts w:hint="eastAsia"/>
          <w:color w:val="000000"/>
          <w:spacing w:val="12"/>
          <w:szCs w:val="24"/>
        </w:rPr>
        <w:t>6</w:t>
      </w:r>
      <w:r>
        <w:rPr>
          <w:color w:val="000000"/>
          <w:spacing w:val="12"/>
          <w:szCs w:val="24"/>
        </w:rPr>
        <w:t>年</w:t>
      </w:r>
      <w:r>
        <w:rPr>
          <w:rFonts w:hint="eastAsia"/>
          <w:color w:val="000000"/>
          <w:spacing w:val="12"/>
          <w:szCs w:val="24"/>
        </w:rPr>
        <w:t>9</w:t>
      </w:r>
      <w:r>
        <w:rPr>
          <w:color w:val="000000"/>
          <w:spacing w:val="12"/>
          <w:szCs w:val="24"/>
        </w:rPr>
        <w:t>月3</w:t>
      </w:r>
      <w:r>
        <w:rPr>
          <w:rFonts w:hint="eastAsia"/>
          <w:color w:val="000000"/>
          <w:spacing w:val="12"/>
          <w:szCs w:val="24"/>
        </w:rPr>
        <w:t>0</w:t>
      </w:r>
      <w:r>
        <w:rPr>
          <w:color w:val="000000"/>
          <w:spacing w:val="12"/>
          <w:szCs w:val="24"/>
        </w:rPr>
        <w:t>日后2个月内。</w:t>
      </w:r>
    </w:p>
    <w:p>
      <w:pPr>
        <w:spacing w:line="320" w:lineRule="exact"/>
        <w:ind w:firstLine="420"/>
        <w:jc w:val="right"/>
      </w:pPr>
      <w:r>
        <w:rPr>
          <w:rFonts w:eastAsia="黑体"/>
          <w:color w:val="000000"/>
          <w:sz w:val="21"/>
          <w:szCs w:val="21"/>
        </w:rPr>
        <w:t>表</w:t>
      </w:r>
      <w:r>
        <w:rPr>
          <w:rFonts w:hint="eastAsia" w:eastAsia="黑体"/>
          <w:color w:val="000000"/>
          <w:sz w:val="21"/>
          <w:szCs w:val="21"/>
        </w:rPr>
        <w:t>8</w:t>
      </w:r>
      <w:r>
        <w:rPr>
          <w:rFonts w:eastAsia="黑体"/>
          <w:color w:val="000000"/>
          <w:sz w:val="21"/>
          <w:szCs w:val="21"/>
        </w:rPr>
        <w:t>-1</w:t>
      </w:r>
      <w:r>
        <w:rPr>
          <w:rFonts w:hint="eastAsia" w:eastAsia="黑体"/>
          <w:color w:val="000000"/>
          <w:sz w:val="21"/>
          <w:szCs w:val="21"/>
        </w:rPr>
        <w:t>复垦工作计划表</w:t>
      </w:r>
      <w:r>
        <w:rPr>
          <w:rFonts w:eastAsia="黑体"/>
          <w:color w:val="000000"/>
          <w:sz w:val="21"/>
          <w:szCs w:val="21"/>
        </w:rPr>
        <w:t>单位：</w:t>
      </w:r>
      <w:r>
        <w:rPr>
          <w:rFonts w:hint="eastAsia" w:eastAsia="黑体"/>
          <w:color w:val="000000"/>
          <w:sz w:val="21"/>
          <w:szCs w:val="21"/>
        </w:rPr>
        <w:t xml:space="preserve">                     </w:t>
      </w:r>
      <w:r>
        <w:rPr>
          <w:rFonts w:eastAsia="黑体"/>
          <w:color w:val="000000"/>
          <w:sz w:val="21"/>
          <w:szCs w:val="21"/>
        </w:rPr>
        <w:t>万元</w:t>
      </w:r>
    </w:p>
    <w:tbl>
      <w:tblPr>
        <w:tblStyle w:val="25"/>
        <w:tblW w:w="852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33"/>
        <w:gridCol w:w="1098"/>
        <w:gridCol w:w="1313"/>
        <w:gridCol w:w="976"/>
        <w:gridCol w:w="805"/>
        <w:gridCol w:w="815"/>
        <w:gridCol w:w="844"/>
        <w:gridCol w:w="768"/>
        <w:gridCol w:w="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工程名称</w:t>
            </w:r>
          </w:p>
        </w:tc>
        <w:tc>
          <w:tcPr>
            <w:tcW w:w="1098" w:type="dxa"/>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项目地点</w:t>
            </w:r>
          </w:p>
        </w:tc>
        <w:tc>
          <w:tcPr>
            <w:tcW w:w="1313" w:type="dxa"/>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具体用款科目</w:t>
            </w:r>
          </w:p>
        </w:tc>
        <w:tc>
          <w:tcPr>
            <w:tcW w:w="976" w:type="dxa"/>
            <w:vMerge w:val="restart"/>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合计</w:t>
            </w:r>
          </w:p>
        </w:tc>
        <w:tc>
          <w:tcPr>
            <w:tcW w:w="4008" w:type="dxa"/>
            <w:gridSpan w:val="5"/>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项目各月用款数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vMerge w:val="continue"/>
            <w:noWrap w:val="0"/>
            <w:vAlign w:val="center"/>
          </w:tcPr>
          <w:p>
            <w:pPr>
              <w:widowControl/>
              <w:spacing w:line="240" w:lineRule="auto"/>
              <w:ind w:firstLine="0" w:firstLineChars="0"/>
              <w:jc w:val="center"/>
              <w:rPr>
                <w:color w:val="000000"/>
                <w:sz w:val="18"/>
                <w:szCs w:val="18"/>
              </w:rPr>
            </w:pPr>
          </w:p>
        </w:tc>
        <w:tc>
          <w:tcPr>
            <w:tcW w:w="976" w:type="dxa"/>
            <w:vMerge w:val="continue"/>
            <w:noWrap/>
            <w:vAlign w:val="center"/>
          </w:tcPr>
          <w:p>
            <w:pPr>
              <w:widowControl/>
              <w:spacing w:line="240" w:lineRule="auto"/>
              <w:ind w:firstLine="0" w:firstLineChars="0"/>
              <w:jc w:val="center"/>
              <w:rPr>
                <w:color w:val="000000"/>
                <w:sz w:val="18"/>
                <w:szCs w:val="18"/>
              </w:rPr>
            </w:pPr>
          </w:p>
        </w:tc>
        <w:tc>
          <w:tcPr>
            <w:tcW w:w="4008" w:type="dxa"/>
            <w:gridSpan w:val="5"/>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2026年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vMerge w:val="continue"/>
            <w:noWrap w:val="0"/>
            <w:vAlign w:val="center"/>
          </w:tcPr>
          <w:p>
            <w:pPr>
              <w:widowControl/>
              <w:spacing w:line="240" w:lineRule="auto"/>
              <w:ind w:firstLine="0" w:firstLineChars="0"/>
              <w:jc w:val="center"/>
              <w:rPr>
                <w:color w:val="000000"/>
                <w:sz w:val="18"/>
                <w:szCs w:val="18"/>
              </w:rPr>
            </w:pPr>
          </w:p>
        </w:tc>
        <w:tc>
          <w:tcPr>
            <w:tcW w:w="976" w:type="dxa"/>
            <w:vMerge w:val="continue"/>
            <w:noWrap/>
            <w:vAlign w:val="center"/>
          </w:tcPr>
          <w:p>
            <w:pPr>
              <w:widowControl/>
              <w:spacing w:line="240" w:lineRule="auto"/>
              <w:ind w:firstLine="0" w:firstLineChars="0"/>
              <w:jc w:val="center"/>
              <w:rPr>
                <w:color w:val="000000"/>
                <w:sz w:val="18"/>
                <w:szCs w:val="18"/>
              </w:rPr>
            </w:pPr>
          </w:p>
        </w:tc>
        <w:tc>
          <w:tcPr>
            <w:tcW w:w="2464" w:type="dxa"/>
            <w:gridSpan w:val="3"/>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第三季度</w:t>
            </w:r>
          </w:p>
        </w:tc>
        <w:tc>
          <w:tcPr>
            <w:tcW w:w="1544" w:type="dxa"/>
            <w:gridSpan w:val="2"/>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第四季度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vMerge w:val="continue"/>
            <w:noWrap w:val="0"/>
            <w:vAlign w:val="center"/>
          </w:tcPr>
          <w:p>
            <w:pPr>
              <w:widowControl/>
              <w:spacing w:line="240" w:lineRule="auto"/>
              <w:ind w:firstLine="0" w:firstLineChars="0"/>
              <w:jc w:val="center"/>
              <w:rPr>
                <w:color w:val="000000"/>
                <w:sz w:val="18"/>
                <w:szCs w:val="18"/>
              </w:rPr>
            </w:pPr>
          </w:p>
        </w:tc>
        <w:tc>
          <w:tcPr>
            <w:tcW w:w="976" w:type="dxa"/>
            <w:vMerge w:val="continue"/>
            <w:noWrap/>
            <w:vAlign w:val="center"/>
          </w:tcPr>
          <w:p>
            <w:pPr>
              <w:widowControl/>
              <w:spacing w:line="240" w:lineRule="auto"/>
              <w:ind w:firstLine="0" w:firstLineChars="0"/>
              <w:jc w:val="center"/>
              <w:rPr>
                <w:color w:val="000000"/>
                <w:sz w:val="18"/>
                <w:szCs w:val="18"/>
              </w:rPr>
            </w:pPr>
          </w:p>
        </w:tc>
        <w:tc>
          <w:tcPr>
            <w:tcW w:w="80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7月</w:t>
            </w:r>
          </w:p>
        </w:tc>
        <w:tc>
          <w:tcPr>
            <w:tcW w:w="81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8月</w:t>
            </w:r>
          </w:p>
        </w:tc>
        <w:tc>
          <w:tcPr>
            <w:tcW w:w="844"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9月</w:t>
            </w:r>
          </w:p>
        </w:tc>
        <w:tc>
          <w:tcPr>
            <w:tcW w:w="76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10月</w:t>
            </w:r>
          </w:p>
        </w:tc>
        <w:tc>
          <w:tcPr>
            <w:tcW w:w="7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11月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restart"/>
            <w:noWrap w:val="0"/>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西畴至富宁高速公路（西畴段）建设项目</w:t>
            </w:r>
          </w:p>
        </w:tc>
        <w:tc>
          <w:tcPr>
            <w:tcW w:w="1098" w:type="dxa"/>
            <w:vMerge w:val="restart"/>
            <w:noWrap w:val="0"/>
            <w:vAlign w:val="center"/>
          </w:tcPr>
          <w:p>
            <w:pPr>
              <w:widowControl/>
              <w:spacing w:line="240" w:lineRule="auto"/>
              <w:ind w:firstLine="0" w:firstLineChars="0"/>
              <w:jc w:val="center"/>
              <w:textAlignment w:val="center"/>
              <w:rPr>
                <w:color w:val="000000"/>
                <w:sz w:val="18"/>
                <w:szCs w:val="18"/>
              </w:rPr>
            </w:pPr>
            <w:r>
              <w:rPr>
                <w:rFonts w:hint="eastAsia"/>
                <w:color w:val="000000"/>
                <w:kern w:val="0"/>
                <w:sz w:val="18"/>
                <w:szCs w:val="18"/>
                <w:lang w:bidi="ar"/>
              </w:rPr>
              <w:t>云南省文山壮族苗族自治州西畴县</w:t>
            </w:r>
          </w:p>
        </w:tc>
        <w:tc>
          <w:tcPr>
            <w:tcW w:w="131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土壤重构工程</w:t>
            </w:r>
          </w:p>
        </w:tc>
        <w:tc>
          <w:tcPr>
            <w:tcW w:w="9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120.7772</w:t>
            </w:r>
          </w:p>
        </w:tc>
        <w:tc>
          <w:tcPr>
            <w:tcW w:w="805" w:type="dxa"/>
            <w:noWrap/>
            <w:vAlign w:val="center"/>
          </w:tcPr>
          <w:p>
            <w:pPr>
              <w:widowControl/>
              <w:spacing w:line="240" w:lineRule="auto"/>
              <w:ind w:firstLine="0" w:firstLineChars="0"/>
              <w:jc w:val="center"/>
              <w:rPr>
                <w:rFonts w:hint="eastAsia" w:eastAsia="仿宋_GB2312"/>
                <w:color w:val="000000"/>
                <w:sz w:val="18"/>
                <w:szCs w:val="18"/>
                <w:lang w:eastAsia="zh-CN"/>
              </w:rPr>
            </w:pPr>
            <w:r>
              <w:rPr>
                <w:rFonts w:hint="eastAsia"/>
                <w:color w:val="000000"/>
                <w:sz w:val="18"/>
                <w:szCs w:val="18"/>
                <w:lang w:val="en-US" w:eastAsia="zh-CN"/>
              </w:rPr>
              <w:t>0</w:t>
            </w:r>
          </w:p>
        </w:tc>
        <w:tc>
          <w:tcPr>
            <w:tcW w:w="81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60.3886</w:t>
            </w:r>
          </w:p>
        </w:tc>
        <w:tc>
          <w:tcPr>
            <w:tcW w:w="844"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60.3886</w:t>
            </w:r>
          </w:p>
        </w:tc>
        <w:tc>
          <w:tcPr>
            <w:tcW w:w="768"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776"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前期工作费</w:t>
            </w:r>
          </w:p>
        </w:tc>
        <w:tc>
          <w:tcPr>
            <w:tcW w:w="9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12.0006</w:t>
            </w:r>
          </w:p>
        </w:tc>
        <w:tc>
          <w:tcPr>
            <w:tcW w:w="80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12.0006</w:t>
            </w:r>
          </w:p>
        </w:tc>
        <w:tc>
          <w:tcPr>
            <w:tcW w:w="815"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844"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768"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776"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工程监理费</w:t>
            </w:r>
          </w:p>
        </w:tc>
        <w:tc>
          <w:tcPr>
            <w:tcW w:w="9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8.0000</w:t>
            </w:r>
          </w:p>
        </w:tc>
        <w:tc>
          <w:tcPr>
            <w:tcW w:w="80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1.6000</w:t>
            </w:r>
          </w:p>
        </w:tc>
        <w:tc>
          <w:tcPr>
            <w:tcW w:w="81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1.6000</w:t>
            </w:r>
          </w:p>
        </w:tc>
        <w:tc>
          <w:tcPr>
            <w:tcW w:w="844"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1.6000</w:t>
            </w:r>
          </w:p>
        </w:tc>
        <w:tc>
          <w:tcPr>
            <w:tcW w:w="76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1.6000</w:t>
            </w:r>
          </w:p>
        </w:tc>
        <w:tc>
          <w:tcPr>
            <w:tcW w:w="7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竣工验收费</w:t>
            </w:r>
          </w:p>
        </w:tc>
        <w:tc>
          <w:tcPr>
            <w:tcW w:w="9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5.6620</w:t>
            </w:r>
          </w:p>
        </w:tc>
        <w:tc>
          <w:tcPr>
            <w:tcW w:w="805"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815"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844" w:type="dxa"/>
            <w:noWrap/>
            <w:vAlign w:val="center"/>
          </w:tcPr>
          <w:p>
            <w:pPr>
              <w:widowControl/>
              <w:spacing w:line="240" w:lineRule="auto"/>
              <w:ind w:firstLine="0" w:firstLineChars="0"/>
              <w:jc w:val="center"/>
              <w:rPr>
                <w:rFonts w:hint="eastAsia" w:eastAsia="仿宋_GB2312"/>
                <w:color w:val="000000"/>
                <w:sz w:val="18"/>
                <w:szCs w:val="18"/>
                <w:lang w:val="en-US" w:eastAsia="zh-CN"/>
              </w:rPr>
            </w:pPr>
            <w:r>
              <w:rPr>
                <w:rFonts w:hint="eastAsia"/>
                <w:color w:val="000000"/>
                <w:sz w:val="18"/>
                <w:szCs w:val="18"/>
                <w:lang w:val="en-US" w:eastAsia="zh-CN"/>
              </w:rPr>
              <w:t>0</w:t>
            </w:r>
          </w:p>
        </w:tc>
        <w:tc>
          <w:tcPr>
            <w:tcW w:w="76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2.8310</w:t>
            </w:r>
          </w:p>
        </w:tc>
        <w:tc>
          <w:tcPr>
            <w:tcW w:w="7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2.8310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vMerge w:val="continue"/>
            <w:noWrap w:val="0"/>
            <w:vAlign w:val="center"/>
          </w:tcPr>
          <w:p>
            <w:pPr>
              <w:widowControl/>
              <w:spacing w:line="240" w:lineRule="auto"/>
              <w:ind w:firstLine="0" w:firstLineChars="0"/>
              <w:jc w:val="center"/>
              <w:rPr>
                <w:color w:val="000000"/>
                <w:sz w:val="18"/>
                <w:szCs w:val="18"/>
              </w:rPr>
            </w:pPr>
          </w:p>
        </w:tc>
        <w:tc>
          <w:tcPr>
            <w:tcW w:w="1098" w:type="dxa"/>
            <w:vMerge w:val="continue"/>
            <w:noWrap w:val="0"/>
            <w:vAlign w:val="center"/>
          </w:tcPr>
          <w:p>
            <w:pPr>
              <w:widowControl/>
              <w:spacing w:line="240" w:lineRule="auto"/>
              <w:ind w:firstLine="0" w:firstLineChars="0"/>
              <w:jc w:val="center"/>
              <w:rPr>
                <w:color w:val="000000"/>
                <w:sz w:val="18"/>
                <w:szCs w:val="18"/>
              </w:rPr>
            </w:pPr>
          </w:p>
        </w:tc>
        <w:tc>
          <w:tcPr>
            <w:tcW w:w="131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业主管理费</w:t>
            </w:r>
          </w:p>
        </w:tc>
        <w:tc>
          <w:tcPr>
            <w:tcW w:w="9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4.1003</w:t>
            </w:r>
          </w:p>
        </w:tc>
        <w:tc>
          <w:tcPr>
            <w:tcW w:w="80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0.8201</w:t>
            </w:r>
          </w:p>
        </w:tc>
        <w:tc>
          <w:tcPr>
            <w:tcW w:w="81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0.8201</w:t>
            </w:r>
          </w:p>
        </w:tc>
        <w:tc>
          <w:tcPr>
            <w:tcW w:w="844"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0.8201</w:t>
            </w:r>
          </w:p>
        </w:tc>
        <w:tc>
          <w:tcPr>
            <w:tcW w:w="76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0.8201</w:t>
            </w:r>
          </w:p>
        </w:tc>
        <w:tc>
          <w:tcPr>
            <w:tcW w:w="7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0.8201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3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总计</w:t>
            </w:r>
          </w:p>
        </w:tc>
        <w:tc>
          <w:tcPr>
            <w:tcW w:w="109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w:t>
            </w:r>
          </w:p>
        </w:tc>
        <w:tc>
          <w:tcPr>
            <w:tcW w:w="1313"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w:t>
            </w:r>
          </w:p>
        </w:tc>
        <w:tc>
          <w:tcPr>
            <w:tcW w:w="9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150.5401</w:t>
            </w:r>
          </w:p>
        </w:tc>
        <w:tc>
          <w:tcPr>
            <w:tcW w:w="80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14.4207</w:t>
            </w:r>
          </w:p>
        </w:tc>
        <w:tc>
          <w:tcPr>
            <w:tcW w:w="815"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62.8087</w:t>
            </w:r>
          </w:p>
        </w:tc>
        <w:tc>
          <w:tcPr>
            <w:tcW w:w="844"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62.8087</w:t>
            </w:r>
          </w:p>
        </w:tc>
        <w:tc>
          <w:tcPr>
            <w:tcW w:w="768"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5.2511</w:t>
            </w:r>
          </w:p>
        </w:tc>
        <w:tc>
          <w:tcPr>
            <w:tcW w:w="776" w:type="dxa"/>
            <w:noWrap/>
            <w:vAlign w:val="center"/>
          </w:tcPr>
          <w:p>
            <w:pPr>
              <w:widowControl/>
              <w:spacing w:line="240" w:lineRule="auto"/>
              <w:ind w:firstLine="0" w:firstLineChars="0"/>
              <w:jc w:val="center"/>
              <w:textAlignment w:val="center"/>
              <w:rPr>
                <w:color w:val="000000"/>
                <w:sz w:val="18"/>
                <w:szCs w:val="18"/>
              </w:rPr>
            </w:pPr>
            <w:r>
              <w:rPr>
                <w:color w:val="000000"/>
                <w:kern w:val="0"/>
                <w:sz w:val="18"/>
                <w:szCs w:val="18"/>
                <w:lang w:bidi="ar"/>
              </w:rPr>
              <w:t>5.2511</w:t>
            </w:r>
          </w:p>
        </w:tc>
      </w:tr>
    </w:tbl>
    <w:p>
      <w:pPr>
        <w:ind w:firstLine="480"/>
      </w:pPr>
      <w:r>
        <w:rPr>
          <w:rFonts w:hint="eastAsia"/>
          <w:color w:val="000000"/>
          <w:spacing w:val="12"/>
          <w:sz w:val="22"/>
          <w:szCs w:val="22"/>
          <w:highlight w:val="none"/>
          <w:lang w:val="en-US" w:eastAsia="zh-CN"/>
        </w:rPr>
        <w:t>注：</w:t>
      </w:r>
      <w:r>
        <w:rPr>
          <w:rFonts w:hint="eastAsia"/>
          <w:sz w:val="22"/>
          <w:szCs w:val="21"/>
          <w:highlight w:val="none"/>
        </w:rPr>
        <w:t>表不含基本预备费</w:t>
      </w:r>
      <w:r>
        <w:rPr>
          <w:sz w:val="22"/>
          <w:szCs w:val="21"/>
          <w:highlight w:val="none"/>
        </w:rPr>
        <w:t>、</w:t>
      </w:r>
      <w:r>
        <w:rPr>
          <w:rFonts w:hint="eastAsia"/>
          <w:sz w:val="22"/>
          <w:szCs w:val="21"/>
          <w:highlight w:val="none"/>
        </w:rPr>
        <w:t>价差预备费</w:t>
      </w:r>
      <w:r>
        <w:rPr>
          <w:sz w:val="22"/>
          <w:szCs w:val="21"/>
          <w:highlight w:val="none"/>
        </w:rPr>
        <w:t>、</w:t>
      </w:r>
      <w:r>
        <w:rPr>
          <w:rFonts w:hint="eastAsia"/>
          <w:sz w:val="22"/>
          <w:szCs w:val="21"/>
          <w:highlight w:val="none"/>
        </w:rPr>
        <w:t>风险金。</w:t>
      </w:r>
    </w:p>
    <w:p>
      <w:pPr>
        <w:pStyle w:val="4"/>
        <w:spacing w:before="0" w:after="0"/>
        <w:ind w:firstLine="0" w:firstLineChars="0"/>
        <w:rPr>
          <w:color w:val="000000"/>
          <w:kern w:val="0"/>
          <w:szCs w:val="30"/>
        </w:rPr>
      </w:pPr>
      <w:bookmarkStart w:id="182" w:name="_Toc26053"/>
      <w:bookmarkStart w:id="183" w:name="_Toc35614696"/>
      <w:r>
        <w:rPr>
          <w:rFonts w:hint="eastAsia"/>
          <w:color w:val="000000"/>
          <w:kern w:val="0"/>
          <w:szCs w:val="30"/>
        </w:rPr>
        <w:t>8</w:t>
      </w:r>
      <w:r>
        <w:rPr>
          <w:color w:val="000000"/>
          <w:kern w:val="0"/>
          <w:szCs w:val="30"/>
        </w:rPr>
        <w:t>.3土地复垦费用安排</w:t>
      </w:r>
      <w:bookmarkEnd w:id="161"/>
      <w:bookmarkEnd w:id="182"/>
      <w:bookmarkEnd w:id="183"/>
      <w:bookmarkStart w:id="184" w:name="_Toc305068297"/>
    </w:p>
    <w:p>
      <w:pPr>
        <w:ind w:firstLine="528"/>
        <w:rPr>
          <w:color w:val="000000"/>
          <w:szCs w:val="24"/>
        </w:rPr>
      </w:pPr>
      <w:r>
        <w:rPr>
          <w:color w:val="000000"/>
          <w:spacing w:val="12"/>
          <w:szCs w:val="24"/>
        </w:rPr>
        <w:t>该工程属建设类项目，土地复垦工程投资将全部由</w:t>
      </w:r>
      <w:r>
        <w:rPr>
          <w:rFonts w:hint="eastAsia"/>
          <w:color w:val="000000"/>
          <w:spacing w:val="12"/>
          <w:szCs w:val="24"/>
          <w:lang w:eastAsia="zh-CN"/>
        </w:rPr>
        <w:t>云南云岭路面工程有限公司</w:t>
      </w:r>
      <w:r>
        <w:rPr>
          <w:color w:val="000000"/>
          <w:spacing w:val="12"/>
          <w:szCs w:val="24"/>
        </w:rPr>
        <w:t>全部承担，在工程基本建设投资中列入，并与主体工程建设资金同时调拨使用，同时施工、同时发挥效益；建设单位应积极开展工作，落实资金，保证方案实施。土地复垦的设备投资可以从项目水土保持工程中解决，作为“三同时”工程进行验收。根据《土地复垦条例实施办法》，应当在土地复垦方案通过审查后一个月内全额预存土地复垦费用，预存金额为</w:t>
      </w:r>
      <w:r>
        <w:rPr>
          <w:rFonts w:hint="eastAsia"/>
          <w:color w:val="000000"/>
          <w:spacing w:val="12"/>
          <w:szCs w:val="24"/>
        </w:rPr>
        <w:t>210.0265</w:t>
      </w:r>
      <w:r>
        <w:rPr>
          <w:color w:val="000000"/>
          <w:spacing w:val="12"/>
          <w:szCs w:val="24"/>
        </w:rPr>
        <w:t>万元。</w:t>
      </w:r>
    </w:p>
    <w:p>
      <w:pPr>
        <w:spacing w:line="320" w:lineRule="exact"/>
        <w:ind w:firstLine="420"/>
        <w:jc w:val="center"/>
        <w:rPr>
          <w:rFonts w:hint="eastAsia" w:eastAsia="黑体"/>
          <w:color w:val="000000"/>
          <w:sz w:val="21"/>
          <w:szCs w:val="21"/>
        </w:rPr>
      </w:pPr>
      <w:r>
        <w:rPr>
          <w:rFonts w:hint="eastAsia" w:eastAsia="黑体"/>
          <w:color w:val="000000"/>
          <w:sz w:val="21"/>
          <w:szCs w:val="21"/>
        </w:rPr>
        <w:br w:type="page"/>
      </w:r>
      <w:r>
        <w:rPr>
          <w:rFonts w:hint="eastAsia" w:eastAsia="黑体"/>
          <w:color w:val="000000"/>
          <w:sz w:val="21"/>
          <w:szCs w:val="21"/>
        </w:rPr>
        <w:t>表8-2土地复垦费用安排表</w:t>
      </w:r>
    </w:p>
    <w:tbl>
      <w:tblPr>
        <w:tblStyle w:val="25"/>
        <w:tblW w:w="852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3"/>
        <w:gridCol w:w="1252"/>
        <w:gridCol w:w="2002"/>
        <w:gridCol w:w="1400"/>
        <w:gridCol w:w="1448"/>
        <w:gridCol w:w="14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125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阶段</w:t>
            </w:r>
          </w:p>
        </w:tc>
        <w:tc>
          <w:tcPr>
            <w:tcW w:w="200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年份</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静态总投资</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价差预备费</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动态总投资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vMerge w:val="continue"/>
            <w:noWrap/>
            <w:vAlign w:val="center"/>
          </w:tcPr>
          <w:p>
            <w:pPr>
              <w:widowControl/>
              <w:spacing w:line="240" w:lineRule="auto"/>
              <w:ind w:firstLine="0" w:firstLineChars="0"/>
              <w:jc w:val="center"/>
              <w:rPr>
                <w:color w:val="000000"/>
                <w:sz w:val="21"/>
                <w:szCs w:val="21"/>
              </w:rPr>
            </w:pPr>
          </w:p>
        </w:tc>
        <w:tc>
          <w:tcPr>
            <w:tcW w:w="1252" w:type="dxa"/>
            <w:vMerge w:val="continue"/>
            <w:noWrap/>
            <w:vAlign w:val="center"/>
          </w:tcPr>
          <w:p>
            <w:pPr>
              <w:widowControl/>
              <w:spacing w:line="240" w:lineRule="auto"/>
              <w:ind w:firstLine="0" w:firstLineChars="0"/>
              <w:jc w:val="center"/>
              <w:rPr>
                <w:color w:val="000000"/>
                <w:sz w:val="21"/>
                <w:szCs w:val="21"/>
              </w:rPr>
            </w:pPr>
          </w:p>
        </w:tc>
        <w:tc>
          <w:tcPr>
            <w:tcW w:w="2002" w:type="dxa"/>
            <w:vMerge w:val="continue"/>
            <w:noWrap/>
            <w:vAlign w:val="center"/>
          </w:tcPr>
          <w:p>
            <w:pPr>
              <w:widowControl/>
              <w:spacing w:line="240" w:lineRule="auto"/>
              <w:ind w:firstLine="0" w:firstLineChars="0"/>
              <w:jc w:val="center"/>
              <w:rPr>
                <w:color w:val="000000"/>
                <w:sz w:val="21"/>
                <w:szCs w:val="21"/>
              </w:rPr>
            </w:pP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（万元）</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（万元）</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25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使用期</w:t>
            </w:r>
          </w:p>
        </w:tc>
        <w:tc>
          <w:tcPr>
            <w:tcW w:w="20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2022.12-2022.12</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2.794</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252" w:type="dxa"/>
            <w:vMerge w:val="continue"/>
            <w:noWrap/>
            <w:vAlign w:val="center"/>
          </w:tcPr>
          <w:p>
            <w:pPr>
              <w:widowControl/>
              <w:spacing w:line="240" w:lineRule="auto"/>
              <w:ind w:firstLine="0" w:firstLineChars="0"/>
              <w:jc w:val="center"/>
              <w:rPr>
                <w:color w:val="000000"/>
                <w:sz w:val="21"/>
                <w:szCs w:val="21"/>
              </w:rPr>
            </w:pPr>
          </w:p>
        </w:tc>
        <w:tc>
          <w:tcPr>
            <w:tcW w:w="20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2023.01-2023.12</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2.7940 </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0.19558</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2.98958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1252" w:type="dxa"/>
            <w:vMerge w:val="continue"/>
            <w:noWrap/>
            <w:vAlign w:val="center"/>
          </w:tcPr>
          <w:p>
            <w:pPr>
              <w:widowControl/>
              <w:spacing w:line="240" w:lineRule="auto"/>
              <w:ind w:firstLine="0" w:firstLineChars="0"/>
              <w:jc w:val="center"/>
              <w:rPr>
                <w:color w:val="000000"/>
                <w:sz w:val="21"/>
                <w:szCs w:val="21"/>
              </w:rPr>
            </w:pPr>
          </w:p>
        </w:tc>
        <w:tc>
          <w:tcPr>
            <w:tcW w:w="20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2024.01-2024.12</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2.7940 </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0.4049 </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3.1989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1252" w:type="dxa"/>
            <w:vMerge w:val="continue"/>
            <w:noWrap/>
            <w:vAlign w:val="center"/>
          </w:tcPr>
          <w:p>
            <w:pPr>
              <w:widowControl/>
              <w:spacing w:line="240" w:lineRule="auto"/>
              <w:ind w:firstLine="0" w:firstLineChars="0"/>
              <w:jc w:val="center"/>
              <w:rPr>
                <w:color w:val="000000"/>
                <w:sz w:val="21"/>
                <w:szCs w:val="21"/>
              </w:rPr>
            </w:pPr>
          </w:p>
        </w:tc>
        <w:tc>
          <w:tcPr>
            <w:tcW w:w="20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2025.01-2025.12</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2.7940 </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0.6050 </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3.3990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252" w:type="dxa"/>
            <w:vMerge w:val="continue"/>
            <w:noWrap/>
            <w:vAlign w:val="center"/>
          </w:tcPr>
          <w:p>
            <w:pPr>
              <w:widowControl/>
              <w:spacing w:line="240" w:lineRule="auto"/>
              <w:ind w:firstLine="0" w:firstLineChars="0"/>
              <w:jc w:val="center"/>
              <w:rPr>
                <w:color w:val="000000"/>
                <w:sz w:val="21"/>
                <w:szCs w:val="21"/>
              </w:rPr>
            </w:pPr>
          </w:p>
        </w:tc>
        <w:tc>
          <w:tcPr>
            <w:tcW w:w="20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2026.01-2026.06</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1.3970 </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0.3025 </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1.6995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02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2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复垦期</w:t>
            </w:r>
          </w:p>
        </w:tc>
        <w:tc>
          <w:tcPr>
            <w:tcW w:w="200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2026.07-2026.11</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151.9371 </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44.0085 </w:t>
            </w:r>
          </w:p>
        </w:tc>
        <w:tc>
          <w:tcPr>
            <w:tcW w:w="140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 xml:space="preserve">195.9456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2275" w:type="dxa"/>
            <w:gridSpan w:val="2"/>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20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4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164.5101</w:t>
            </w:r>
          </w:p>
        </w:tc>
        <w:tc>
          <w:tcPr>
            <w:tcW w:w="144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45.5164</w:t>
            </w:r>
          </w:p>
        </w:tc>
        <w:tc>
          <w:tcPr>
            <w:tcW w:w="14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210.0265</w:t>
            </w:r>
          </w:p>
        </w:tc>
      </w:tr>
    </w:tbl>
    <w:p>
      <w:pPr>
        <w:spacing w:line="320" w:lineRule="exact"/>
        <w:ind w:firstLine="420"/>
        <w:jc w:val="center"/>
        <w:rPr>
          <w:rFonts w:eastAsia="黑体"/>
          <w:color w:val="000000"/>
          <w:sz w:val="21"/>
          <w:szCs w:val="21"/>
          <w:highlight w:val="yellow"/>
        </w:rPr>
        <w:sectPr>
          <w:pgSz w:w="11906" w:h="16838"/>
          <w:pgMar w:top="1440" w:right="1797" w:bottom="1440" w:left="1797" w:header="851" w:footer="992" w:gutter="0"/>
          <w:cols w:space="720" w:num="1"/>
          <w:docGrid w:type="lines" w:linePitch="312" w:charSpace="0"/>
        </w:sectPr>
      </w:pPr>
    </w:p>
    <w:p>
      <w:pPr>
        <w:pStyle w:val="3"/>
        <w:spacing w:before="0" w:after="0"/>
        <w:ind w:firstLine="0" w:firstLineChars="0"/>
        <w:jc w:val="both"/>
        <w:rPr>
          <w:color w:val="000000"/>
          <w:kern w:val="0"/>
          <w:szCs w:val="32"/>
        </w:rPr>
      </w:pPr>
      <w:bookmarkStart w:id="185" w:name="_Toc18111"/>
      <w:bookmarkStart w:id="186" w:name="_Toc35614697"/>
      <w:r>
        <w:rPr>
          <w:rFonts w:hint="eastAsia"/>
          <w:color w:val="000000"/>
          <w:kern w:val="0"/>
          <w:szCs w:val="32"/>
        </w:rPr>
        <w:t>9</w:t>
      </w:r>
      <w:r>
        <w:rPr>
          <w:color w:val="000000"/>
          <w:kern w:val="0"/>
          <w:szCs w:val="32"/>
        </w:rPr>
        <w:t>土地复垦效益分析</w:t>
      </w:r>
      <w:bookmarkEnd w:id="184"/>
      <w:bookmarkEnd w:id="185"/>
      <w:bookmarkEnd w:id="186"/>
    </w:p>
    <w:p>
      <w:pPr>
        <w:pStyle w:val="4"/>
        <w:spacing w:before="0" w:after="0"/>
        <w:ind w:firstLine="0" w:firstLineChars="0"/>
        <w:rPr>
          <w:color w:val="000000"/>
          <w:kern w:val="0"/>
          <w:szCs w:val="30"/>
        </w:rPr>
      </w:pPr>
      <w:bookmarkStart w:id="187" w:name="_Toc305068298"/>
      <w:bookmarkStart w:id="188" w:name="_Toc35614698"/>
      <w:bookmarkStart w:id="189" w:name="_Toc2046"/>
      <w:r>
        <w:rPr>
          <w:rFonts w:hint="eastAsia"/>
          <w:color w:val="000000"/>
          <w:kern w:val="0"/>
          <w:szCs w:val="30"/>
        </w:rPr>
        <w:t>9</w:t>
      </w:r>
      <w:r>
        <w:rPr>
          <w:color w:val="000000"/>
          <w:kern w:val="0"/>
          <w:szCs w:val="30"/>
        </w:rPr>
        <w:t>.1经济效益分析</w:t>
      </w:r>
      <w:bookmarkEnd w:id="187"/>
      <w:bookmarkEnd w:id="188"/>
      <w:bookmarkEnd w:id="189"/>
    </w:p>
    <w:p>
      <w:pPr>
        <w:ind w:firstLine="528"/>
        <w:rPr>
          <w:color w:val="000000"/>
          <w:spacing w:val="12"/>
          <w:szCs w:val="24"/>
        </w:rPr>
      </w:pPr>
      <w:r>
        <w:rPr>
          <w:color w:val="000000"/>
          <w:spacing w:val="12"/>
          <w:szCs w:val="24"/>
        </w:rPr>
        <w:t>土地复垦工程的经济效益体现在两个方面：一是直接经济效益；二是间接经济效益。直接经济效益是指通过土地复垦工程对土地的再利用带来的农业产值。间接经济效益是通过土地复垦工程实施而减少的对项目区</w:t>
      </w:r>
      <w:r>
        <w:rPr>
          <w:rFonts w:hint="eastAsia"/>
          <w:color w:val="000000"/>
          <w:spacing w:val="12"/>
          <w:szCs w:val="24"/>
        </w:rPr>
        <w:t>林地</w:t>
      </w:r>
      <w:r>
        <w:rPr>
          <w:color w:val="000000"/>
          <w:spacing w:val="12"/>
          <w:szCs w:val="24"/>
        </w:rPr>
        <w:t>破坏等需要的生态补偿。</w:t>
      </w:r>
    </w:p>
    <w:p>
      <w:pPr>
        <w:ind w:firstLine="528"/>
        <w:rPr>
          <w:color w:val="000000"/>
          <w:spacing w:val="12"/>
          <w:szCs w:val="24"/>
        </w:rPr>
      </w:pPr>
      <w:r>
        <w:rPr>
          <w:color w:val="000000"/>
          <w:spacing w:val="12"/>
          <w:szCs w:val="24"/>
        </w:rPr>
        <w:t>通过实施土地复垦，直接经济效益来源于耕地的农作物种植</w:t>
      </w:r>
      <w:r>
        <w:rPr>
          <w:rFonts w:hint="eastAsia"/>
          <w:color w:val="000000"/>
          <w:spacing w:val="12"/>
          <w:szCs w:val="24"/>
        </w:rPr>
        <w:t>西畴至富宁高速公路建设项目（西畴段）第一期临时用地不占用耕地，因此本方案不复垦为耕地，无直接经济效益。</w:t>
      </w:r>
    </w:p>
    <w:p>
      <w:pPr>
        <w:ind w:firstLine="528"/>
        <w:rPr>
          <w:rFonts w:hint="eastAsia" w:ascii="黑体" w:eastAsia="黑体"/>
          <w:bCs/>
          <w:highlight w:val="yellow"/>
        </w:rPr>
      </w:pPr>
      <w:bookmarkStart w:id="190" w:name="_Toc35614699"/>
      <w:bookmarkStart w:id="191" w:name="_Toc259295747"/>
      <w:bookmarkStart w:id="192" w:name="_Toc305068299"/>
      <w:bookmarkStart w:id="193" w:name="_Toc232219864"/>
      <w:r>
        <w:rPr>
          <w:color w:val="000000"/>
          <w:spacing w:val="12"/>
          <w:szCs w:val="24"/>
        </w:rPr>
        <w:t>此外，项目实施后完成复垦</w:t>
      </w:r>
      <w:r>
        <w:rPr>
          <w:rFonts w:hint="eastAsia"/>
          <w:color w:val="000000"/>
          <w:spacing w:val="12"/>
          <w:szCs w:val="24"/>
        </w:rPr>
        <w:t>林地4.1706</w:t>
      </w:r>
      <w:r>
        <w:rPr>
          <w:color w:val="000000"/>
          <w:spacing w:val="12"/>
          <w:szCs w:val="24"/>
        </w:rPr>
        <w:t>公顷。复垦的</w:t>
      </w:r>
      <w:r>
        <w:rPr>
          <w:rFonts w:hint="eastAsia"/>
          <w:color w:val="000000"/>
          <w:spacing w:val="12"/>
          <w:szCs w:val="24"/>
        </w:rPr>
        <w:t>林地</w:t>
      </w:r>
      <w:r>
        <w:rPr>
          <w:color w:val="000000"/>
          <w:spacing w:val="12"/>
          <w:szCs w:val="24"/>
        </w:rPr>
        <w:t>对改善项目区建设影响范围及周边地区的土地利用结构起到良好的促进作用，</w:t>
      </w:r>
      <w:r>
        <w:rPr>
          <w:rFonts w:hint="eastAsia"/>
          <w:color w:val="000000"/>
          <w:spacing w:val="12"/>
          <w:szCs w:val="24"/>
        </w:rPr>
        <w:t>从而促进当地林业协调发展，增加了林木蓄积量，间接增加了当地农民的收入。</w:t>
      </w:r>
    </w:p>
    <w:p>
      <w:pPr>
        <w:pStyle w:val="4"/>
        <w:spacing w:before="0" w:after="0"/>
        <w:ind w:firstLine="0" w:firstLineChars="0"/>
        <w:rPr>
          <w:color w:val="000000"/>
          <w:kern w:val="0"/>
          <w:szCs w:val="30"/>
        </w:rPr>
      </w:pPr>
      <w:bookmarkStart w:id="194" w:name="_Toc27755"/>
      <w:r>
        <w:rPr>
          <w:rFonts w:hint="eastAsia"/>
          <w:color w:val="000000"/>
          <w:kern w:val="0"/>
          <w:szCs w:val="30"/>
        </w:rPr>
        <w:t>9</w:t>
      </w:r>
      <w:r>
        <w:rPr>
          <w:color w:val="000000"/>
          <w:kern w:val="0"/>
          <w:szCs w:val="30"/>
        </w:rPr>
        <w:t>.2生态效益分析</w:t>
      </w:r>
      <w:bookmarkEnd w:id="190"/>
      <w:bookmarkEnd w:id="191"/>
      <w:bookmarkEnd w:id="192"/>
      <w:bookmarkEnd w:id="193"/>
      <w:bookmarkEnd w:id="194"/>
    </w:p>
    <w:p>
      <w:pPr>
        <w:ind w:firstLine="528"/>
        <w:rPr>
          <w:color w:val="000000"/>
          <w:spacing w:val="12"/>
          <w:szCs w:val="24"/>
        </w:rPr>
      </w:pPr>
      <w:r>
        <w:rPr>
          <w:rFonts w:hint="eastAsia"/>
          <w:color w:val="000000"/>
          <w:spacing w:val="12"/>
          <w:szCs w:val="24"/>
        </w:rPr>
        <w:t>西畴至富宁高速公路建设项目（西畴段）第一期临时用地</w:t>
      </w:r>
      <w:r>
        <w:rPr>
          <w:color w:val="000000"/>
          <w:spacing w:val="12"/>
          <w:szCs w:val="24"/>
        </w:rPr>
        <w:t>土地复垦方案主要对</w:t>
      </w:r>
      <w:r>
        <w:rPr>
          <w:rFonts w:hint="eastAsia"/>
          <w:color w:val="000000"/>
          <w:spacing w:val="12"/>
          <w:szCs w:val="24"/>
        </w:rPr>
        <w:t>2个</w:t>
      </w:r>
      <w:r>
        <w:rPr>
          <w:color w:val="000000"/>
          <w:spacing w:val="12"/>
          <w:szCs w:val="24"/>
        </w:rPr>
        <w:t>临时用地</w:t>
      </w:r>
      <w:r>
        <w:rPr>
          <w:rFonts w:hint="eastAsia"/>
          <w:color w:val="000000"/>
          <w:spacing w:val="12"/>
          <w:szCs w:val="24"/>
        </w:rPr>
        <w:t>地块拟损毁</w:t>
      </w:r>
      <w:r>
        <w:rPr>
          <w:color w:val="000000"/>
          <w:spacing w:val="12"/>
          <w:szCs w:val="24"/>
        </w:rPr>
        <w:t>土地进行复垦综合治理，通过</w:t>
      </w:r>
      <w:r>
        <w:rPr>
          <w:rFonts w:hint="eastAsia"/>
          <w:color w:val="000000"/>
          <w:spacing w:val="12"/>
          <w:szCs w:val="24"/>
        </w:rPr>
        <w:t>土壤重构</w:t>
      </w:r>
      <w:r>
        <w:rPr>
          <w:color w:val="000000"/>
          <w:spacing w:val="12"/>
          <w:szCs w:val="24"/>
        </w:rPr>
        <w:t>工程以及栽种植被可以减少因工程建设可能造成的水土流失，改善当地生态环境，对推动水土保持工作的开展将起到积极作用，其生态效益主要体现在以下方面：</w:t>
      </w:r>
    </w:p>
    <w:p>
      <w:pPr>
        <w:ind w:firstLine="528"/>
        <w:rPr>
          <w:color w:val="000000"/>
          <w:spacing w:val="12"/>
          <w:szCs w:val="24"/>
        </w:rPr>
      </w:pPr>
      <w:r>
        <w:rPr>
          <w:color w:val="000000"/>
          <w:spacing w:val="12"/>
          <w:szCs w:val="24"/>
        </w:rPr>
        <w:t>——有效控制新增水土流失土地的数量，同时增强土壤保水能力；</w:t>
      </w:r>
    </w:p>
    <w:p>
      <w:pPr>
        <w:ind w:firstLine="528"/>
        <w:rPr>
          <w:color w:val="000000"/>
          <w:spacing w:val="12"/>
          <w:szCs w:val="24"/>
        </w:rPr>
      </w:pPr>
      <w:r>
        <w:rPr>
          <w:color w:val="000000"/>
          <w:spacing w:val="12"/>
          <w:szCs w:val="24"/>
        </w:rPr>
        <w:t>——通过栽种植被，增加土壤有机质含量，改善土壤物理化学性质，提高土壤肥力。</w:t>
      </w:r>
    </w:p>
    <w:p>
      <w:pPr>
        <w:pStyle w:val="4"/>
        <w:spacing w:before="0" w:after="0"/>
        <w:ind w:firstLine="0" w:firstLineChars="0"/>
        <w:rPr>
          <w:color w:val="000000"/>
          <w:kern w:val="0"/>
          <w:szCs w:val="30"/>
        </w:rPr>
      </w:pPr>
      <w:bookmarkStart w:id="195" w:name="_Toc35614700"/>
      <w:bookmarkStart w:id="196" w:name="_Toc2203"/>
      <w:bookmarkStart w:id="197" w:name="_Toc305068300"/>
      <w:bookmarkStart w:id="198" w:name="_Toc259295748"/>
      <w:bookmarkStart w:id="199" w:name="_Toc232219865"/>
      <w:r>
        <w:rPr>
          <w:rFonts w:hint="eastAsia"/>
          <w:color w:val="000000"/>
          <w:kern w:val="0"/>
          <w:szCs w:val="30"/>
        </w:rPr>
        <w:t>9</w:t>
      </w:r>
      <w:r>
        <w:rPr>
          <w:color w:val="000000"/>
          <w:kern w:val="0"/>
          <w:szCs w:val="30"/>
        </w:rPr>
        <w:t>.3社会效益分析</w:t>
      </w:r>
      <w:bookmarkEnd w:id="195"/>
      <w:bookmarkEnd w:id="196"/>
      <w:bookmarkEnd w:id="197"/>
      <w:bookmarkEnd w:id="198"/>
      <w:bookmarkEnd w:id="199"/>
    </w:p>
    <w:p>
      <w:pPr>
        <w:ind w:firstLine="528"/>
        <w:rPr>
          <w:color w:val="000000"/>
          <w:spacing w:val="12"/>
          <w:szCs w:val="24"/>
        </w:rPr>
      </w:pPr>
      <w:bookmarkStart w:id="200" w:name="_Toc35614701"/>
      <w:r>
        <w:rPr>
          <w:color w:val="000000"/>
          <w:spacing w:val="12"/>
          <w:szCs w:val="24"/>
        </w:rPr>
        <w:t>项目土地复垦的社会效益主要体现在：</w:t>
      </w:r>
    </w:p>
    <w:p>
      <w:pPr>
        <w:ind w:firstLine="528"/>
        <w:rPr>
          <w:color w:val="000000"/>
          <w:spacing w:val="12"/>
          <w:szCs w:val="24"/>
        </w:rPr>
      </w:pPr>
      <w:r>
        <w:rPr>
          <w:color w:val="000000"/>
          <w:spacing w:val="12"/>
          <w:szCs w:val="24"/>
        </w:rPr>
        <w:t>a）土地复垦方案的实施，使拟损毁的土地得以恢复利用，土地复垦率为</w:t>
      </w:r>
      <w:r>
        <w:rPr>
          <w:rFonts w:hint="eastAsia"/>
          <w:color w:val="000000"/>
          <w:spacing w:val="12"/>
          <w:szCs w:val="24"/>
        </w:rPr>
        <w:t>100</w:t>
      </w:r>
      <w:r>
        <w:rPr>
          <w:color w:val="000000"/>
          <w:spacing w:val="12"/>
          <w:szCs w:val="24"/>
        </w:rPr>
        <w:t>%，体现了国家提倡的节约、集约用地要求；</w:t>
      </w:r>
    </w:p>
    <w:p>
      <w:pPr>
        <w:ind w:firstLine="528"/>
        <w:rPr>
          <w:color w:val="000000"/>
          <w:spacing w:val="12"/>
          <w:szCs w:val="24"/>
        </w:rPr>
      </w:pPr>
      <w:r>
        <w:rPr>
          <w:color w:val="000000"/>
          <w:spacing w:val="12"/>
          <w:szCs w:val="24"/>
        </w:rPr>
        <w:t>b）通过复垦方案实施改善公路沿线环境，特别是</w:t>
      </w:r>
      <w:r>
        <w:rPr>
          <w:rFonts w:hint="eastAsia"/>
          <w:color w:val="000000"/>
          <w:spacing w:val="12"/>
          <w:szCs w:val="24"/>
        </w:rPr>
        <w:t>经济</w:t>
      </w:r>
      <w:r>
        <w:rPr>
          <w:color w:val="000000"/>
          <w:spacing w:val="12"/>
          <w:szCs w:val="24"/>
        </w:rPr>
        <w:t>林木的种植，大力改善周边的生态环境，减少因工程建设对环境的影响，提高环境质量，为创造绿色安全环保的工程奠定基础；</w:t>
      </w:r>
    </w:p>
    <w:p>
      <w:pPr>
        <w:ind w:firstLine="528"/>
        <w:rPr>
          <w:color w:val="000000"/>
          <w:spacing w:val="12"/>
          <w:szCs w:val="24"/>
          <w:highlight w:val="yellow"/>
        </w:rPr>
      </w:pPr>
      <w:r>
        <w:rPr>
          <w:color w:val="000000"/>
          <w:spacing w:val="12"/>
          <w:szCs w:val="24"/>
        </w:rPr>
        <w:t>c）土地复垦方案的实施，缓解当地人地矛盾，促进当地土地产业结构调整，土地资源的利用保持良性的可持续利用与发展状态，促进地区的稳定和发展。</w:t>
      </w:r>
    </w:p>
    <w:bookmarkEnd w:id="200"/>
    <w:p>
      <w:pPr>
        <w:pStyle w:val="3"/>
        <w:spacing w:before="0" w:after="0"/>
        <w:ind w:firstLine="0" w:firstLineChars="0"/>
        <w:jc w:val="both"/>
        <w:rPr>
          <w:color w:val="000000"/>
          <w:kern w:val="0"/>
          <w:szCs w:val="32"/>
        </w:rPr>
      </w:pPr>
      <w:bookmarkStart w:id="201" w:name="_Toc305068301"/>
      <w:bookmarkStart w:id="202" w:name="_Toc35614702"/>
      <w:bookmarkStart w:id="203" w:name="_Toc20944"/>
      <w:r>
        <w:rPr>
          <w:rFonts w:hint="eastAsia"/>
          <w:color w:val="000000"/>
          <w:kern w:val="0"/>
          <w:szCs w:val="32"/>
        </w:rPr>
        <w:t>10</w:t>
      </w:r>
      <w:r>
        <w:rPr>
          <w:color w:val="000000"/>
          <w:kern w:val="0"/>
          <w:szCs w:val="32"/>
        </w:rPr>
        <w:t>保障措施</w:t>
      </w:r>
      <w:bookmarkEnd w:id="201"/>
      <w:bookmarkEnd w:id="202"/>
      <w:bookmarkEnd w:id="203"/>
    </w:p>
    <w:p>
      <w:pPr>
        <w:pStyle w:val="4"/>
        <w:spacing w:before="0" w:after="0"/>
        <w:ind w:firstLine="0" w:firstLineChars="0"/>
        <w:rPr>
          <w:color w:val="000000"/>
          <w:kern w:val="0"/>
          <w:szCs w:val="30"/>
        </w:rPr>
      </w:pPr>
      <w:bookmarkStart w:id="204" w:name="_Toc35614703"/>
      <w:bookmarkStart w:id="205" w:name="_Toc305068302"/>
      <w:bookmarkStart w:id="206" w:name="_Toc28240"/>
      <w:r>
        <w:rPr>
          <w:rFonts w:hint="eastAsia"/>
          <w:color w:val="000000"/>
          <w:kern w:val="0"/>
          <w:szCs w:val="30"/>
        </w:rPr>
        <w:t>10</w:t>
      </w:r>
      <w:r>
        <w:rPr>
          <w:color w:val="000000"/>
          <w:kern w:val="0"/>
          <w:szCs w:val="30"/>
        </w:rPr>
        <w:t>.1组织保障措施</w:t>
      </w:r>
      <w:bookmarkEnd w:id="204"/>
      <w:bookmarkEnd w:id="205"/>
      <w:bookmarkEnd w:id="206"/>
    </w:p>
    <w:p>
      <w:pPr>
        <w:ind w:firstLine="528"/>
        <w:rPr>
          <w:color w:val="000000"/>
          <w:spacing w:val="12"/>
          <w:szCs w:val="24"/>
        </w:rPr>
      </w:pPr>
      <w:r>
        <w:rPr>
          <w:color w:val="000000"/>
          <w:spacing w:val="12"/>
          <w:szCs w:val="24"/>
        </w:rPr>
        <w:t>为保证本土地复垦方案顺利实施、损毁土地得到有效控制、工程区及周边生态环境良性发展，工程业主单位应在组织领导、技术力量和资金来源等方面制定切实可行的方案，实施保证措施。</w:t>
      </w:r>
    </w:p>
    <w:p>
      <w:pPr>
        <w:ind w:firstLine="528"/>
        <w:rPr>
          <w:color w:val="000000"/>
          <w:spacing w:val="12"/>
          <w:szCs w:val="24"/>
        </w:rPr>
      </w:pPr>
      <w:r>
        <w:rPr>
          <w:color w:val="000000"/>
          <w:spacing w:val="12"/>
          <w:szCs w:val="24"/>
        </w:rPr>
        <w:t>基于确保土地复垦方案提出的各项土地损毁防治措施的实施和落实，本方案采取业主治理的方式，成立土地复垦项目领导小组，负责工程建设中的土地复垦工程管理和实施工作，按照土地复垦实施方案的治理措施、进度安排、技术标准等，严格要求施工单位，保质保量地完成水土保持各项措施。</w:t>
      </w:r>
    </w:p>
    <w:p>
      <w:pPr>
        <w:ind w:firstLine="528"/>
        <w:rPr>
          <w:color w:val="000000"/>
          <w:spacing w:val="12"/>
          <w:szCs w:val="24"/>
        </w:rPr>
      </w:pPr>
      <w:r>
        <w:rPr>
          <w:color w:val="000000"/>
          <w:spacing w:val="12"/>
          <w:szCs w:val="24"/>
        </w:rPr>
        <w:t>本项目严格按照国家行政部门审查、批准的项目设计和相关标准开展各项工作，不得随意变更和调整。需选择县级部门作为项目的总体负责单位，负责对项目设计初审、工程竣工验收，并对项目的实施情况监督检查。组成一个强有力的工作领导小组，统一协调和领导本工程土地复垦与生态恢复工作。同时，设立专门机构，选调责任心强，政策水平高，懂专业的得力人员，具体负责土地复垦的各项工作。</w:t>
      </w:r>
    </w:p>
    <w:p>
      <w:pPr>
        <w:pStyle w:val="4"/>
        <w:spacing w:before="0" w:after="0"/>
        <w:ind w:firstLine="0" w:firstLineChars="0"/>
        <w:rPr>
          <w:color w:val="000000"/>
          <w:kern w:val="0"/>
          <w:szCs w:val="30"/>
        </w:rPr>
      </w:pPr>
      <w:bookmarkStart w:id="207" w:name="_Toc31780"/>
      <w:bookmarkStart w:id="208" w:name="_Toc35614704"/>
      <w:bookmarkStart w:id="209" w:name="_Toc305068303"/>
      <w:r>
        <w:rPr>
          <w:rFonts w:hint="eastAsia"/>
          <w:color w:val="000000"/>
          <w:kern w:val="0"/>
          <w:szCs w:val="30"/>
        </w:rPr>
        <w:t>10</w:t>
      </w:r>
      <w:r>
        <w:rPr>
          <w:color w:val="000000"/>
          <w:kern w:val="0"/>
          <w:szCs w:val="30"/>
        </w:rPr>
        <w:t>.2费用保障措施</w:t>
      </w:r>
      <w:bookmarkEnd w:id="207"/>
      <w:bookmarkEnd w:id="208"/>
      <w:bookmarkEnd w:id="209"/>
    </w:p>
    <w:p>
      <w:pPr>
        <w:ind w:firstLine="528"/>
        <w:rPr>
          <w:color w:val="000000"/>
          <w:spacing w:val="12"/>
          <w:szCs w:val="24"/>
        </w:rPr>
      </w:pPr>
      <w:r>
        <w:rPr>
          <w:color w:val="000000"/>
          <w:spacing w:val="12"/>
          <w:szCs w:val="24"/>
        </w:rPr>
        <w:t>——资金来源</w:t>
      </w:r>
    </w:p>
    <w:p>
      <w:pPr>
        <w:ind w:firstLine="528"/>
        <w:rPr>
          <w:color w:val="000000"/>
          <w:spacing w:val="12"/>
          <w:szCs w:val="24"/>
        </w:rPr>
      </w:pPr>
      <w:r>
        <w:rPr>
          <w:color w:val="000000"/>
          <w:spacing w:val="12"/>
          <w:szCs w:val="24"/>
        </w:rPr>
        <w:t>本工程属</w:t>
      </w:r>
      <w:r>
        <w:rPr>
          <w:rFonts w:hint="eastAsia"/>
          <w:color w:val="000000"/>
          <w:spacing w:val="12"/>
          <w:szCs w:val="24"/>
        </w:rPr>
        <w:t>工程</w:t>
      </w:r>
      <w:r>
        <w:rPr>
          <w:color w:val="000000"/>
          <w:spacing w:val="12"/>
          <w:szCs w:val="24"/>
        </w:rPr>
        <w:t>类项目，土地复垦工程投资应在工程基本建设投资中列支，并与主体工程建设资金同时调拨使用，同时施工、同时发挥效益；建设单位应积极开展工作，落实资金，保证方案实施。土地复垦的设备投资可以从项目环境保护工程中解决，作为“三同时”工程进行验收。对于土地复垦的日常费用，可以采取从公路收益中提成的方法解决，提取的费用从成本中列支。提成的资源费主要用于污染防治费、土地复垦和生态综合整治费用等，以满足污染防治和生态整治的需要。</w:t>
      </w:r>
    </w:p>
    <w:p>
      <w:pPr>
        <w:ind w:firstLine="528"/>
        <w:rPr>
          <w:color w:val="000000"/>
          <w:spacing w:val="12"/>
          <w:szCs w:val="24"/>
        </w:rPr>
      </w:pPr>
      <w:r>
        <w:rPr>
          <w:color w:val="000000"/>
          <w:spacing w:val="12"/>
          <w:szCs w:val="24"/>
        </w:rPr>
        <w:t>本项目土地复垦动态投资</w:t>
      </w:r>
      <w:r>
        <w:rPr>
          <w:rFonts w:hint="eastAsia"/>
          <w:color w:val="000000"/>
          <w:spacing w:val="12"/>
          <w:szCs w:val="24"/>
        </w:rPr>
        <w:t>210.0265万元</w:t>
      </w:r>
      <w:r>
        <w:rPr>
          <w:color w:val="000000"/>
          <w:spacing w:val="12"/>
          <w:szCs w:val="24"/>
        </w:rPr>
        <w:t>，全部由</w:t>
      </w:r>
      <w:r>
        <w:rPr>
          <w:rFonts w:hint="eastAsia"/>
          <w:color w:val="000000"/>
          <w:spacing w:val="12"/>
          <w:szCs w:val="24"/>
          <w:lang w:eastAsia="zh-CN"/>
        </w:rPr>
        <w:t>云南云岭路面工程有限公司</w:t>
      </w:r>
      <w:r>
        <w:rPr>
          <w:color w:val="000000"/>
          <w:spacing w:val="12"/>
          <w:szCs w:val="24"/>
        </w:rPr>
        <w:t>筹资。</w:t>
      </w:r>
    </w:p>
    <w:p>
      <w:pPr>
        <w:ind w:firstLine="528"/>
        <w:rPr>
          <w:color w:val="000000"/>
          <w:spacing w:val="12"/>
          <w:szCs w:val="24"/>
        </w:rPr>
      </w:pPr>
      <w:bookmarkStart w:id="210" w:name="_Toc305068304"/>
      <w:r>
        <w:rPr>
          <w:color w:val="000000"/>
          <w:spacing w:val="12"/>
          <w:szCs w:val="24"/>
        </w:rPr>
        <w:t>——资金储存监督管理</w:t>
      </w:r>
    </w:p>
    <w:p>
      <w:pPr>
        <w:ind w:firstLine="528"/>
        <w:rPr>
          <w:color w:val="000000"/>
          <w:spacing w:val="12"/>
          <w:szCs w:val="24"/>
        </w:rPr>
      </w:pPr>
      <w:r>
        <w:rPr>
          <w:color w:val="000000"/>
          <w:spacing w:val="12"/>
          <w:szCs w:val="24"/>
        </w:rPr>
        <w:t>土地复垦资金存入专户上、专款专用，其监督管理由业主、地方</w:t>
      </w:r>
      <w:r>
        <w:rPr>
          <w:rFonts w:hint="eastAsia"/>
          <w:color w:val="000000"/>
          <w:spacing w:val="12"/>
          <w:szCs w:val="24"/>
        </w:rPr>
        <w:t>自然资源</w:t>
      </w:r>
      <w:r>
        <w:rPr>
          <w:color w:val="000000"/>
          <w:spacing w:val="12"/>
          <w:szCs w:val="24"/>
        </w:rPr>
        <w:t>管理部门、或委托第三方（银行）共同监管，具体为：本项目土地复垦动态投资为</w:t>
      </w:r>
      <w:r>
        <w:rPr>
          <w:rFonts w:hint="eastAsia"/>
          <w:color w:val="000000"/>
          <w:spacing w:val="12"/>
          <w:szCs w:val="24"/>
        </w:rPr>
        <w:t>210.0265万元</w:t>
      </w:r>
      <w:r>
        <w:rPr>
          <w:color w:val="000000"/>
          <w:spacing w:val="12"/>
          <w:szCs w:val="24"/>
        </w:rPr>
        <w:t>，服务年限为</w:t>
      </w:r>
      <w:r>
        <w:rPr>
          <w:rFonts w:hint="eastAsia"/>
          <w:color w:val="000000"/>
          <w:spacing w:val="12"/>
          <w:szCs w:val="24"/>
        </w:rPr>
        <w:t>4年</w:t>
      </w:r>
      <w:r>
        <w:rPr>
          <w:color w:val="000000"/>
          <w:spacing w:val="12"/>
          <w:szCs w:val="24"/>
        </w:rPr>
        <w:t>，</w:t>
      </w:r>
      <w:r>
        <w:rPr>
          <w:rFonts w:hint="eastAsia"/>
          <w:color w:val="000000"/>
          <w:spacing w:val="12"/>
          <w:szCs w:val="24"/>
        </w:rPr>
        <w:t>2022年12月</w:t>
      </w:r>
      <w:r>
        <w:rPr>
          <w:color w:val="000000"/>
          <w:spacing w:val="12"/>
          <w:szCs w:val="24"/>
        </w:rPr>
        <w:t>到</w:t>
      </w:r>
      <w:r>
        <w:rPr>
          <w:rFonts w:hint="eastAsia"/>
          <w:color w:val="000000"/>
          <w:spacing w:val="12"/>
          <w:szCs w:val="24"/>
        </w:rPr>
        <w:t>2026</w:t>
      </w:r>
      <w:r>
        <w:rPr>
          <w:color w:val="000000"/>
          <w:spacing w:val="12"/>
          <w:szCs w:val="24"/>
        </w:rPr>
        <w:t>年</w:t>
      </w:r>
      <w:r>
        <w:rPr>
          <w:rFonts w:hint="eastAsia"/>
          <w:color w:val="000000"/>
          <w:spacing w:val="12"/>
          <w:szCs w:val="24"/>
        </w:rPr>
        <w:t>11月</w:t>
      </w:r>
      <w:r>
        <w:rPr>
          <w:color w:val="000000"/>
          <w:spacing w:val="12"/>
          <w:szCs w:val="24"/>
        </w:rPr>
        <w:t>，为确保该服务年限内该土地复垦资金安全有效使用，业主、地方</w:t>
      </w:r>
      <w:r>
        <w:rPr>
          <w:rFonts w:hint="eastAsia"/>
          <w:color w:val="000000"/>
          <w:spacing w:val="12"/>
          <w:szCs w:val="24"/>
        </w:rPr>
        <w:t>自然资源</w:t>
      </w:r>
      <w:r>
        <w:rPr>
          <w:color w:val="000000"/>
          <w:spacing w:val="12"/>
          <w:szCs w:val="24"/>
        </w:rPr>
        <w:t>管理部门应委托第三方（银行）共同监管，三方签订土地复垦资金担保保障协议，为业主进行土地复垦提供财务担保以及资金保障。协议需明确三方的责任和义务；土地复垦资金存入账户、土地复垦总费用、复垦存入计划；支取复垦资金的相关要求（规定）；如</w:t>
      </w:r>
      <w:r>
        <w:rPr>
          <w:rFonts w:hint="eastAsia"/>
          <w:color w:val="000000"/>
          <w:spacing w:val="12"/>
          <w:szCs w:val="24"/>
        </w:rPr>
        <w:t>①</w:t>
      </w:r>
      <w:r>
        <w:rPr>
          <w:color w:val="000000"/>
          <w:spacing w:val="12"/>
          <w:szCs w:val="24"/>
        </w:rPr>
        <w:t>阶段性土地复垦实施方案，</w:t>
      </w:r>
      <w:r>
        <w:rPr>
          <w:rFonts w:hint="eastAsia"/>
          <w:color w:val="000000"/>
          <w:spacing w:val="12"/>
          <w:szCs w:val="24"/>
        </w:rPr>
        <w:t>②</w:t>
      </w:r>
      <w:r>
        <w:rPr>
          <w:color w:val="000000"/>
          <w:spacing w:val="12"/>
          <w:szCs w:val="24"/>
        </w:rPr>
        <w:t>上一年（上阶段）土地复垦完成工程情况、财务报告，</w:t>
      </w:r>
      <w:r>
        <w:rPr>
          <w:rFonts w:hint="eastAsia"/>
          <w:color w:val="000000"/>
          <w:spacing w:val="12"/>
          <w:szCs w:val="24"/>
        </w:rPr>
        <w:t>③</w:t>
      </w:r>
      <w:r>
        <w:rPr>
          <w:color w:val="000000"/>
          <w:spacing w:val="12"/>
          <w:szCs w:val="24"/>
        </w:rPr>
        <w:t>地方</w:t>
      </w:r>
      <w:r>
        <w:rPr>
          <w:rFonts w:hint="eastAsia"/>
          <w:color w:val="000000"/>
          <w:spacing w:val="12"/>
          <w:szCs w:val="24"/>
        </w:rPr>
        <w:t>自然资源</w:t>
      </w:r>
      <w:r>
        <w:rPr>
          <w:color w:val="000000"/>
          <w:spacing w:val="12"/>
          <w:szCs w:val="24"/>
        </w:rPr>
        <w:t>管理部门意见等；土地复垦工程内容、违约处理及解决办法；协议期限、其他需明确的内容（可作为协议附件）等。</w:t>
      </w:r>
    </w:p>
    <w:p>
      <w:pPr>
        <w:ind w:firstLine="528"/>
        <w:rPr>
          <w:color w:val="000000"/>
          <w:spacing w:val="12"/>
          <w:szCs w:val="24"/>
        </w:rPr>
      </w:pPr>
      <w:r>
        <w:rPr>
          <w:color w:val="000000"/>
          <w:spacing w:val="12"/>
          <w:szCs w:val="24"/>
        </w:rPr>
        <w:t>——资金使用管理</w:t>
      </w:r>
    </w:p>
    <w:p>
      <w:pPr>
        <w:ind w:firstLine="528"/>
        <w:rPr>
          <w:color w:val="000000"/>
          <w:spacing w:val="12"/>
          <w:szCs w:val="24"/>
        </w:rPr>
      </w:pPr>
      <w:r>
        <w:rPr>
          <w:color w:val="000000"/>
          <w:spacing w:val="12"/>
          <w:szCs w:val="24"/>
        </w:rPr>
        <w:t>土地复垦资金严格按照专款专用、单独核算的办法进行管理；按照规定的开支范围支出；实行专管，严格财务制度，规范财务手续，注明每一笔款项的使用情况，具体措施：</w:t>
      </w:r>
    </w:p>
    <w:p>
      <w:pPr>
        <w:ind w:firstLine="528"/>
        <w:rPr>
          <w:color w:val="000000"/>
          <w:spacing w:val="12"/>
          <w:szCs w:val="24"/>
        </w:rPr>
      </w:pPr>
      <w:r>
        <w:rPr>
          <w:color w:val="000000"/>
          <w:spacing w:val="12"/>
          <w:szCs w:val="24"/>
        </w:rPr>
        <w:t>a）按照统一管理、分级核算的原则，设置和健全财务管理机构，为土地复垦配备相应的财务人员。</w:t>
      </w:r>
    </w:p>
    <w:p>
      <w:pPr>
        <w:ind w:firstLine="528"/>
        <w:rPr>
          <w:color w:val="000000"/>
          <w:spacing w:val="12"/>
          <w:szCs w:val="24"/>
        </w:rPr>
      </w:pPr>
      <w:r>
        <w:rPr>
          <w:color w:val="000000"/>
          <w:spacing w:val="12"/>
          <w:szCs w:val="24"/>
        </w:rPr>
        <w:t>b）财务人员应当制订有效的预算制度，合理使用资金，加强成本费用的管理，规范财务会计报告和对外财务信息披露。</w:t>
      </w:r>
    </w:p>
    <w:p>
      <w:pPr>
        <w:ind w:firstLine="528"/>
        <w:rPr>
          <w:color w:val="000000"/>
          <w:spacing w:val="12"/>
          <w:szCs w:val="24"/>
        </w:rPr>
      </w:pPr>
      <w:r>
        <w:rPr>
          <w:color w:val="000000"/>
          <w:spacing w:val="12"/>
          <w:szCs w:val="24"/>
        </w:rPr>
        <w:t>c）财务人员应根据土地复垦工程资金需要，及时按财务担保保障协议向主管部门、银行报送现金使用计划，并签字审批。</w:t>
      </w:r>
    </w:p>
    <w:p>
      <w:pPr>
        <w:ind w:firstLine="528"/>
        <w:rPr>
          <w:color w:val="000000"/>
          <w:spacing w:val="12"/>
          <w:szCs w:val="24"/>
        </w:rPr>
      </w:pPr>
      <w:r>
        <w:rPr>
          <w:color w:val="000000"/>
          <w:spacing w:val="12"/>
          <w:szCs w:val="24"/>
        </w:rPr>
        <w:t>d）不允许不符合会计制度的凭证或白条顶替土地复垦资金；不允许编造用途套取土地复垦费用；出纳人员未经主管部门审批不允许私自支配土地复垦资金；出纳人员严禁使用现金进行土地复垦工程费用的支付，且支付对象必须为法人。</w:t>
      </w:r>
    </w:p>
    <w:p>
      <w:pPr>
        <w:ind w:firstLine="528"/>
        <w:rPr>
          <w:color w:val="000000"/>
          <w:spacing w:val="12"/>
          <w:szCs w:val="24"/>
        </w:rPr>
      </w:pPr>
      <w:r>
        <w:rPr>
          <w:color w:val="000000"/>
          <w:spacing w:val="12"/>
          <w:szCs w:val="24"/>
        </w:rPr>
        <w:t>e）出纳人员要逐笔登记发生费用日记账，做到日清月结，保证土地复垦资金使用安全、到位、有效。</w:t>
      </w:r>
    </w:p>
    <w:p>
      <w:pPr>
        <w:ind w:firstLine="528"/>
        <w:rPr>
          <w:color w:val="000000"/>
          <w:spacing w:val="12"/>
          <w:szCs w:val="24"/>
        </w:rPr>
      </w:pPr>
      <w:r>
        <w:rPr>
          <w:color w:val="000000"/>
          <w:spacing w:val="12"/>
          <w:szCs w:val="24"/>
        </w:rPr>
        <w:t>同时，资金使用管理要做到四个坚持：坚持实行项目资金专款专用；坚持按照规定的开支范围支出，力争不突破投资总额；坚持严把</w:t>
      </w:r>
      <w:r>
        <w:rPr>
          <w:rFonts w:hint="eastAsia"/>
          <w:color w:val="000000"/>
          <w:spacing w:val="12"/>
          <w:szCs w:val="24"/>
        </w:rPr>
        <w:t>资金流转渠道</w:t>
      </w:r>
      <w:r>
        <w:rPr>
          <w:color w:val="000000"/>
          <w:spacing w:val="12"/>
          <w:szCs w:val="24"/>
        </w:rPr>
        <w:t>，层层设立专账，实行一支笔审批；坚持项目资金决算制度，严格资金审计，确保项目资金落到实处。项目资金最终使用由施工单位根据工程进度提出申请，经工程监理单位审查后，报指挥部审批，指挥部在拨付资金之前，必须对上期资金使用情况进行检查验收。统一调动，确保资金全部用于土地复垦工程中</w:t>
      </w:r>
      <w:r>
        <w:rPr>
          <w:rFonts w:hint="eastAsia"/>
          <w:color w:val="000000"/>
          <w:spacing w:val="12"/>
          <w:szCs w:val="24"/>
        </w:rPr>
        <w:t>。</w:t>
      </w:r>
    </w:p>
    <w:p>
      <w:pPr>
        <w:ind w:firstLine="528"/>
        <w:rPr>
          <w:color w:val="000000"/>
          <w:spacing w:val="12"/>
          <w:szCs w:val="24"/>
        </w:rPr>
      </w:pPr>
      <w:r>
        <w:rPr>
          <w:color w:val="000000"/>
          <w:spacing w:val="12"/>
          <w:szCs w:val="24"/>
        </w:rPr>
        <w:t>资金拨付主要分两部分，首先是土地复垦责任人按照土地复垦资金担保保障协议中相关要求（规定）备齐相关材料向银行提出土地复垦资金使用计划，经审查后，拨付土地复垦资金；其次土地复垦施工单位根据工程进度提出申请，经土地复垦责任人、或主管部门审查签字后，报财务审批，拨付土地复垦工程资金，在之前，必须对上期资金使用情况进行检查验收，合格后资金才予拨付。对滥用、挪用资金的，追究当事人、相关责任人的责任，给予相当的行政、经济、刑事处罚。</w:t>
      </w:r>
    </w:p>
    <w:p>
      <w:pPr>
        <w:pStyle w:val="4"/>
        <w:spacing w:before="0" w:after="0"/>
        <w:ind w:firstLine="0" w:firstLineChars="0"/>
        <w:rPr>
          <w:color w:val="000000"/>
          <w:kern w:val="0"/>
          <w:szCs w:val="30"/>
        </w:rPr>
      </w:pPr>
      <w:bookmarkStart w:id="211" w:name="_Toc1440"/>
      <w:bookmarkStart w:id="212" w:name="_Toc35614705"/>
      <w:r>
        <w:rPr>
          <w:color w:val="000000"/>
          <w:kern w:val="0"/>
          <w:szCs w:val="30"/>
        </w:rPr>
        <w:t>1</w:t>
      </w:r>
      <w:r>
        <w:rPr>
          <w:rFonts w:hint="eastAsia"/>
          <w:color w:val="000000"/>
          <w:kern w:val="0"/>
          <w:szCs w:val="30"/>
        </w:rPr>
        <w:t>0</w:t>
      </w:r>
      <w:r>
        <w:rPr>
          <w:color w:val="000000"/>
          <w:kern w:val="0"/>
          <w:szCs w:val="30"/>
        </w:rPr>
        <w:t>.3监管保障措施</w:t>
      </w:r>
      <w:bookmarkEnd w:id="210"/>
      <w:bookmarkEnd w:id="211"/>
      <w:bookmarkEnd w:id="212"/>
    </w:p>
    <w:p>
      <w:pPr>
        <w:ind w:firstLine="528"/>
        <w:rPr>
          <w:color w:val="000000"/>
          <w:spacing w:val="12"/>
          <w:szCs w:val="24"/>
        </w:rPr>
      </w:pPr>
      <w:r>
        <w:rPr>
          <w:color w:val="000000"/>
          <w:spacing w:val="12"/>
          <w:szCs w:val="24"/>
        </w:rPr>
        <w:t>——加强对复垦后土地的管理，严格执行《</w:t>
      </w:r>
      <w:r>
        <w:rPr>
          <w:rFonts w:hint="eastAsia"/>
          <w:color w:val="000000"/>
          <w:spacing w:val="12"/>
          <w:szCs w:val="24"/>
        </w:rPr>
        <w:t>西畴至富宁高速公路建设项目（西畴段）第一期临时用地</w:t>
      </w:r>
      <w:r>
        <w:rPr>
          <w:color w:val="000000"/>
          <w:spacing w:val="12"/>
          <w:szCs w:val="24"/>
        </w:rPr>
        <w:t>土地复垦方案》；</w:t>
      </w:r>
    </w:p>
    <w:p>
      <w:pPr>
        <w:ind w:firstLine="528"/>
        <w:rPr>
          <w:color w:val="000000"/>
          <w:spacing w:val="12"/>
          <w:szCs w:val="24"/>
        </w:rPr>
      </w:pPr>
      <w:r>
        <w:rPr>
          <w:color w:val="000000"/>
          <w:spacing w:val="12"/>
          <w:szCs w:val="24"/>
        </w:rPr>
        <w:t>——按照方案确定的年度复垦方案落实，对土地复垦实行统一管理；</w:t>
      </w:r>
    </w:p>
    <w:p>
      <w:pPr>
        <w:ind w:firstLine="528"/>
        <w:rPr>
          <w:color w:val="000000"/>
          <w:spacing w:val="12"/>
          <w:szCs w:val="24"/>
        </w:rPr>
      </w:pPr>
      <w:r>
        <w:rPr>
          <w:color w:val="000000"/>
          <w:spacing w:val="12"/>
          <w:szCs w:val="24"/>
        </w:rPr>
        <w:t>——保护土地复垦单位的利益，调动土地复垦的积极性；</w:t>
      </w:r>
    </w:p>
    <w:p>
      <w:pPr>
        <w:ind w:firstLine="528"/>
        <w:rPr>
          <w:color w:val="000000"/>
          <w:spacing w:val="12"/>
          <w:szCs w:val="24"/>
        </w:rPr>
      </w:pPr>
      <w:r>
        <w:rPr>
          <w:color w:val="000000"/>
          <w:spacing w:val="12"/>
          <w:szCs w:val="24"/>
        </w:rPr>
        <w:t>——坚持全面规划，综合治理，要治理一片见效一片。</w:t>
      </w:r>
      <w:r>
        <w:rPr>
          <w:rFonts w:hint="eastAsia"/>
          <w:color w:val="000000"/>
          <w:spacing w:val="12"/>
          <w:szCs w:val="24"/>
        </w:rPr>
        <w:t>土地复垦本着“谁破坏，谁复垦”的原则，由本项目建设施工单位进行复垦工作，土地复垦工作不做单独的招投标，</w:t>
      </w:r>
      <w:r>
        <w:rPr>
          <w:color w:val="000000"/>
          <w:spacing w:val="12"/>
          <w:szCs w:val="24"/>
        </w:rPr>
        <w:t>确保工程质量，降低工程成本，加快工程进度；</w:t>
      </w:r>
    </w:p>
    <w:p>
      <w:pPr>
        <w:ind w:firstLine="528"/>
        <w:rPr>
          <w:color w:val="000000"/>
          <w:spacing w:val="12"/>
          <w:szCs w:val="24"/>
        </w:rPr>
      </w:pPr>
      <w:r>
        <w:rPr>
          <w:color w:val="000000"/>
          <w:spacing w:val="12"/>
          <w:szCs w:val="24"/>
        </w:rPr>
        <w:t>——同时对施工单位组织学习、宣传工作，提高工程建设者的土地复垦自觉行动意识。同时应配备土地复垦专业人员，以解决措施实施过程中的技术问题，接受当地主管部门的监督检查。</w:t>
      </w:r>
    </w:p>
    <w:p>
      <w:pPr>
        <w:pStyle w:val="4"/>
        <w:spacing w:before="0" w:after="0"/>
        <w:ind w:firstLine="0" w:firstLineChars="0"/>
        <w:rPr>
          <w:color w:val="000000"/>
          <w:kern w:val="0"/>
          <w:szCs w:val="30"/>
        </w:rPr>
      </w:pPr>
      <w:bookmarkStart w:id="213" w:name="_Toc305068305"/>
      <w:bookmarkStart w:id="214" w:name="_Toc35614706"/>
      <w:bookmarkStart w:id="215" w:name="_Toc31092"/>
      <w:r>
        <w:rPr>
          <w:color w:val="000000"/>
          <w:kern w:val="0"/>
          <w:szCs w:val="30"/>
        </w:rPr>
        <w:t>1</w:t>
      </w:r>
      <w:r>
        <w:rPr>
          <w:rFonts w:hint="eastAsia"/>
          <w:color w:val="000000"/>
          <w:kern w:val="0"/>
          <w:szCs w:val="30"/>
        </w:rPr>
        <w:t>0</w:t>
      </w:r>
      <w:r>
        <w:rPr>
          <w:color w:val="000000"/>
          <w:kern w:val="0"/>
          <w:szCs w:val="30"/>
        </w:rPr>
        <w:t>.4技术保障措施</w:t>
      </w:r>
      <w:bookmarkEnd w:id="213"/>
      <w:bookmarkEnd w:id="214"/>
      <w:bookmarkEnd w:id="215"/>
    </w:p>
    <w:p>
      <w:pPr>
        <w:ind w:firstLine="528"/>
        <w:rPr>
          <w:color w:val="000000"/>
          <w:spacing w:val="12"/>
          <w:szCs w:val="24"/>
        </w:rPr>
      </w:pPr>
      <w:r>
        <w:rPr>
          <w:color w:val="000000"/>
          <w:spacing w:val="12"/>
          <w:szCs w:val="24"/>
        </w:rPr>
        <w:t>针对项目区内土地复垦的方法，经济、合理、可行和达到合理高效利用土地的标准。复垦所需的各类材料，一部分就地取材，其它所需材料及设备均可由市场购买，有充分的保障。项目一经批准，项目实施单位必须严格按照复垦方案执行，并确保资金、人员、机械和技术服务到位，设立专门办公室，具体负责复垦工程的规划指导、监督、检查、组织协调和工程实施，并对其实行目标管理，确保规划设计目标的实现。</w:t>
      </w:r>
    </w:p>
    <w:p>
      <w:pPr>
        <w:pStyle w:val="4"/>
        <w:spacing w:before="0" w:after="0"/>
        <w:ind w:firstLine="0" w:firstLineChars="0"/>
        <w:rPr>
          <w:color w:val="000000"/>
          <w:kern w:val="0"/>
          <w:szCs w:val="30"/>
        </w:rPr>
      </w:pPr>
      <w:bookmarkStart w:id="216" w:name="_Toc305068306"/>
      <w:bookmarkStart w:id="217" w:name="_Toc35614707"/>
      <w:bookmarkStart w:id="218" w:name="_Toc12691"/>
      <w:r>
        <w:rPr>
          <w:rFonts w:hint="eastAsia"/>
          <w:color w:val="000000"/>
          <w:kern w:val="0"/>
          <w:szCs w:val="30"/>
        </w:rPr>
        <w:t>10</w:t>
      </w:r>
      <w:r>
        <w:rPr>
          <w:color w:val="000000"/>
          <w:kern w:val="0"/>
          <w:szCs w:val="30"/>
        </w:rPr>
        <w:t>.5公众参与</w:t>
      </w:r>
      <w:bookmarkEnd w:id="216"/>
      <w:bookmarkEnd w:id="217"/>
      <w:bookmarkEnd w:id="218"/>
    </w:p>
    <w:p>
      <w:pPr>
        <w:ind w:firstLine="528"/>
        <w:rPr>
          <w:color w:val="000000"/>
          <w:spacing w:val="12"/>
          <w:szCs w:val="24"/>
        </w:rPr>
      </w:pPr>
      <w:r>
        <w:rPr>
          <w:color w:val="000000"/>
          <w:spacing w:val="12"/>
          <w:szCs w:val="24"/>
        </w:rPr>
        <w:t>土地复垦是一项庞大的系统工程。虽然项目区周边居民较少，但对于此项工程的开展抱有积极态度。本项目公众参与方式包括：</w:t>
      </w:r>
    </w:p>
    <w:p>
      <w:pPr>
        <w:ind w:firstLine="528"/>
        <w:rPr>
          <w:color w:val="000000"/>
          <w:spacing w:val="12"/>
          <w:szCs w:val="24"/>
        </w:rPr>
      </w:pPr>
      <w:r>
        <w:rPr>
          <w:color w:val="000000"/>
          <w:spacing w:val="12"/>
          <w:szCs w:val="24"/>
        </w:rPr>
        <w:t>——信息公开</w:t>
      </w:r>
    </w:p>
    <w:p>
      <w:pPr>
        <w:ind w:firstLine="528"/>
        <w:rPr>
          <w:color w:val="000000"/>
          <w:spacing w:val="12"/>
          <w:szCs w:val="24"/>
        </w:rPr>
      </w:pPr>
      <w:r>
        <w:rPr>
          <w:color w:val="000000"/>
          <w:spacing w:val="12"/>
          <w:szCs w:val="24"/>
        </w:rPr>
        <w:t>项目组协助建设单位向公众发布环保公告，公示建设项目的基本情况、土地复垦工作的主要内容及公众提出意见的方式等。公告主要粘贴在项目区周边敏感点的人流集中处，引来群众驻足观看，当地群众对公告的内容和形式也较接受。</w:t>
      </w:r>
    </w:p>
    <w:p>
      <w:pPr>
        <w:ind w:firstLine="528"/>
        <w:rPr>
          <w:color w:val="000000"/>
          <w:spacing w:val="12"/>
          <w:szCs w:val="24"/>
        </w:rPr>
      </w:pPr>
      <w:r>
        <w:rPr>
          <w:color w:val="000000"/>
          <w:spacing w:val="12"/>
          <w:szCs w:val="24"/>
        </w:rPr>
        <w:t>——发放调查表</w:t>
      </w:r>
    </w:p>
    <w:p>
      <w:pPr>
        <w:ind w:firstLine="528"/>
        <w:rPr>
          <w:color w:val="000000"/>
          <w:spacing w:val="12"/>
          <w:szCs w:val="24"/>
        </w:rPr>
      </w:pPr>
      <w:r>
        <w:rPr>
          <w:color w:val="000000"/>
          <w:spacing w:val="12"/>
          <w:szCs w:val="24"/>
        </w:rPr>
        <w:t>项目组走访了工程涉及的单位和群众，广泛征询了项目区所在地</w:t>
      </w:r>
      <w:r>
        <w:rPr>
          <w:rFonts w:hint="eastAsia"/>
          <w:color w:val="000000"/>
          <w:spacing w:val="12"/>
          <w:szCs w:val="24"/>
        </w:rPr>
        <w:t>自然资源</w:t>
      </w:r>
      <w:r>
        <w:rPr>
          <w:color w:val="000000"/>
          <w:spacing w:val="12"/>
          <w:szCs w:val="24"/>
        </w:rPr>
        <w:t>、农牧、林</w:t>
      </w:r>
      <w:r>
        <w:rPr>
          <w:rFonts w:hint="eastAsia"/>
          <w:color w:val="000000"/>
          <w:spacing w:val="12"/>
          <w:szCs w:val="24"/>
        </w:rPr>
        <w:t>草</w:t>
      </w:r>
      <w:r>
        <w:rPr>
          <w:color w:val="000000"/>
          <w:spacing w:val="12"/>
          <w:szCs w:val="24"/>
        </w:rPr>
        <w:t>、水利、环保、交通等多个部门的意见和建议，并采取发放公众意见调查表的方式了解群众对本工程的意见。</w:t>
      </w:r>
    </w:p>
    <w:p>
      <w:pPr>
        <w:ind w:firstLine="528"/>
        <w:rPr>
          <w:color w:val="000000"/>
          <w:spacing w:val="12"/>
          <w:szCs w:val="24"/>
        </w:rPr>
      </w:pPr>
      <w:r>
        <w:rPr>
          <w:color w:val="000000"/>
          <w:spacing w:val="12"/>
          <w:szCs w:val="24"/>
        </w:rPr>
        <w:t>——增强复垦意识</w:t>
      </w:r>
    </w:p>
    <w:p>
      <w:pPr>
        <w:ind w:firstLine="528"/>
        <w:rPr>
          <w:color w:val="000000"/>
          <w:spacing w:val="12"/>
          <w:szCs w:val="24"/>
        </w:rPr>
      </w:pPr>
      <w:r>
        <w:rPr>
          <w:color w:val="000000"/>
          <w:spacing w:val="12"/>
          <w:szCs w:val="24"/>
        </w:rPr>
        <w:t>要深入开展土地基本国情和国策教育，加强土地复垦法规和政策宣传，提高全社会对土地复垦在</w:t>
      </w:r>
      <w:r>
        <w:rPr>
          <w:rFonts w:hint="eastAsia"/>
          <w:color w:val="000000"/>
          <w:spacing w:val="12"/>
          <w:szCs w:val="24"/>
        </w:rPr>
        <w:t>乡村振兴上</w:t>
      </w:r>
      <w:r>
        <w:rPr>
          <w:color w:val="000000"/>
          <w:spacing w:val="12"/>
          <w:szCs w:val="24"/>
        </w:rPr>
        <w:t>实施可持续发展战略，保护和建设生态环境中的重要作用的认识。树立依法、按规划进行土地复垦的观念，增强公众参与和监督意识。</w:t>
      </w:r>
    </w:p>
    <w:p>
      <w:pPr>
        <w:pStyle w:val="4"/>
        <w:spacing w:before="0" w:after="0"/>
        <w:ind w:firstLine="0" w:firstLineChars="0"/>
        <w:rPr>
          <w:color w:val="000000"/>
          <w:kern w:val="0"/>
          <w:szCs w:val="30"/>
        </w:rPr>
      </w:pPr>
      <w:bookmarkStart w:id="219" w:name="_Toc232219875"/>
      <w:bookmarkStart w:id="220" w:name="_Toc259295758"/>
      <w:bookmarkStart w:id="221" w:name="_Toc307931675"/>
      <w:bookmarkStart w:id="222" w:name="_Toc35614708"/>
      <w:bookmarkStart w:id="223" w:name="_Toc16655"/>
      <w:r>
        <w:rPr>
          <w:color w:val="000000"/>
          <w:kern w:val="0"/>
          <w:szCs w:val="30"/>
        </w:rPr>
        <w:t>1</w:t>
      </w:r>
      <w:r>
        <w:rPr>
          <w:rFonts w:hint="eastAsia"/>
          <w:color w:val="000000"/>
          <w:kern w:val="0"/>
          <w:szCs w:val="30"/>
        </w:rPr>
        <w:t>0</w:t>
      </w:r>
      <w:r>
        <w:rPr>
          <w:color w:val="000000"/>
          <w:kern w:val="0"/>
          <w:szCs w:val="30"/>
        </w:rPr>
        <w:t>.6</w:t>
      </w:r>
      <w:bookmarkEnd w:id="219"/>
      <w:bookmarkEnd w:id="220"/>
      <w:r>
        <w:rPr>
          <w:color w:val="000000"/>
          <w:kern w:val="0"/>
          <w:szCs w:val="30"/>
        </w:rPr>
        <w:t>土地权属调整方案</w:t>
      </w:r>
      <w:bookmarkEnd w:id="221"/>
      <w:bookmarkEnd w:id="222"/>
      <w:bookmarkEnd w:id="223"/>
    </w:p>
    <w:p>
      <w:pPr>
        <w:pStyle w:val="5"/>
        <w:adjustRightInd w:val="0"/>
        <w:snapToGrid w:val="0"/>
        <w:spacing w:before="0" w:after="0" w:line="360" w:lineRule="auto"/>
        <w:ind w:left="101" w:hanging="100" w:hangingChars="36"/>
        <w:rPr>
          <w:rFonts w:hint="eastAsia"/>
          <w:color w:val="000000"/>
          <w:szCs w:val="28"/>
        </w:rPr>
      </w:pPr>
      <w:bookmarkStart w:id="224" w:name="_Toc298932929"/>
      <w:bookmarkStart w:id="225" w:name="_Toc288771831"/>
      <w:bookmarkStart w:id="226" w:name="_Toc287726955"/>
      <w:bookmarkStart w:id="227" w:name="_Toc287863936"/>
      <w:bookmarkStart w:id="228" w:name="_Toc287863689"/>
      <w:bookmarkStart w:id="229" w:name="_Toc298849702"/>
      <w:r>
        <w:rPr>
          <w:rFonts w:hint="eastAsia"/>
          <w:color w:val="000000"/>
          <w:szCs w:val="28"/>
        </w:rPr>
        <w:t>10.6.1权属调整原则</w:t>
      </w:r>
      <w:bookmarkEnd w:id="224"/>
      <w:bookmarkEnd w:id="225"/>
      <w:bookmarkEnd w:id="226"/>
      <w:bookmarkEnd w:id="227"/>
      <w:bookmarkEnd w:id="228"/>
      <w:bookmarkEnd w:id="229"/>
    </w:p>
    <w:p>
      <w:pPr>
        <w:ind w:firstLine="528"/>
        <w:rPr>
          <w:color w:val="000000"/>
          <w:spacing w:val="12"/>
          <w:szCs w:val="24"/>
        </w:rPr>
      </w:pPr>
      <w:r>
        <w:rPr>
          <w:color w:val="000000"/>
          <w:spacing w:val="12"/>
          <w:szCs w:val="24"/>
        </w:rPr>
        <w:t>a）公正、公平，充分保障广大农民的利益；</w:t>
      </w:r>
    </w:p>
    <w:p>
      <w:pPr>
        <w:ind w:firstLine="528"/>
        <w:rPr>
          <w:color w:val="000000"/>
          <w:spacing w:val="12"/>
          <w:szCs w:val="24"/>
        </w:rPr>
      </w:pPr>
      <w:r>
        <w:rPr>
          <w:color w:val="000000"/>
          <w:spacing w:val="12"/>
          <w:szCs w:val="24"/>
        </w:rPr>
        <w:t>b）充分尊重农民的意愿，保障农村土地家庭联产承包责任制的实施；</w:t>
      </w:r>
    </w:p>
    <w:p>
      <w:pPr>
        <w:ind w:firstLine="528"/>
        <w:rPr>
          <w:color w:val="000000"/>
          <w:spacing w:val="12"/>
          <w:szCs w:val="24"/>
        </w:rPr>
      </w:pPr>
      <w:r>
        <w:rPr>
          <w:color w:val="000000"/>
          <w:spacing w:val="12"/>
          <w:szCs w:val="24"/>
        </w:rPr>
        <w:t>c）保持各村集体土地总面积整理前后不变；</w:t>
      </w:r>
    </w:p>
    <w:p>
      <w:pPr>
        <w:ind w:firstLine="528"/>
        <w:rPr>
          <w:color w:val="000000"/>
          <w:spacing w:val="12"/>
          <w:szCs w:val="24"/>
        </w:rPr>
      </w:pPr>
      <w:r>
        <w:rPr>
          <w:color w:val="000000"/>
          <w:spacing w:val="12"/>
          <w:szCs w:val="24"/>
        </w:rPr>
        <w:t>d）集中连片，界线清晰，便于机械化、规模化经营。</w:t>
      </w:r>
    </w:p>
    <w:p>
      <w:pPr>
        <w:pStyle w:val="5"/>
        <w:adjustRightInd w:val="0"/>
        <w:snapToGrid w:val="0"/>
        <w:spacing w:before="0" w:after="0" w:line="360" w:lineRule="auto"/>
        <w:ind w:left="101" w:hanging="100" w:hangingChars="36"/>
        <w:rPr>
          <w:rFonts w:hint="eastAsia"/>
          <w:color w:val="000000"/>
          <w:szCs w:val="28"/>
        </w:rPr>
      </w:pPr>
      <w:bookmarkStart w:id="230" w:name="_Toc288771833"/>
      <w:bookmarkStart w:id="231" w:name="_Toc287863691"/>
      <w:bookmarkStart w:id="232" w:name="_Toc287863938"/>
      <w:bookmarkStart w:id="233" w:name="_Toc298932931"/>
      <w:bookmarkStart w:id="234" w:name="_Toc298849704"/>
      <w:bookmarkStart w:id="235" w:name="_Toc287726957"/>
      <w:r>
        <w:rPr>
          <w:rFonts w:hint="eastAsia"/>
          <w:color w:val="000000"/>
          <w:szCs w:val="28"/>
        </w:rPr>
        <w:t>10.6.2权属调整措施</w:t>
      </w:r>
      <w:bookmarkEnd w:id="230"/>
      <w:bookmarkEnd w:id="231"/>
      <w:bookmarkEnd w:id="232"/>
      <w:bookmarkEnd w:id="233"/>
      <w:bookmarkEnd w:id="234"/>
      <w:bookmarkEnd w:id="235"/>
    </w:p>
    <w:p>
      <w:pPr>
        <w:ind w:firstLine="528"/>
        <w:rPr>
          <w:rFonts w:hint="eastAsia"/>
          <w:color w:val="000000"/>
          <w:spacing w:val="12"/>
          <w:szCs w:val="24"/>
        </w:rPr>
      </w:pPr>
      <w:r>
        <w:rPr>
          <w:rFonts w:hint="eastAsia"/>
          <w:color w:val="000000"/>
          <w:spacing w:val="12"/>
          <w:szCs w:val="24"/>
        </w:rPr>
        <w:t>项目实施完成后各地块按原面积归还到土地权利人，如需进行权属调整，权属调整工作由各村民委员会自行协商解决。根据土地管理的有关政策以及项目区现有的土地权属状况，对项目区的土地权属调整，拟采取如下权属调整措施：</w:t>
      </w:r>
    </w:p>
    <w:p>
      <w:pPr>
        <w:ind w:firstLine="528"/>
        <w:rPr>
          <w:color w:val="000000"/>
          <w:spacing w:val="12"/>
          <w:szCs w:val="24"/>
        </w:rPr>
      </w:pPr>
      <w:r>
        <w:rPr>
          <w:rFonts w:hint="eastAsia"/>
          <w:color w:val="000000"/>
          <w:spacing w:val="12"/>
          <w:szCs w:val="24"/>
        </w:rPr>
        <w:t>a</w:t>
      </w:r>
      <w:r>
        <w:rPr>
          <w:color w:val="000000"/>
          <w:spacing w:val="12"/>
          <w:szCs w:val="24"/>
        </w:rPr>
        <w:t>）项目建设前进行勘测定界、丈量面积、土地清查和统一的确权登记。土地复垦、权属调整后，由</w:t>
      </w:r>
      <w:r>
        <w:rPr>
          <w:rFonts w:hint="eastAsia"/>
          <w:color w:val="000000"/>
          <w:spacing w:val="12"/>
          <w:szCs w:val="24"/>
        </w:rPr>
        <w:t>自然资源</w:t>
      </w:r>
      <w:r>
        <w:rPr>
          <w:color w:val="000000"/>
          <w:spacing w:val="12"/>
          <w:szCs w:val="24"/>
        </w:rPr>
        <w:t>主管部门进行土地权属变更登记。</w:t>
      </w:r>
    </w:p>
    <w:p>
      <w:pPr>
        <w:ind w:firstLine="528"/>
        <w:rPr>
          <w:color w:val="000000"/>
          <w:spacing w:val="12"/>
          <w:szCs w:val="24"/>
        </w:rPr>
      </w:pPr>
      <w:r>
        <w:rPr>
          <w:rFonts w:hint="eastAsia"/>
          <w:color w:val="000000"/>
          <w:spacing w:val="12"/>
          <w:szCs w:val="24"/>
        </w:rPr>
        <w:t>b</w:t>
      </w:r>
      <w:r>
        <w:rPr>
          <w:color w:val="000000"/>
          <w:spacing w:val="12"/>
          <w:szCs w:val="24"/>
        </w:rPr>
        <w:t>）复垦完成后，</w:t>
      </w:r>
      <w:r>
        <w:rPr>
          <w:rFonts w:hint="eastAsia"/>
          <w:color w:val="000000"/>
          <w:spacing w:val="12"/>
          <w:szCs w:val="24"/>
        </w:rPr>
        <w:t>项目所在地自然</w:t>
      </w:r>
      <w:r>
        <w:rPr>
          <w:color w:val="000000"/>
          <w:spacing w:val="12"/>
          <w:szCs w:val="24"/>
        </w:rPr>
        <w:t>资源管理部门和农业</w:t>
      </w:r>
      <w:r>
        <w:rPr>
          <w:rFonts w:hint="eastAsia"/>
          <w:color w:val="000000"/>
          <w:spacing w:val="12"/>
          <w:szCs w:val="24"/>
        </w:rPr>
        <w:t>农村</w:t>
      </w:r>
      <w:r>
        <w:rPr>
          <w:color w:val="000000"/>
          <w:spacing w:val="12"/>
          <w:szCs w:val="24"/>
        </w:rPr>
        <w:t>部门应对复垦后的土地进行综合评价，作为复垦后土地权属调整的主要依据，保持各方权利主体的土地集中连片、方便生产生活的原则，参照土地综合评价结果，并计算调整系数（调整系数=复垦后土地总产值÷复垦前土地总产值），按项目建设前各权属主体所拥有的土地产值情况，对复垦后的土地权属重新调整。</w:t>
      </w:r>
    </w:p>
    <w:p>
      <w:pPr>
        <w:ind w:firstLine="528"/>
        <w:rPr>
          <w:color w:val="000000"/>
          <w:spacing w:val="12"/>
          <w:szCs w:val="24"/>
        </w:rPr>
      </w:pPr>
      <w:r>
        <w:rPr>
          <w:rFonts w:hint="eastAsia"/>
          <w:color w:val="000000"/>
          <w:spacing w:val="12"/>
          <w:szCs w:val="24"/>
        </w:rPr>
        <w:t>c</w:t>
      </w:r>
      <w:r>
        <w:rPr>
          <w:color w:val="000000"/>
          <w:spacing w:val="12"/>
          <w:szCs w:val="24"/>
        </w:rPr>
        <w:t>）复垦后土地分配方式为：权属主体（村民小组）所分配到的土地总产值=权属主体（村民小组）项目建设前的土地总产值×调整系数；权属主体（村民小组）所分配到的土地总面积=权属主体（村民小组）所分配到的土地总产值÷所分配到的土地单位面积产值。</w:t>
      </w:r>
    </w:p>
    <w:p>
      <w:pPr>
        <w:pStyle w:val="4"/>
        <w:spacing w:before="0" w:after="0"/>
        <w:ind w:firstLine="0" w:firstLineChars="0"/>
        <w:rPr>
          <w:rFonts w:hint="eastAsia"/>
          <w:kern w:val="0"/>
          <w:szCs w:val="30"/>
        </w:rPr>
      </w:pPr>
      <w:bookmarkStart w:id="236" w:name="_Toc21249"/>
      <w:r>
        <w:rPr>
          <w:rFonts w:hint="eastAsia"/>
          <w:kern w:val="0"/>
          <w:szCs w:val="30"/>
        </w:rPr>
        <w:t>10.7主要风险分析</w:t>
      </w:r>
      <w:bookmarkEnd w:id="236"/>
    </w:p>
    <w:p>
      <w:pPr>
        <w:ind w:firstLine="528"/>
        <w:rPr>
          <w:color w:val="000000"/>
          <w:spacing w:val="12"/>
          <w:szCs w:val="24"/>
        </w:rPr>
      </w:pPr>
      <w:r>
        <w:rPr>
          <w:rFonts w:hint="eastAsia"/>
          <w:color w:val="000000"/>
          <w:spacing w:val="12"/>
          <w:szCs w:val="24"/>
        </w:rPr>
        <w:t>根据拟建工程特性及评估区地质环境条件、地质灾害危险性现状和预测评估结果，充分考虑项目区地质环境条件的差异性和潜在地质灾害隐患点的分布、危险程度，确定判别项目区危险性的量化指标。项目区地质灾害点少切比较稳定，距离拟建高速公路较远，临时用地的建设将很大程度加剧现状自然环境的破坏和工程影响范围内现状地质灾害的发育壮大，同时很大程度增加项目建设沿线公路的通行压力和破坏强度。针对拟建高速公路地质灾害危险性已编制《西畴至富宁高速公路工程建设项目地质灾害危险性评估报告》。</w:t>
      </w:r>
    </w:p>
    <w:p>
      <w:pPr>
        <w:pStyle w:val="4"/>
        <w:spacing w:before="0" w:after="0"/>
        <w:ind w:firstLine="0" w:firstLineChars="0"/>
        <w:rPr>
          <w:rFonts w:hint="eastAsia"/>
          <w:kern w:val="0"/>
          <w:szCs w:val="30"/>
        </w:rPr>
      </w:pPr>
      <w:bookmarkStart w:id="237" w:name="_Toc28192"/>
      <w:bookmarkStart w:id="238" w:name="_Toc25645"/>
      <w:r>
        <w:rPr>
          <w:rFonts w:hint="eastAsia"/>
          <w:kern w:val="0"/>
          <w:szCs w:val="30"/>
        </w:rPr>
        <w:t>10.8安全保障措施</w:t>
      </w:r>
      <w:bookmarkEnd w:id="237"/>
      <w:bookmarkEnd w:id="238"/>
    </w:p>
    <w:p>
      <w:pPr>
        <w:ind w:firstLine="528"/>
        <w:rPr>
          <w:color w:val="000000"/>
          <w:spacing w:val="12"/>
          <w:szCs w:val="24"/>
        </w:rPr>
      </w:pPr>
      <w:r>
        <w:rPr>
          <w:color w:val="000000"/>
          <w:spacing w:val="12"/>
          <w:szCs w:val="24"/>
        </w:rPr>
        <w:t>土地复垦整理工程安全生产保证措施提要：安全责任到人建立安全生产保障体系，实行安全岗位责任制，做到奖罚分明，逐级签订安全包保责任状。</w:t>
      </w:r>
    </w:p>
    <w:p>
      <w:pPr>
        <w:ind w:firstLine="528"/>
        <w:rPr>
          <w:color w:val="000000"/>
          <w:spacing w:val="12"/>
          <w:szCs w:val="24"/>
        </w:rPr>
      </w:pPr>
      <w:r>
        <w:rPr>
          <w:color w:val="000000"/>
          <w:spacing w:val="12"/>
          <w:szCs w:val="24"/>
        </w:rPr>
        <w:t>本工程任务重、工期紧、施工难度大，为解决好施工与安全之间的各种矛盾，严格贯彻</w:t>
      </w:r>
      <w:r>
        <w:rPr>
          <w:rFonts w:hint="eastAsia"/>
          <w:color w:val="000000"/>
          <w:spacing w:val="12"/>
          <w:szCs w:val="24"/>
        </w:rPr>
        <w:t>“</w:t>
      </w:r>
      <w:r>
        <w:rPr>
          <w:color w:val="000000"/>
          <w:spacing w:val="12"/>
          <w:szCs w:val="24"/>
        </w:rPr>
        <w:t>安全第一，预防为主”的方针，针对本项目工程特点，制订如下措施，并以严字当头，一丝不苟，常抓不懈，认真贯彻执行。</w:t>
      </w:r>
    </w:p>
    <w:p>
      <w:pPr>
        <w:ind w:firstLine="528"/>
        <w:outlineLvl w:val="1"/>
        <w:rPr>
          <w:color w:val="000000"/>
          <w:spacing w:val="12"/>
          <w:szCs w:val="24"/>
        </w:rPr>
      </w:pPr>
      <w:bookmarkStart w:id="239" w:name="_Toc4171"/>
      <w:bookmarkStart w:id="240" w:name="_Toc19019"/>
      <w:bookmarkStart w:id="241" w:name="_Toc10300"/>
      <w:bookmarkStart w:id="242" w:name="_Toc783"/>
      <w:bookmarkStart w:id="243" w:name="_Toc7338"/>
      <w:r>
        <w:rPr>
          <w:color w:val="000000"/>
          <w:spacing w:val="12"/>
          <w:szCs w:val="24"/>
        </w:rPr>
        <w:t>a）安全管理机构</w:t>
      </w:r>
      <w:bookmarkEnd w:id="239"/>
      <w:bookmarkEnd w:id="240"/>
      <w:bookmarkEnd w:id="241"/>
      <w:bookmarkEnd w:id="242"/>
      <w:bookmarkEnd w:id="243"/>
    </w:p>
    <w:p>
      <w:pPr>
        <w:ind w:firstLine="528"/>
        <w:rPr>
          <w:color w:val="000000"/>
          <w:spacing w:val="12"/>
          <w:szCs w:val="24"/>
        </w:rPr>
      </w:pPr>
      <w:r>
        <w:rPr>
          <w:color w:val="000000"/>
          <w:spacing w:val="12"/>
          <w:szCs w:val="24"/>
        </w:rPr>
        <w:t>1)建立以安全生产领导机构--安全生产领导小组，健全安全管理系统，设置专职安全员，各施工队、班组设兼职安全员。</w:t>
      </w:r>
    </w:p>
    <w:p>
      <w:pPr>
        <w:ind w:firstLine="528"/>
        <w:rPr>
          <w:color w:val="000000"/>
          <w:spacing w:val="12"/>
          <w:szCs w:val="24"/>
        </w:rPr>
      </w:pPr>
      <w:r>
        <w:rPr>
          <w:color w:val="000000"/>
          <w:spacing w:val="12"/>
          <w:szCs w:val="24"/>
        </w:rPr>
        <w:t>2)安全管理组织机构见工地安全管理组织机构</w:t>
      </w:r>
    </w:p>
    <w:p>
      <w:pPr>
        <w:ind w:firstLine="528"/>
        <w:outlineLvl w:val="1"/>
        <w:rPr>
          <w:rFonts w:hint="eastAsia"/>
          <w:color w:val="000000"/>
          <w:spacing w:val="12"/>
          <w:szCs w:val="24"/>
        </w:rPr>
      </w:pPr>
      <w:bookmarkStart w:id="244" w:name="_Toc30949"/>
      <w:bookmarkStart w:id="245" w:name="_Toc25361"/>
      <w:bookmarkStart w:id="246" w:name="_Toc20154"/>
      <w:bookmarkStart w:id="247" w:name="_Toc6693"/>
      <w:bookmarkStart w:id="248" w:name="_Toc13885"/>
      <w:r>
        <w:rPr>
          <w:color w:val="000000"/>
          <w:spacing w:val="12"/>
          <w:szCs w:val="24"/>
        </w:rPr>
        <w:t>b）加强安全生产教育，提高安全生产意识重点进行四个方面的教育</w:t>
      </w:r>
      <w:r>
        <w:rPr>
          <w:rFonts w:hint="eastAsia"/>
          <w:color w:val="000000"/>
          <w:spacing w:val="12"/>
          <w:szCs w:val="24"/>
        </w:rPr>
        <w:t>：</w:t>
      </w:r>
      <w:bookmarkEnd w:id="244"/>
      <w:bookmarkEnd w:id="245"/>
      <w:bookmarkEnd w:id="246"/>
      <w:bookmarkEnd w:id="247"/>
      <w:bookmarkEnd w:id="248"/>
    </w:p>
    <w:p>
      <w:pPr>
        <w:ind w:firstLine="528"/>
        <w:rPr>
          <w:color w:val="000000"/>
          <w:spacing w:val="12"/>
          <w:szCs w:val="24"/>
        </w:rPr>
      </w:pPr>
      <w:r>
        <w:rPr>
          <w:color w:val="000000"/>
          <w:spacing w:val="12"/>
          <w:szCs w:val="24"/>
        </w:rPr>
        <w:t>1)违章违纪安全的教育；</w:t>
      </w:r>
    </w:p>
    <w:p>
      <w:pPr>
        <w:ind w:firstLine="528"/>
        <w:rPr>
          <w:color w:val="000000"/>
          <w:spacing w:val="12"/>
          <w:szCs w:val="24"/>
        </w:rPr>
      </w:pPr>
      <w:r>
        <w:rPr>
          <w:color w:val="000000"/>
          <w:spacing w:val="12"/>
          <w:szCs w:val="24"/>
        </w:rPr>
        <w:t>2)主人翁责任感和安全第一的教育；</w:t>
      </w:r>
    </w:p>
    <w:p>
      <w:pPr>
        <w:ind w:firstLine="528"/>
        <w:rPr>
          <w:color w:val="000000"/>
          <w:spacing w:val="12"/>
          <w:szCs w:val="24"/>
        </w:rPr>
      </w:pPr>
      <w:r>
        <w:rPr>
          <w:color w:val="000000"/>
          <w:spacing w:val="12"/>
          <w:szCs w:val="24"/>
        </w:rPr>
        <w:t>3)本职工作安全基本知识和技能教育；</w:t>
      </w:r>
    </w:p>
    <w:p>
      <w:pPr>
        <w:ind w:firstLine="528"/>
        <w:rPr>
          <w:color w:val="000000"/>
          <w:spacing w:val="12"/>
          <w:szCs w:val="24"/>
        </w:rPr>
      </w:pPr>
      <w:r>
        <w:rPr>
          <w:color w:val="000000"/>
          <w:spacing w:val="12"/>
          <w:szCs w:val="24"/>
        </w:rPr>
        <w:t>在方法上，采用系统教育和经常教育相结合，开工前进行系统教育，平时抓紧时间进行经常性教育，利用班前班后交待安全工作，开展安全竞赛和安全评比，定期公布评比情况，举办安全生产展览，使施工生产轰轰烈烈，安全生产扎扎实实。</w:t>
      </w:r>
    </w:p>
    <w:p>
      <w:pPr>
        <w:ind w:firstLine="528"/>
        <w:outlineLvl w:val="1"/>
        <w:rPr>
          <w:color w:val="000000"/>
          <w:spacing w:val="12"/>
          <w:szCs w:val="24"/>
        </w:rPr>
      </w:pPr>
      <w:bookmarkStart w:id="249" w:name="_Toc736"/>
      <w:bookmarkStart w:id="250" w:name="_Toc20650"/>
      <w:bookmarkStart w:id="251" w:name="_Toc12555"/>
      <w:bookmarkStart w:id="252" w:name="_Toc30797"/>
      <w:bookmarkStart w:id="253" w:name="_Toc13190"/>
      <w:r>
        <w:rPr>
          <w:color w:val="000000"/>
          <w:spacing w:val="12"/>
          <w:szCs w:val="24"/>
        </w:rPr>
        <w:t>c）安全责任到人</w:t>
      </w:r>
      <w:bookmarkEnd w:id="249"/>
      <w:bookmarkEnd w:id="250"/>
      <w:bookmarkEnd w:id="251"/>
      <w:bookmarkEnd w:id="252"/>
      <w:bookmarkEnd w:id="253"/>
    </w:p>
    <w:p>
      <w:pPr>
        <w:ind w:firstLine="528"/>
        <w:rPr>
          <w:color w:val="000000"/>
          <w:spacing w:val="12"/>
          <w:szCs w:val="24"/>
        </w:rPr>
      </w:pPr>
      <w:r>
        <w:rPr>
          <w:color w:val="000000"/>
          <w:spacing w:val="12"/>
          <w:szCs w:val="24"/>
        </w:rPr>
        <w:t>建立安全生产保障体系，实行安全岗位责任制，做到奖罚分明，逐级签订安全包保责任状，明确分责任到人，项目部设立专职安全监察员，队设立专职安全员，班组设立兼职安全员，逐级负责，使安全工作真正落到实处。</w:t>
      </w:r>
    </w:p>
    <w:p>
      <w:pPr>
        <w:ind w:firstLine="528"/>
        <w:outlineLvl w:val="1"/>
        <w:rPr>
          <w:color w:val="000000"/>
          <w:spacing w:val="12"/>
          <w:szCs w:val="24"/>
        </w:rPr>
      </w:pPr>
      <w:bookmarkStart w:id="254" w:name="_Toc7361"/>
      <w:bookmarkStart w:id="255" w:name="_Toc14763"/>
      <w:bookmarkStart w:id="256" w:name="_Toc6052"/>
      <w:bookmarkStart w:id="257" w:name="_Toc29902"/>
      <w:bookmarkStart w:id="258" w:name="_Toc2414"/>
      <w:r>
        <w:rPr>
          <w:color w:val="000000"/>
          <w:spacing w:val="12"/>
          <w:szCs w:val="24"/>
        </w:rPr>
        <w:t>d）建立健全安全生产保证体系</w:t>
      </w:r>
      <w:bookmarkEnd w:id="254"/>
      <w:bookmarkEnd w:id="255"/>
      <w:bookmarkEnd w:id="256"/>
      <w:bookmarkEnd w:id="257"/>
      <w:bookmarkEnd w:id="258"/>
    </w:p>
    <w:p>
      <w:pPr>
        <w:ind w:firstLine="528"/>
        <w:rPr>
          <w:color w:val="000000"/>
          <w:spacing w:val="12"/>
          <w:szCs w:val="24"/>
        </w:rPr>
      </w:pPr>
      <w:r>
        <w:rPr>
          <w:color w:val="000000"/>
          <w:spacing w:val="12"/>
          <w:szCs w:val="24"/>
        </w:rPr>
        <w:t>在本工程施工过程中，成立强有力的领导班子，建立健全安全保证体系，领导挂帅，全员参加，安全具体负责，组织实施该项目的安全管理，把对施工安全和人员健康作为承包人的重要职责，根据工程特点，建立安全岗位责任制，逐级签订安全生产承包责任状，明确分工，责任到人。确保施工安全贯穿施工全过程。提高全员意识，消灭事故隐患，把不安全的隐患消除在</w:t>
      </w:r>
      <w:r>
        <w:rPr>
          <w:rFonts w:hint="eastAsia"/>
          <w:color w:val="000000"/>
          <w:spacing w:val="12"/>
          <w:szCs w:val="24"/>
          <w:lang w:eastAsia="zh-CN"/>
        </w:rPr>
        <w:t>萌芽</w:t>
      </w:r>
      <w:r>
        <w:rPr>
          <w:color w:val="000000"/>
          <w:spacing w:val="12"/>
          <w:szCs w:val="24"/>
        </w:rPr>
        <w:t>状态之中。</w:t>
      </w:r>
    </w:p>
    <w:p>
      <w:pPr>
        <w:ind w:firstLine="528"/>
        <w:rPr>
          <w:color w:val="000000"/>
          <w:spacing w:val="12"/>
          <w:szCs w:val="24"/>
        </w:rPr>
      </w:pPr>
      <w:r>
        <w:rPr>
          <w:color w:val="000000"/>
          <w:spacing w:val="12"/>
          <w:szCs w:val="24"/>
        </w:rPr>
        <w:t>经常与当地政府联系，密切与当地群众的关系，征求意见，改进工作，严肃群众纪律，搞好工农联防，共同做好施工期间的安全工作。</w:t>
      </w:r>
    </w:p>
    <w:p>
      <w:pPr>
        <w:ind w:firstLine="528"/>
        <w:outlineLvl w:val="1"/>
        <w:rPr>
          <w:color w:val="000000"/>
          <w:spacing w:val="12"/>
          <w:szCs w:val="24"/>
        </w:rPr>
      </w:pPr>
      <w:bookmarkStart w:id="259" w:name="_Toc25192"/>
      <w:bookmarkStart w:id="260" w:name="_Toc4486"/>
      <w:bookmarkStart w:id="261" w:name="_Toc29289"/>
      <w:bookmarkStart w:id="262" w:name="_Toc23771"/>
      <w:bookmarkStart w:id="263" w:name="_Toc22450"/>
      <w:r>
        <w:rPr>
          <w:color w:val="000000"/>
          <w:spacing w:val="12"/>
          <w:szCs w:val="24"/>
        </w:rPr>
        <w:t>e）机械设备安全管理措施</w:t>
      </w:r>
      <w:bookmarkEnd w:id="259"/>
      <w:bookmarkEnd w:id="260"/>
      <w:bookmarkEnd w:id="261"/>
      <w:bookmarkEnd w:id="262"/>
      <w:bookmarkEnd w:id="263"/>
    </w:p>
    <w:p>
      <w:pPr>
        <w:ind w:firstLine="528"/>
        <w:rPr>
          <w:color w:val="000000"/>
          <w:spacing w:val="12"/>
          <w:szCs w:val="24"/>
        </w:rPr>
      </w:pPr>
      <w:r>
        <w:rPr>
          <w:color w:val="000000"/>
          <w:spacing w:val="12"/>
          <w:szCs w:val="24"/>
        </w:rPr>
        <w:t>1)所有机械操作人员须持证上岗；</w:t>
      </w:r>
    </w:p>
    <w:p>
      <w:pPr>
        <w:ind w:firstLine="528"/>
        <w:rPr>
          <w:color w:val="000000"/>
          <w:spacing w:val="12"/>
          <w:szCs w:val="24"/>
        </w:rPr>
      </w:pPr>
      <w:r>
        <w:rPr>
          <w:color w:val="000000"/>
          <w:spacing w:val="12"/>
          <w:szCs w:val="24"/>
        </w:rPr>
        <w:t>2)所有机械设备进场前均须检修完毕确保到位后即可开展作业；</w:t>
      </w:r>
    </w:p>
    <w:p>
      <w:pPr>
        <w:ind w:firstLine="528"/>
        <w:rPr>
          <w:color w:val="000000"/>
          <w:spacing w:val="12"/>
          <w:szCs w:val="24"/>
        </w:rPr>
      </w:pPr>
      <w:r>
        <w:rPr>
          <w:color w:val="000000"/>
          <w:spacing w:val="12"/>
          <w:szCs w:val="24"/>
        </w:rPr>
        <w:t>3)严格按照机械操作规范手册进行工作；</w:t>
      </w:r>
    </w:p>
    <w:p>
      <w:pPr>
        <w:ind w:firstLine="528"/>
        <w:rPr>
          <w:color w:val="000000"/>
          <w:spacing w:val="12"/>
          <w:szCs w:val="24"/>
        </w:rPr>
      </w:pPr>
      <w:r>
        <w:rPr>
          <w:color w:val="000000"/>
          <w:spacing w:val="12"/>
          <w:szCs w:val="24"/>
        </w:rPr>
        <w:t>4)定期维护、定时保养、及时检查主要部件，确保良好运转状态，严防机械带病作业；</w:t>
      </w:r>
    </w:p>
    <w:p>
      <w:pPr>
        <w:ind w:firstLine="528"/>
        <w:rPr>
          <w:color w:val="000000"/>
          <w:spacing w:val="12"/>
          <w:szCs w:val="24"/>
        </w:rPr>
      </w:pPr>
      <w:r>
        <w:rPr>
          <w:color w:val="000000"/>
          <w:spacing w:val="12"/>
          <w:szCs w:val="24"/>
        </w:rPr>
        <w:t>5)在各作业段(点)特别是路边装土的挖掘机、装载机和自卸汽车，因为有行人、交通车辆干扰，必须设置，专职安全员持袖章拿红、绿旗指挥，并设立施工标志牌标；</w:t>
      </w:r>
    </w:p>
    <w:p>
      <w:pPr>
        <w:ind w:firstLine="528"/>
        <w:rPr>
          <w:color w:val="000000"/>
          <w:spacing w:val="12"/>
          <w:szCs w:val="24"/>
        </w:rPr>
      </w:pPr>
      <w:r>
        <w:rPr>
          <w:color w:val="000000"/>
          <w:spacing w:val="12"/>
          <w:szCs w:val="24"/>
        </w:rPr>
        <w:t>6)挖掘机在旋转半径内应严格注意行人、树木、管线、电缆等施工障碍、重要建筑物(品)上应装置醒目标识；</w:t>
      </w:r>
    </w:p>
    <w:p>
      <w:pPr>
        <w:ind w:firstLine="528"/>
        <w:rPr>
          <w:color w:val="000000"/>
          <w:spacing w:val="12"/>
          <w:szCs w:val="24"/>
        </w:rPr>
      </w:pPr>
      <w:r>
        <w:rPr>
          <w:color w:val="000000"/>
          <w:spacing w:val="12"/>
          <w:szCs w:val="24"/>
        </w:rPr>
        <w:t>7)夜晚施工应有良好的照明现场，确保视线、视野良好；</w:t>
      </w:r>
    </w:p>
    <w:p>
      <w:pPr>
        <w:ind w:firstLine="528"/>
        <w:rPr>
          <w:highlight w:val="yellow"/>
          <w:lang w:val="en-GB"/>
        </w:rPr>
        <w:sectPr>
          <w:pgSz w:w="11906" w:h="16838"/>
          <w:pgMar w:top="1440" w:right="1800" w:bottom="1440" w:left="1800" w:header="851" w:footer="992" w:gutter="0"/>
          <w:cols w:space="720" w:num="1"/>
          <w:docGrid w:type="lines" w:linePitch="312" w:charSpace="0"/>
        </w:sectPr>
      </w:pPr>
      <w:r>
        <w:rPr>
          <w:color w:val="000000"/>
          <w:spacing w:val="12"/>
          <w:szCs w:val="24"/>
        </w:rPr>
        <w:t>8)机械设备不作业时应有规则地停放，并派专人看管，严防被破坏和误操作。</w:t>
      </w:r>
    </w:p>
    <w:p>
      <w:pPr>
        <w:pStyle w:val="3"/>
        <w:spacing w:before="0" w:after="0"/>
        <w:ind w:firstLine="0" w:firstLineChars="0"/>
        <w:jc w:val="both"/>
        <w:rPr>
          <w:color w:val="000000"/>
          <w:kern w:val="0"/>
          <w:szCs w:val="32"/>
        </w:rPr>
      </w:pPr>
      <w:bookmarkStart w:id="264" w:name="_Toc318961415"/>
      <w:bookmarkStart w:id="265" w:name="_Toc302374588"/>
      <w:bookmarkStart w:id="266" w:name="_Toc35614709"/>
      <w:bookmarkStart w:id="267" w:name="_Toc26096"/>
      <w:r>
        <w:rPr>
          <w:rFonts w:hint="eastAsia"/>
          <w:color w:val="000000"/>
          <w:kern w:val="0"/>
          <w:szCs w:val="32"/>
        </w:rPr>
        <w:t>11</w:t>
      </w:r>
      <w:r>
        <w:rPr>
          <w:color w:val="000000"/>
          <w:kern w:val="0"/>
          <w:szCs w:val="32"/>
        </w:rPr>
        <w:t>土地复垦方案编制成果</w:t>
      </w:r>
      <w:bookmarkEnd w:id="264"/>
      <w:bookmarkEnd w:id="265"/>
      <w:bookmarkEnd w:id="266"/>
      <w:bookmarkEnd w:id="267"/>
    </w:p>
    <w:p>
      <w:pPr>
        <w:pStyle w:val="4"/>
        <w:spacing w:before="0" w:after="0"/>
        <w:ind w:firstLine="0" w:firstLineChars="0"/>
        <w:rPr>
          <w:color w:val="000000"/>
          <w:kern w:val="0"/>
          <w:szCs w:val="30"/>
        </w:rPr>
      </w:pPr>
      <w:bookmarkStart w:id="268" w:name="_Toc302374589"/>
      <w:bookmarkStart w:id="269" w:name="_Toc8882"/>
      <w:bookmarkStart w:id="270" w:name="_Toc318961416"/>
      <w:bookmarkStart w:id="271" w:name="_Toc35614710"/>
      <w:r>
        <w:rPr>
          <w:rFonts w:hint="eastAsia"/>
          <w:color w:val="000000"/>
          <w:kern w:val="0"/>
          <w:szCs w:val="30"/>
        </w:rPr>
        <w:t>11</w:t>
      </w:r>
      <w:r>
        <w:rPr>
          <w:color w:val="000000"/>
          <w:kern w:val="0"/>
          <w:szCs w:val="30"/>
        </w:rPr>
        <w:t>.1报告</w:t>
      </w:r>
      <w:bookmarkEnd w:id="268"/>
      <w:bookmarkEnd w:id="269"/>
      <w:bookmarkEnd w:id="270"/>
      <w:bookmarkEnd w:id="271"/>
    </w:p>
    <w:p>
      <w:pPr>
        <w:pStyle w:val="5"/>
        <w:spacing w:before="0" w:after="0" w:line="360" w:lineRule="auto"/>
        <w:ind w:firstLine="0" w:firstLineChars="0"/>
        <w:rPr>
          <w:color w:val="000000"/>
        </w:rPr>
      </w:pPr>
      <w:r>
        <w:rPr>
          <w:rFonts w:hint="eastAsia"/>
          <w:color w:val="000000"/>
        </w:rPr>
        <w:t>11</w:t>
      </w:r>
      <w:r>
        <w:rPr>
          <w:color w:val="000000"/>
        </w:rPr>
        <w:t>.1.1土地复垦方案报告书；</w:t>
      </w:r>
    </w:p>
    <w:p>
      <w:pPr>
        <w:pStyle w:val="5"/>
        <w:spacing w:before="0" w:after="0" w:line="360" w:lineRule="auto"/>
        <w:ind w:firstLine="0" w:firstLineChars="0"/>
        <w:rPr>
          <w:color w:val="000000"/>
        </w:rPr>
      </w:pPr>
      <w:r>
        <w:rPr>
          <w:rFonts w:hint="eastAsia"/>
          <w:color w:val="000000"/>
        </w:rPr>
        <w:t>11</w:t>
      </w:r>
      <w:r>
        <w:rPr>
          <w:color w:val="000000"/>
        </w:rPr>
        <w:t>.1.2土地复垦方案报告表。</w:t>
      </w:r>
    </w:p>
    <w:p>
      <w:pPr>
        <w:pStyle w:val="4"/>
        <w:adjustRightInd w:val="0"/>
        <w:snapToGrid w:val="0"/>
        <w:ind w:firstLine="0" w:firstLineChars="0"/>
        <w:rPr>
          <w:rFonts w:hint="eastAsia"/>
          <w:color w:val="000000"/>
          <w:szCs w:val="30"/>
        </w:rPr>
      </w:pPr>
      <w:bookmarkStart w:id="272" w:name="_Toc5277"/>
      <w:bookmarkStart w:id="273" w:name="_Toc302374590"/>
      <w:bookmarkStart w:id="274" w:name="_Toc318961417"/>
      <w:bookmarkStart w:id="275" w:name="_Toc35614711"/>
      <w:r>
        <w:rPr>
          <w:rFonts w:hint="eastAsia"/>
          <w:color w:val="000000"/>
          <w:szCs w:val="30"/>
        </w:rPr>
        <w:t>11.</w:t>
      </w:r>
      <w:r>
        <w:rPr>
          <w:color w:val="000000"/>
          <w:szCs w:val="30"/>
        </w:rPr>
        <w:t>2</w:t>
      </w:r>
      <w:r>
        <w:rPr>
          <w:rFonts w:hint="eastAsia"/>
          <w:color w:val="000000"/>
          <w:szCs w:val="30"/>
        </w:rPr>
        <w:t>附表</w:t>
      </w:r>
      <w:bookmarkEnd w:id="272"/>
    </w:p>
    <w:p>
      <w:pPr>
        <w:pStyle w:val="5"/>
        <w:spacing w:before="0" w:after="0" w:line="360" w:lineRule="auto"/>
        <w:ind w:firstLine="0" w:firstLineChars="0"/>
        <w:rPr>
          <w:color w:val="000000"/>
        </w:rPr>
      </w:pPr>
      <w:r>
        <w:rPr>
          <w:rFonts w:hint="eastAsia"/>
          <w:color w:val="000000"/>
        </w:rPr>
        <w:t>11.</w:t>
      </w:r>
      <w:r>
        <w:rPr>
          <w:color w:val="000000"/>
        </w:rPr>
        <w:t>2</w:t>
      </w:r>
      <w:r>
        <w:rPr>
          <w:rFonts w:hint="eastAsia"/>
          <w:color w:val="000000"/>
        </w:rPr>
        <w:t>.1</w:t>
      </w:r>
      <w:r>
        <w:rPr>
          <w:rFonts w:hint="eastAsia"/>
          <w:color w:val="000000"/>
          <w:szCs w:val="28"/>
        </w:rPr>
        <w:t>西畴至富宁高速公路建设项目（西畴段）第一期</w:t>
      </w:r>
      <w:r>
        <w:rPr>
          <w:rFonts w:hint="eastAsia"/>
          <w:color w:val="000000"/>
        </w:rPr>
        <w:t>临时用地土地复垦预算；</w:t>
      </w:r>
    </w:p>
    <w:p>
      <w:pPr>
        <w:pStyle w:val="4"/>
        <w:adjustRightInd w:val="0"/>
        <w:snapToGrid w:val="0"/>
        <w:ind w:firstLine="0" w:firstLineChars="0"/>
        <w:rPr>
          <w:rFonts w:hint="eastAsia"/>
          <w:color w:val="000000"/>
          <w:szCs w:val="30"/>
        </w:rPr>
      </w:pPr>
      <w:bookmarkStart w:id="276" w:name="_Toc953"/>
      <w:r>
        <w:rPr>
          <w:rFonts w:hint="eastAsia"/>
          <w:color w:val="000000"/>
          <w:szCs w:val="30"/>
        </w:rPr>
        <w:t>11.3附件</w:t>
      </w:r>
      <w:bookmarkEnd w:id="276"/>
    </w:p>
    <w:p>
      <w:pPr>
        <w:pStyle w:val="5"/>
        <w:spacing w:before="0" w:after="0" w:line="360" w:lineRule="auto"/>
        <w:ind w:firstLine="0" w:firstLineChars="0"/>
        <w:rPr>
          <w:rFonts w:hint="eastAsia"/>
          <w:color w:val="000000"/>
        </w:rPr>
      </w:pPr>
      <w:r>
        <w:rPr>
          <w:rFonts w:hint="eastAsia"/>
          <w:color w:val="000000"/>
        </w:rPr>
        <w:t>11.3.1土地复垦方案编制单位资质证书或业绩证明；</w:t>
      </w:r>
    </w:p>
    <w:p>
      <w:pPr>
        <w:pStyle w:val="5"/>
        <w:spacing w:before="0" w:after="0" w:line="360" w:lineRule="auto"/>
        <w:ind w:firstLine="0" w:firstLineChars="0"/>
        <w:rPr>
          <w:rFonts w:hint="eastAsia"/>
          <w:color w:val="000000"/>
        </w:rPr>
      </w:pPr>
      <w:r>
        <w:rPr>
          <w:rFonts w:hint="eastAsia"/>
          <w:color w:val="000000"/>
        </w:rPr>
        <w:t>11.3.2土地复垦方案编制单位营业执照；</w:t>
      </w:r>
    </w:p>
    <w:p>
      <w:pPr>
        <w:pStyle w:val="5"/>
        <w:spacing w:before="0" w:after="0" w:line="360" w:lineRule="auto"/>
        <w:ind w:firstLine="0" w:firstLineChars="0"/>
        <w:rPr>
          <w:rFonts w:hint="eastAsia"/>
          <w:color w:val="000000"/>
        </w:rPr>
      </w:pPr>
      <w:r>
        <w:rPr>
          <w:rFonts w:hint="eastAsia"/>
          <w:color w:val="000000"/>
        </w:rPr>
        <w:t>11.3.3土地复垦方案编制委托函；</w:t>
      </w:r>
    </w:p>
    <w:p>
      <w:pPr>
        <w:pStyle w:val="5"/>
        <w:spacing w:before="0" w:after="0" w:line="360" w:lineRule="auto"/>
        <w:ind w:firstLine="0" w:firstLineChars="0"/>
        <w:rPr>
          <w:rFonts w:hint="eastAsia"/>
          <w:color w:val="000000"/>
        </w:rPr>
      </w:pPr>
      <w:r>
        <w:rPr>
          <w:rFonts w:hint="eastAsia"/>
          <w:color w:val="000000"/>
        </w:rPr>
        <w:t>11.3.4土地复垦承诺书；</w:t>
      </w:r>
    </w:p>
    <w:p>
      <w:pPr>
        <w:pStyle w:val="5"/>
        <w:spacing w:before="0" w:after="0" w:line="360" w:lineRule="auto"/>
        <w:ind w:firstLine="0" w:firstLineChars="0"/>
        <w:rPr>
          <w:rFonts w:hint="eastAsia"/>
          <w:color w:val="000000"/>
        </w:rPr>
      </w:pPr>
      <w:r>
        <w:rPr>
          <w:rFonts w:hint="eastAsia"/>
          <w:color w:val="000000"/>
        </w:rPr>
        <w:t>11.3.5</w:t>
      </w:r>
      <w:r>
        <w:rPr>
          <w:color w:val="000000"/>
        </w:rPr>
        <w:t>土地所有权人</w:t>
      </w:r>
      <w:r>
        <w:rPr>
          <w:rFonts w:hint="eastAsia"/>
          <w:color w:val="000000"/>
        </w:rPr>
        <w:t>或使用权人对本方案的意见；</w:t>
      </w:r>
    </w:p>
    <w:p>
      <w:pPr>
        <w:pStyle w:val="5"/>
        <w:spacing w:before="0" w:after="0" w:line="360" w:lineRule="auto"/>
        <w:ind w:firstLine="0" w:firstLineChars="0"/>
        <w:rPr>
          <w:rFonts w:hint="eastAsia"/>
          <w:color w:val="000000"/>
        </w:rPr>
      </w:pPr>
      <w:r>
        <w:rPr>
          <w:rFonts w:hint="eastAsia"/>
          <w:color w:val="000000"/>
        </w:rPr>
        <w:t>11.3.6公众参与调查表；</w:t>
      </w:r>
    </w:p>
    <w:p>
      <w:pPr>
        <w:pStyle w:val="5"/>
        <w:adjustRightInd w:val="0"/>
        <w:snapToGrid w:val="0"/>
        <w:spacing w:before="0" w:after="0" w:line="360" w:lineRule="auto"/>
        <w:ind w:left="101" w:hanging="100" w:hangingChars="36"/>
        <w:rPr>
          <w:rFonts w:hint="eastAsia"/>
          <w:color w:val="000000"/>
          <w:highlight w:val="yellow"/>
        </w:rPr>
      </w:pPr>
      <w:r>
        <w:rPr>
          <w:rFonts w:hint="eastAsia"/>
          <w:color w:val="000000"/>
        </w:rPr>
        <w:t>11.3.7云南省发展和改革委员会关于</w:t>
      </w:r>
      <w:r>
        <w:rPr>
          <w:rFonts w:hint="eastAsia"/>
          <w:color w:val="000000"/>
          <w:szCs w:val="28"/>
        </w:rPr>
        <w:t>西畴至富宁高速公路</w:t>
      </w:r>
      <w:r>
        <w:rPr>
          <w:rFonts w:hint="eastAsia"/>
          <w:color w:val="000000"/>
        </w:rPr>
        <w:t>工程可行性研究报告的批复；</w:t>
      </w:r>
    </w:p>
    <w:p>
      <w:pPr>
        <w:pStyle w:val="5"/>
        <w:spacing w:before="0" w:after="0" w:line="360" w:lineRule="auto"/>
        <w:ind w:firstLine="0" w:firstLineChars="0"/>
        <w:rPr>
          <w:rFonts w:hint="eastAsia"/>
          <w:color w:val="000000"/>
        </w:rPr>
      </w:pPr>
      <w:r>
        <w:rPr>
          <w:rFonts w:hint="eastAsia"/>
          <w:color w:val="000000"/>
        </w:rPr>
        <w:t>11.3.8云南省交通运输厅关于西畴至富宁高速公路初步设计的批复；</w:t>
      </w:r>
    </w:p>
    <w:p>
      <w:pPr>
        <w:pStyle w:val="5"/>
        <w:spacing w:before="0" w:after="0" w:line="360" w:lineRule="auto"/>
        <w:ind w:firstLine="0" w:firstLineChars="0"/>
        <w:rPr>
          <w:rFonts w:hint="eastAsia"/>
          <w:color w:val="000000"/>
        </w:rPr>
      </w:pPr>
      <w:r>
        <w:rPr>
          <w:rFonts w:hint="eastAsia"/>
          <w:color w:val="000000"/>
        </w:rPr>
        <w:t>11.3.9西畴至富宁高速公路建设项目用地预审与选址意见书</w:t>
      </w:r>
    </w:p>
    <w:p>
      <w:pPr>
        <w:pStyle w:val="4"/>
        <w:adjustRightInd w:val="0"/>
        <w:snapToGrid w:val="0"/>
        <w:spacing w:before="0" w:after="0"/>
        <w:ind w:firstLine="0" w:firstLineChars="0"/>
        <w:rPr>
          <w:color w:val="000000"/>
          <w:szCs w:val="30"/>
        </w:rPr>
      </w:pPr>
      <w:r>
        <w:rPr>
          <w:rFonts w:hint="eastAsia"/>
          <w:color w:val="000000"/>
          <w:szCs w:val="30"/>
        </w:rPr>
        <w:br w:type="page"/>
      </w:r>
      <w:bookmarkStart w:id="277" w:name="_Toc28539"/>
      <w:r>
        <w:rPr>
          <w:rFonts w:hint="eastAsia"/>
          <w:color w:val="000000"/>
          <w:szCs w:val="30"/>
        </w:rPr>
        <w:t>11</w:t>
      </w:r>
      <w:r>
        <w:rPr>
          <w:color w:val="000000"/>
          <w:szCs w:val="30"/>
        </w:rPr>
        <w:t>.4附图</w:t>
      </w:r>
      <w:bookmarkEnd w:id="273"/>
      <w:bookmarkEnd w:id="274"/>
      <w:bookmarkEnd w:id="275"/>
      <w:bookmarkEnd w:id="277"/>
    </w:p>
    <w:p>
      <w:pPr>
        <w:pStyle w:val="5"/>
        <w:spacing w:before="0" w:after="0" w:line="360" w:lineRule="auto"/>
        <w:ind w:firstLine="0" w:firstLineChars="0"/>
        <w:rPr>
          <w:color w:val="000000"/>
        </w:rPr>
      </w:pPr>
      <w:r>
        <w:rPr>
          <w:rFonts w:hint="eastAsia"/>
          <w:color w:val="000000"/>
        </w:rPr>
        <w:t>11</w:t>
      </w:r>
      <w:r>
        <w:rPr>
          <w:color w:val="000000"/>
        </w:rPr>
        <w:t>.4.1</w:t>
      </w:r>
      <w:r>
        <w:rPr>
          <w:rFonts w:hint="eastAsia"/>
          <w:color w:val="000000"/>
          <w:szCs w:val="28"/>
        </w:rPr>
        <w:t>西畴至富宁高速公路建设项目（西畴段）</w:t>
      </w:r>
      <w:r>
        <w:rPr>
          <w:rFonts w:hint="eastAsia"/>
          <w:color w:val="000000"/>
        </w:rPr>
        <w:t>第一期临时用地</w:t>
      </w:r>
      <w:r>
        <w:rPr>
          <w:color w:val="000000"/>
        </w:rPr>
        <w:t>土地利用现状图；</w:t>
      </w:r>
    </w:p>
    <w:p>
      <w:pPr>
        <w:pStyle w:val="5"/>
        <w:spacing w:before="0" w:after="0" w:line="360" w:lineRule="auto"/>
        <w:ind w:firstLine="0" w:firstLineChars="0"/>
        <w:rPr>
          <w:rFonts w:hint="eastAsia"/>
          <w:color w:val="000000"/>
        </w:rPr>
      </w:pPr>
      <w:r>
        <w:rPr>
          <w:rFonts w:hint="eastAsia"/>
          <w:color w:val="000000"/>
        </w:rPr>
        <w:t>11</w:t>
      </w:r>
      <w:r>
        <w:rPr>
          <w:color w:val="000000"/>
        </w:rPr>
        <w:t>.4.</w:t>
      </w:r>
      <w:r>
        <w:rPr>
          <w:rFonts w:hint="eastAsia"/>
          <w:color w:val="000000"/>
        </w:rPr>
        <w:t>2</w:t>
      </w:r>
      <w:r>
        <w:rPr>
          <w:rFonts w:hint="eastAsia"/>
          <w:color w:val="000000"/>
          <w:szCs w:val="28"/>
        </w:rPr>
        <w:t>西畴至富宁高速公路建设项目（西畴段）</w:t>
      </w:r>
      <w:r>
        <w:rPr>
          <w:rFonts w:hint="eastAsia"/>
          <w:color w:val="000000"/>
        </w:rPr>
        <w:t>第一期临时用地损毁</w:t>
      </w:r>
      <w:r>
        <w:rPr>
          <w:color w:val="000000"/>
        </w:rPr>
        <w:t>预测分析图</w:t>
      </w:r>
      <w:r>
        <w:rPr>
          <w:rFonts w:hint="eastAsia"/>
          <w:color w:val="000000"/>
        </w:rPr>
        <w:t>；</w:t>
      </w:r>
    </w:p>
    <w:p>
      <w:pPr>
        <w:pStyle w:val="5"/>
        <w:spacing w:before="0" w:after="0" w:line="360" w:lineRule="auto"/>
        <w:ind w:firstLine="0" w:firstLineChars="0"/>
        <w:rPr>
          <w:rFonts w:hint="eastAsia"/>
          <w:color w:val="000000"/>
        </w:rPr>
      </w:pPr>
      <w:r>
        <w:rPr>
          <w:rFonts w:hint="eastAsia"/>
          <w:color w:val="000000"/>
        </w:rPr>
        <w:t>11</w:t>
      </w:r>
      <w:r>
        <w:rPr>
          <w:color w:val="000000"/>
        </w:rPr>
        <w:t>.4.</w:t>
      </w:r>
      <w:r>
        <w:rPr>
          <w:rFonts w:hint="eastAsia"/>
          <w:color w:val="000000"/>
        </w:rPr>
        <w:t>3</w:t>
      </w:r>
      <w:r>
        <w:rPr>
          <w:rFonts w:hint="eastAsia"/>
          <w:color w:val="000000"/>
          <w:szCs w:val="28"/>
        </w:rPr>
        <w:t>西畴至富宁高速公路建设项目（西畴段）</w:t>
      </w:r>
      <w:r>
        <w:rPr>
          <w:rFonts w:hint="eastAsia"/>
          <w:color w:val="000000"/>
        </w:rPr>
        <w:t>第一期临时用地</w:t>
      </w:r>
      <w:r>
        <w:rPr>
          <w:color w:val="000000"/>
        </w:rPr>
        <w:t>复垦规划图</w:t>
      </w:r>
      <w:r>
        <w:rPr>
          <w:rFonts w:hint="eastAsia"/>
          <w:color w:val="000000"/>
        </w:rPr>
        <w:t>。</w:t>
      </w:r>
    </w:p>
    <w:p>
      <w:pPr>
        <w:ind w:firstLine="0" w:firstLineChars="0"/>
        <w:jc w:val="center"/>
        <w:outlineLvl w:val="0"/>
        <w:rPr>
          <w:rFonts w:hint="eastAsia"/>
          <w:b/>
          <w:bCs/>
          <w:sz w:val="28"/>
          <w:szCs w:val="28"/>
        </w:rPr>
      </w:pPr>
      <w:r>
        <w:rPr>
          <w:color w:val="000000"/>
          <w:highlight w:val="yellow"/>
        </w:rPr>
        <w:br w:type="page"/>
      </w:r>
      <w:bookmarkStart w:id="278" w:name="_Toc23928"/>
      <w:bookmarkStart w:id="279" w:name="_Toc11436"/>
      <w:bookmarkStart w:id="280" w:name="_Toc15181"/>
      <w:bookmarkStart w:id="281" w:name="_Toc10725"/>
      <w:bookmarkStart w:id="282" w:name="_Toc10631"/>
      <w:r>
        <w:rPr>
          <w:rFonts w:eastAsia="黑体"/>
          <w:sz w:val="21"/>
          <w:szCs w:val="21"/>
        </w:rPr>
        <w:t>附表1-1主要材料</w:t>
      </w:r>
      <w:r>
        <w:rPr>
          <w:rFonts w:hint="eastAsia" w:eastAsia="黑体"/>
          <w:sz w:val="21"/>
          <w:szCs w:val="21"/>
        </w:rPr>
        <w:t>估</w:t>
      </w:r>
      <w:r>
        <w:rPr>
          <w:rFonts w:eastAsia="黑体"/>
          <w:sz w:val="21"/>
          <w:szCs w:val="21"/>
        </w:rPr>
        <w:t>算价格计算表</w:t>
      </w:r>
      <w:bookmarkEnd w:id="278"/>
      <w:bookmarkEnd w:id="279"/>
      <w:bookmarkEnd w:id="280"/>
      <w:bookmarkEnd w:id="281"/>
      <w:bookmarkEnd w:id="282"/>
    </w:p>
    <w:tbl>
      <w:tblPr>
        <w:tblStyle w:val="25"/>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02"/>
        <w:gridCol w:w="662"/>
        <w:gridCol w:w="468"/>
        <w:gridCol w:w="684"/>
        <w:gridCol w:w="853"/>
        <w:gridCol w:w="759"/>
        <w:gridCol w:w="703"/>
        <w:gridCol w:w="739"/>
        <w:gridCol w:w="910"/>
        <w:gridCol w:w="919"/>
        <w:gridCol w:w="750"/>
        <w:gridCol w:w="6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02" w:type="dxa"/>
            <w:vMerge w:val="restart"/>
            <w:noWrap/>
            <w:vAlign w:val="center"/>
          </w:tcPr>
          <w:p>
            <w:pPr>
              <w:widowControl/>
              <w:spacing w:line="240" w:lineRule="auto"/>
              <w:ind w:firstLine="0" w:firstLineChars="0"/>
              <w:jc w:val="center"/>
              <w:textAlignment w:val="center"/>
              <w:rPr>
                <w:color w:val="000000"/>
                <w:sz w:val="21"/>
                <w:szCs w:val="21"/>
              </w:rPr>
            </w:pPr>
            <w:bookmarkStart w:id="283" w:name="_Toc13009"/>
            <w:bookmarkStart w:id="284" w:name="_Toc443"/>
            <w:bookmarkStart w:id="285" w:name="_Toc29401"/>
            <w:bookmarkStart w:id="286" w:name="_Toc16000"/>
            <w:r>
              <w:rPr>
                <w:color w:val="000000"/>
                <w:kern w:val="0"/>
                <w:sz w:val="21"/>
                <w:szCs w:val="21"/>
                <w:lang w:bidi="ar"/>
              </w:rPr>
              <w:t>序号</w:t>
            </w:r>
          </w:p>
        </w:tc>
        <w:tc>
          <w:tcPr>
            <w:tcW w:w="66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名称及规格</w:t>
            </w:r>
          </w:p>
        </w:tc>
        <w:tc>
          <w:tcPr>
            <w:tcW w:w="468"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68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单位毛重(t)</w:t>
            </w:r>
          </w:p>
        </w:tc>
        <w:tc>
          <w:tcPr>
            <w:tcW w:w="853"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每吨运费(元)</w:t>
            </w:r>
          </w:p>
        </w:tc>
        <w:tc>
          <w:tcPr>
            <w:tcW w:w="5453" w:type="dxa"/>
            <w:gridSpan w:val="7"/>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价格(元)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02" w:type="dxa"/>
            <w:vMerge w:val="continue"/>
            <w:noWrap/>
            <w:vAlign w:val="center"/>
          </w:tcPr>
          <w:p>
            <w:pPr>
              <w:widowControl/>
              <w:spacing w:line="240" w:lineRule="auto"/>
              <w:ind w:firstLine="0" w:firstLineChars="0"/>
              <w:jc w:val="center"/>
              <w:rPr>
                <w:color w:val="000000"/>
                <w:sz w:val="21"/>
                <w:szCs w:val="21"/>
              </w:rPr>
            </w:pPr>
          </w:p>
        </w:tc>
        <w:tc>
          <w:tcPr>
            <w:tcW w:w="662" w:type="dxa"/>
            <w:vMerge w:val="continue"/>
            <w:noWrap/>
            <w:vAlign w:val="center"/>
          </w:tcPr>
          <w:p>
            <w:pPr>
              <w:widowControl/>
              <w:spacing w:line="240" w:lineRule="auto"/>
              <w:ind w:firstLine="0" w:firstLineChars="0"/>
              <w:jc w:val="center"/>
              <w:rPr>
                <w:color w:val="000000"/>
                <w:sz w:val="21"/>
                <w:szCs w:val="21"/>
              </w:rPr>
            </w:pPr>
          </w:p>
        </w:tc>
        <w:tc>
          <w:tcPr>
            <w:tcW w:w="468" w:type="dxa"/>
            <w:vMerge w:val="continue"/>
            <w:noWrap/>
            <w:vAlign w:val="center"/>
          </w:tcPr>
          <w:p>
            <w:pPr>
              <w:widowControl/>
              <w:spacing w:line="240" w:lineRule="auto"/>
              <w:ind w:firstLine="0" w:firstLineChars="0"/>
              <w:jc w:val="center"/>
              <w:rPr>
                <w:color w:val="000000"/>
                <w:sz w:val="21"/>
                <w:szCs w:val="21"/>
              </w:rPr>
            </w:pPr>
          </w:p>
        </w:tc>
        <w:tc>
          <w:tcPr>
            <w:tcW w:w="684" w:type="dxa"/>
            <w:vMerge w:val="continue"/>
            <w:noWrap w:val="0"/>
            <w:vAlign w:val="center"/>
          </w:tcPr>
          <w:p>
            <w:pPr>
              <w:widowControl/>
              <w:spacing w:line="240" w:lineRule="auto"/>
              <w:ind w:firstLine="0" w:firstLineChars="0"/>
              <w:jc w:val="center"/>
              <w:rPr>
                <w:color w:val="000000"/>
                <w:sz w:val="21"/>
                <w:szCs w:val="21"/>
              </w:rPr>
            </w:pPr>
          </w:p>
        </w:tc>
        <w:tc>
          <w:tcPr>
            <w:tcW w:w="853" w:type="dxa"/>
            <w:vMerge w:val="continue"/>
            <w:noWrap w:val="0"/>
            <w:vAlign w:val="center"/>
          </w:tcPr>
          <w:p>
            <w:pPr>
              <w:widowControl/>
              <w:spacing w:line="240" w:lineRule="auto"/>
              <w:ind w:firstLine="0" w:firstLineChars="0"/>
              <w:jc w:val="center"/>
              <w:rPr>
                <w:color w:val="000000"/>
                <w:sz w:val="21"/>
                <w:szCs w:val="21"/>
              </w:rPr>
            </w:pPr>
          </w:p>
        </w:tc>
        <w:tc>
          <w:tcPr>
            <w:tcW w:w="7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原价</w:t>
            </w:r>
          </w:p>
        </w:tc>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运杂费</w:t>
            </w:r>
          </w:p>
        </w:tc>
        <w:tc>
          <w:tcPr>
            <w:tcW w:w="7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保险费</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到工地价格</w:t>
            </w:r>
          </w:p>
        </w:tc>
        <w:tc>
          <w:tcPr>
            <w:tcW w:w="9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采购及保管费</w:t>
            </w:r>
          </w:p>
        </w:tc>
        <w:tc>
          <w:tcPr>
            <w:tcW w:w="7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预算价格</w:t>
            </w:r>
          </w:p>
        </w:tc>
        <w:tc>
          <w:tcPr>
            <w:tcW w:w="6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材料限价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6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柴油</w:t>
            </w:r>
          </w:p>
        </w:tc>
        <w:tc>
          <w:tcPr>
            <w:tcW w:w="4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68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w:t>
            </w:r>
          </w:p>
        </w:tc>
        <w:tc>
          <w:tcPr>
            <w:tcW w:w="7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8.84</w:t>
            </w:r>
          </w:p>
        </w:tc>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0.027</w:t>
            </w:r>
          </w:p>
        </w:tc>
        <w:tc>
          <w:tcPr>
            <w:tcW w:w="7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0.040</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8.91</w:t>
            </w:r>
          </w:p>
        </w:tc>
        <w:tc>
          <w:tcPr>
            <w:tcW w:w="9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0.19</w:t>
            </w:r>
          </w:p>
        </w:tc>
        <w:tc>
          <w:tcPr>
            <w:tcW w:w="7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9.10</w:t>
            </w:r>
          </w:p>
        </w:tc>
        <w:tc>
          <w:tcPr>
            <w:tcW w:w="6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0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6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汽油</w:t>
            </w:r>
          </w:p>
        </w:tc>
        <w:tc>
          <w:tcPr>
            <w:tcW w:w="4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68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1.26</w:t>
            </w:r>
          </w:p>
        </w:tc>
        <w:tc>
          <w:tcPr>
            <w:tcW w:w="7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10.29</w:t>
            </w:r>
          </w:p>
        </w:tc>
        <w:tc>
          <w:tcPr>
            <w:tcW w:w="70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0.027</w:t>
            </w:r>
          </w:p>
        </w:tc>
        <w:tc>
          <w:tcPr>
            <w:tcW w:w="7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0.046</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10.36</w:t>
            </w:r>
          </w:p>
        </w:tc>
        <w:tc>
          <w:tcPr>
            <w:tcW w:w="9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0.22</w:t>
            </w:r>
          </w:p>
        </w:tc>
        <w:tc>
          <w:tcPr>
            <w:tcW w:w="7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10.59</w:t>
            </w:r>
          </w:p>
        </w:tc>
        <w:tc>
          <w:tcPr>
            <w:tcW w:w="6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5.00</w:t>
            </w:r>
          </w:p>
        </w:tc>
      </w:tr>
    </w:tbl>
    <w:p>
      <w:pPr>
        <w:ind w:firstLine="0" w:firstLineChars="0"/>
        <w:jc w:val="center"/>
        <w:outlineLvl w:val="0"/>
        <w:rPr>
          <w:rFonts w:hint="eastAsia" w:eastAsia="黑体"/>
          <w:sz w:val="21"/>
          <w:szCs w:val="21"/>
        </w:rPr>
      </w:pPr>
      <w:bookmarkStart w:id="287" w:name="_Toc18119"/>
      <w:r>
        <w:rPr>
          <w:rFonts w:hint="eastAsia" w:eastAsia="黑体"/>
          <w:sz w:val="21"/>
          <w:szCs w:val="21"/>
        </w:rPr>
        <w:t>附表1-2次要材料估算价格计算表</w:t>
      </w:r>
      <w:bookmarkEnd w:id="283"/>
      <w:bookmarkEnd w:id="284"/>
      <w:bookmarkEnd w:id="285"/>
      <w:bookmarkEnd w:id="286"/>
      <w:bookmarkEnd w:id="287"/>
    </w:p>
    <w:tbl>
      <w:tblPr>
        <w:tblStyle w:val="25"/>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54"/>
        <w:gridCol w:w="2785"/>
        <w:gridCol w:w="1769"/>
        <w:gridCol w:w="25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454" w:type="dxa"/>
            <w:noWrap/>
            <w:vAlign w:val="center"/>
          </w:tcPr>
          <w:p>
            <w:pPr>
              <w:widowControl/>
              <w:spacing w:line="240" w:lineRule="auto"/>
              <w:ind w:firstLine="0" w:firstLineChars="0"/>
              <w:jc w:val="center"/>
              <w:textAlignment w:val="center"/>
              <w:rPr>
                <w:color w:val="000000"/>
                <w:sz w:val="21"/>
                <w:szCs w:val="21"/>
              </w:rPr>
            </w:pPr>
            <w:bookmarkStart w:id="288" w:name="_Toc1847"/>
            <w:bookmarkStart w:id="289" w:name="_Toc28598"/>
            <w:bookmarkStart w:id="290" w:name="_Toc23136"/>
            <w:bookmarkStart w:id="291" w:name="_Toc15246"/>
            <w:r>
              <w:rPr>
                <w:color w:val="000000"/>
                <w:kern w:val="0"/>
                <w:sz w:val="21"/>
                <w:szCs w:val="21"/>
                <w:lang w:bidi="ar"/>
              </w:rPr>
              <w:t>序号</w:t>
            </w:r>
          </w:p>
        </w:tc>
        <w:tc>
          <w:tcPr>
            <w:tcW w:w="27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材料名称及规格</w:t>
            </w:r>
          </w:p>
        </w:tc>
        <w:tc>
          <w:tcPr>
            <w:tcW w:w="1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25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预算价格</w:t>
            </w:r>
            <w:r>
              <w:rPr>
                <w:rFonts w:hint="eastAsia"/>
                <w:color w:val="000000"/>
                <w:kern w:val="0"/>
                <w:sz w:val="21"/>
                <w:szCs w:val="21"/>
                <w:lang w:bidi="ar"/>
              </w:rPr>
              <w:t>（元）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45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7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电</w:t>
            </w:r>
          </w:p>
        </w:tc>
        <w:tc>
          <w:tcPr>
            <w:tcW w:w="1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kw.h</w:t>
            </w:r>
          </w:p>
        </w:tc>
        <w:tc>
          <w:tcPr>
            <w:tcW w:w="25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45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27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风</w:t>
            </w:r>
          </w:p>
        </w:tc>
        <w:tc>
          <w:tcPr>
            <w:tcW w:w="176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m3</w:t>
            </w:r>
          </w:p>
        </w:tc>
        <w:tc>
          <w:tcPr>
            <w:tcW w:w="25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0.10</w:t>
            </w:r>
          </w:p>
        </w:tc>
      </w:tr>
    </w:tbl>
    <w:p>
      <w:pPr>
        <w:ind w:firstLine="0" w:firstLineChars="0"/>
        <w:jc w:val="center"/>
        <w:outlineLvl w:val="0"/>
        <w:rPr>
          <w:rFonts w:eastAsia="黑体"/>
          <w:sz w:val="21"/>
          <w:szCs w:val="21"/>
        </w:rPr>
      </w:pPr>
      <w:bookmarkStart w:id="292" w:name="_Toc31789"/>
      <w:r>
        <w:rPr>
          <w:rFonts w:hint="eastAsia" w:eastAsia="黑体"/>
          <w:sz w:val="21"/>
          <w:szCs w:val="21"/>
        </w:rPr>
        <w:t>附表1-3</w:t>
      </w:r>
      <w:r>
        <w:rPr>
          <w:rFonts w:eastAsia="黑体"/>
          <w:sz w:val="21"/>
          <w:szCs w:val="21"/>
        </w:rPr>
        <w:t>工程施工费</w:t>
      </w:r>
      <w:r>
        <w:rPr>
          <w:rFonts w:hint="eastAsia" w:eastAsia="黑体"/>
          <w:sz w:val="21"/>
          <w:szCs w:val="21"/>
        </w:rPr>
        <w:t>估</w:t>
      </w:r>
      <w:r>
        <w:rPr>
          <w:rFonts w:eastAsia="黑体"/>
          <w:sz w:val="21"/>
          <w:szCs w:val="21"/>
        </w:rPr>
        <w:t>算汇总表</w:t>
      </w:r>
      <w:bookmarkEnd w:id="288"/>
      <w:bookmarkEnd w:id="289"/>
      <w:bookmarkEnd w:id="290"/>
      <w:bookmarkEnd w:id="291"/>
      <w:bookmarkEnd w:id="292"/>
    </w:p>
    <w:tbl>
      <w:tblPr>
        <w:tblStyle w:val="25"/>
        <w:tblW w:w="851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11"/>
        <w:gridCol w:w="1611"/>
        <w:gridCol w:w="2139"/>
        <w:gridCol w:w="37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1" w:type="dxa"/>
            <w:vMerge w:val="restart"/>
            <w:noWrap/>
            <w:vAlign w:val="center"/>
          </w:tcPr>
          <w:p>
            <w:pPr>
              <w:widowControl/>
              <w:spacing w:line="240" w:lineRule="auto"/>
              <w:ind w:firstLine="0" w:firstLineChars="0"/>
              <w:jc w:val="center"/>
              <w:textAlignment w:val="center"/>
              <w:rPr>
                <w:color w:val="000000"/>
                <w:sz w:val="21"/>
                <w:szCs w:val="21"/>
              </w:rPr>
            </w:pPr>
            <w:bookmarkStart w:id="293" w:name="_Toc16414"/>
            <w:bookmarkStart w:id="294" w:name="_Toc4921"/>
            <w:bookmarkStart w:id="295" w:name="_Toc23284"/>
            <w:bookmarkStart w:id="296" w:name="_Toc17385"/>
            <w:r>
              <w:rPr>
                <w:color w:val="000000"/>
                <w:kern w:val="0"/>
                <w:sz w:val="21"/>
                <w:szCs w:val="21"/>
                <w:lang w:bidi="ar"/>
              </w:rPr>
              <w:t>序号</w:t>
            </w:r>
          </w:p>
        </w:tc>
        <w:tc>
          <w:tcPr>
            <w:tcW w:w="16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单项名称</w:t>
            </w:r>
          </w:p>
        </w:tc>
        <w:tc>
          <w:tcPr>
            <w:tcW w:w="21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预算金额（万元）</w:t>
            </w:r>
          </w:p>
        </w:tc>
        <w:tc>
          <w:tcPr>
            <w:tcW w:w="37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各项费用占工程施工费的比例(%)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1" w:type="dxa"/>
            <w:vMerge w:val="continue"/>
            <w:noWrap/>
            <w:vAlign w:val="center"/>
          </w:tcPr>
          <w:p>
            <w:pPr>
              <w:widowControl/>
              <w:spacing w:line="240" w:lineRule="auto"/>
              <w:ind w:firstLine="0" w:firstLineChars="0"/>
              <w:jc w:val="center"/>
              <w:rPr>
                <w:color w:val="000000"/>
                <w:sz w:val="21"/>
                <w:szCs w:val="21"/>
              </w:rPr>
            </w:pPr>
          </w:p>
        </w:tc>
        <w:tc>
          <w:tcPr>
            <w:tcW w:w="16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1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7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6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2139"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120.7772</w:t>
            </w:r>
          </w:p>
        </w:tc>
        <w:tc>
          <w:tcPr>
            <w:tcW w:w="3758"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16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2139"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120.7772</w:t>
            </w:r>
          </w:p>
        </w:tc>
        <w:tc>
          <w:tcPr>
            <w:tcW w:w="37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ind w:firstLine="0" w:firstLineChars="0"/>
        <w:jc w:val="center"/>
        <w:outlineLvl w:val="0"/>
        <w:rPr>
          <w:rFonts w:hint="eastAsia" w:eastAsia="黑体"/>
          <w:sz w:val="21"/>
          <w:szCs w:val="21"/>
        </w:rPr>
      </w:pPr>
      <w:bookmarkStart w:id="297" w:name="_Toc9863"/>
      <w:r>
        <w:rPr>
          <w:rFonts w:hint="eastAsia" w:eastAsia="黑体"/>
          <w:sz w:val="21"/>
          <w:szCs w:val="21"/>
        </w:rPr>
        <w:t>附表1-4</w:t>
      </w:r>
      <w:r>
        <w:rPr>
          <w:rFonts w:eastAsia="黑体"/>
          <w:sz w:val="21"/>
          <w:szCs w:val="21"/>
        </w:rPr>
        <w:t>工程施工费</w:t>
      </w:r>
      <w:r>
        <w:rPr>
          <w:rFonts w:hint="eastAsia" w:eastAsia="黑体"/>
          <w:sz w:val="21"/>
          <w:szCs w:val="21"/>
        </w:rPr>
        <w:t>估</w:t>
      </w:r>
      <w:r>
        <w:rPr>
          <w:rFonts w:eastAsia="黑体"/>
          <w:sz w:val="21"/>
          <w:szCs w:val="21"/>
        </w:rPr>
        <w:t>算</w:t>
      </w:r>
      <w:r>
        <w:rPr>
          <w:rFonts w:hint="eastAsia" w:eastAsia="黑体"/>
          <w:sz w:val="21"/>
          <w:szCs w:val="21"/>
        </w:rPr>
        <w:t>表（</w:t>
      </w:r>
      <w:r>
        <w:rPr>
          <w:rFonts w:eastAsia="黑体"/>
          <w:sz w:val="21"/>
          <w:szCs w:val="21"/>
        </w:rPr>
        <w:t>分</w:t>
      </w:r>
      <w:r>
        <w:rPr>
          <w:rFonts w:hint="eastAsia" w:eastAsia="黑体"/>
          <w:sz w:val="21"/>
          <w:szCs w:val="21"/>
        </w:rPr>
        <w:t>地块）</w:t>
      </w:r>
      <w:bookmarkEnd w:id="293"/>
      <w:bookmarkEnd w:id="294"/>
      <w:bookmarkEnd w:id="295"/>
      <w:bookmarkEnd w:id="296"/>
      <w:bookmarkEnd w:id="297"/>
    </w:p>
    <w:tbl>
      <w:tblPr>
        <w:tblStyle w:val="25"/>
        <w:tblW w:w="851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2607"/>
        <w:gridCol w:w="2014"/>
        <w:gridCol w:w="32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26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单项名称</w:t>
            </w:r>
          </w:p>
        </w:tc>
        <w:tc>
          <w:tcPr>
            <w:tcW w:w="20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预算金额（万元）</w:t>
            </w:r>
          </w:p>
        </w:tc>
        <w:tc>
          <w:tcPr>
            <w:tcW w:w="32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各项费用占工程施工费的比例(%)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vMerge w:val="continue"/>
            <w:noWrap/>
            <w:vAlign w:val="center"/>
          </w:tcPr>
          <w:p>
            <w:pPr>
              <w:widowControl/>
              <w:spacing w:line="240" w:lineRule="auto"/>
              <w:ind w:firstLine="0" w:firstLineChars="0"/>
              <w:jc w:val="center"/>
              <w:rPr>
                <w:color w:val="000000"/>
                <w:sz w:val="21"/>
                <w:szCs w:val="21"/>
              </w:rPr>
            </w:pPr>
          </w:p>
        </w:tc>
        <w:tc>
          <w:tcPr>
            <w:tcW w:w="26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0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2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noWrap/>
            <w:vAlign w:val="center"/>
          </w:tcPr>
          <w:p>
            <w:pPr>
              <w:widowControl/>
              <w:spacing w:line="240" w:lineRule="auto"/>
              <w:ind w:firstLine="0" w:firstLineChars="0"/>
              <w:jc w:val="center"/>
              <w:rPr>
                <w:color w:val="000000"/>
                <w:sz w:val="21"/>
                <w:szCs w:val="21"/>
              </w:rPr>
            </w:pPr>
          </w:p>
        </w:tc>
        <w:tc>
          <w:tcPr>
            <w:tcW w:w="2607" w:type="dxa"/>
            <w:noWrap/>
            <w:vAlign w:val="center"/>
          </w:tcPr>
          <w:p>
            <w:pPr>
              <w:widowControl/>
              <w:spacing w:line="240" w:lineRule="auto"/>
              <w:ind w:firstLine="0" w:firstLineChars="0"/>
              <w:jc w:val="center"/>
              <w:textAlignment w:val="center"/>
              <w:rPr>
                <w:rFonts w:hint="eastAsia"/>
                <w:color w:val="000000"/>
                <w:sz w:val="21"/>
                <w:szCs w:val="21"/>
              </w:rPr>
            </w:pPr>
            <w:r>
              <w:rPr>
                <w:color w:val="000000"/>
                <w:kern w:val="0"/>
                <w:sz w:val="21"/>
                <w:szCs w:val="21"/>
                <w:lang w:bidi="ar"/>
              </w:rPr>
              <w:t>1#</w:t>
            </w:r>
            <w:r>
              <w:rPr>
                <w:rFonts w:hint="eastAsia"/>
                <w:color w:val="000000"/>
                <w:kern w:val="0"/>
                <w:sz w:val="21"/>
                <w:szCs w:val="21"/>
                <w:lang w:bidi="ar"/>
              </w:rPr>
              <w:t>弃土场</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9.7031</w:t>
            </w:r>
          </w:p>
        </w:tc>
        <w:tc>
          <w:tcPr>
            <w:tcW w:w="3262"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8.03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6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9.7031</w:t>
            </w:r>
          </w:p>
        </w:tc>
        <w:tc>
          <w:tcPr>
            <w:tcW w:w="3262" w:type="dxa"/>
            <w:noWrap/>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8.03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noWrap/>
            <w:vAlign w:val="center"/>
          </w:tcPr>
          <w:p>
            <w:pPr>
              <w:widowControl/>
              <w:spacing w:line="240" w:lineRule="auto"/>
              <w:ind w:firstLine="0" w:firstLineChars="0"/>
              <w:jc w:val="center"/>
              <w:rPr>
                <w:color w:val="000000"/>
                <w:sz w:val="21"/>
                <w:szCs w:val="21"/>
              </w:rPr>
            </w:pPr>
          </w:p>
        </w:tc>
        <w:tc>
          <w:tcPr>
            <w:tcW w:w="2607" w:type="dxa"/>
            <w:noWrap/>
            <w:vAlign w:val="center"/>
          </w:tcPr>
          <w:p>
            <w:pPr>
              <w:widowControl/>
              <w:spacing w:line="240" w:lineRule="auto"/>
              <w:ind w:firstLine="0" w:firstLineChars="0"/>
              <w:jc w:val="center"/>
              <w:textAlignment w:val="center"/>
              <w:rPr>
                <w:rFonts w:hint="eastAsia"/>
                <w:color w:val="000000"/>
                <w:sz w:val="21"/>
                <w:szCs w:val="21"/>
              </w:rPr>
            </w:pPr>
            <w:r>
              <w:rPr>
                <w:color w:val="000000"/>
                <w:kern w:val="0"/>
                <w:sz w:val="21"/>
                <w:szCs w:val="21"/>
                <w:lang w:bidi="ar"/>
              </w:rPr>
              <w:t>1#</w:t>
            </w:r>
            <w:r>
              <w:rPr>
                <w:rFonts w:hint="eastAsia"/>
                <w:color w:val="000000"/>
                <w:kern w:val="0"/>
                <w:sz w:val="21"/>
                <w:szCs w:val="21"/>
                <w:lang w:bidi="ar"/>
              </w:rPr>
              <w:t>拌合站</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111.0741</w:t>
            </w:r>
          </w:p>
        </w:tc>
        <w:tc>
          <w:tcPr>
            <w:tcW w:w="3262" w:type="dxa"/>
            <w:noWrap/>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91.97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26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111.0741</w:t>
            </w:r>
          </w:p>
        </w:tc>
        <w:tc>
          <w:tcPr>
            <w:tcW w:w="3262"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91.97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3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26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2014" w:type="dxa"/>
            <w:noWrap/>
            <w:vAlign w:val="center"/>
          </w:tcPr>
          <w:p>
            <w:pPr>
              <w:widowControl/>
              <w:spacing w:line="240" w:lineRule="auto"/>
              <w:ind w:firstLine="0" w:firstLineChars="0"/>
              <w:jc w:val="center"/>
              <w:textAlignment w:val="center"/>
              <w:rPr>
                <w:color w:val="000000"/>
                <w:sz w:val="21"/>
                <w:szCs w:val="21"/>
              </w:rPr>
            </w:pPr>
            <w:r>
              <w:rPr>
                <w:rFonts w:hint="eastAsia"/>
                <w:color w:val="000000"/>
                <w:kern w:val="0"/>
                <w:sz w:val="21"/>
                <w:szCs w:val="21"/>
                <w:lang w:bidi="ar"/>
              </w:rPr>
              <w:t>120.7772</w:t>
            </w:r>
          </w:p>
        </w:tc>
        <w:tc>
          <w:tcPr>
            <w:tcW w:w="326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r>
    </w:tbl>
    <w:p>
      <w:pPr>
        <w:pStyle w:val="5"/>
        <w:spacing w:before="0" w:after="0" w:line="360" w:lineRule="auto"/>
        <w:ind w:firstLine="0" w:firstLineChars="0"/>
        <w:rPr>
          <w:bCs w:val="0"/>
          <w:sz w:val="21"/>
          <w:szCs w:val="21"/>
          <w:highlight w:val="yellow"/>
        </w:rPr>
        <w:sectPr>
          <w:headerReference r:id="rId21" w:type="default"/>
          <w:pgSz w:w="11906" w:h="16838"/>
          <w:pgMar w:top="1440" w:right="1800" w:bottom="1440" w:left="1800" w:header="851" w:footer="992" w:gutter="0"/>
          <w:cols w:space="720" w:num="1"/>
          <w:docGrid w:type="lines" w:linePitch="312" w:charSpace="0"/>
        </w:sectPr>
      </w:pPr>
    </w:p>
    <w:p>
      <w:pPr>
        <w:ind w:firstLine="0" w:firstLineChars="0"/>
        <w:jc w:val="center"/>
        <w:outlineLvl w:val="0"/>
        <w:rPr>
          <w:rFonts w:eastAsia="黑体"/>
          <w:sz w:val="21"/>
          <w:szCs w:val="21"/>
        </w:rPr>
      </w:pPr>
      <w:bookmarkStart w:id="298" w:name="_Toc23173"/>
      <w:bookmarkStart w:id="299" w:name="_Toc20139"/>
      <w:bookmarkStart w:id="300" w:name="_Toc19533"/>
      <w:bookmarkStart w:id="301" w:name="_Toc17788"/>
      <w:bookmarkStart w:id="302" w:name="_Toc15302"/>
      <w:r>
        <w:rPr>
          <w:rFonts w:eastAsia="黑体"/>
          <w:sz w:val="21"/>
          <w:szCs w:val="21"/>
        </w:rPr>
        <w:t>附表1-5工程施工费</w:t>
      </w:r>
      <w:r>
        <w:rPr>
          <w:rFonts w:hint="eastAsia" w:eastAsia="黑体"/>
          <w:sz w:val="21"/>
          <w:szCs w:val="21"/>
        </w:rPr>
        <w:t>估</w:t>
      </w:r>
      <w:r>
        <w:rPr>
          <w:rFonts w:eastAsia="黑体"/>
          <w:sz w:val="21"/>
          <w:szCs w:val="21"/>
        </w:rPr>
        <w:t>算表</w:t>
      </w:r>
      <w:bookmarkEnd w:id="298"/>
      <w:bookmarkEnd w:id="299"/>
      <w:bookmarkEnd w:id="300"/>
      <w:bookmarkEnd w:id="301"/>
      <w:bookmarkEnd w:id="302"/>
    </w:p>
    <w:tbl>
      <w:tblPr>
        <w:tblStyle w:val="25"/>
        <w:tblW w:w="1416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1233"/>
        <w:gridCol w:w="5038"/>
        <w:gridCol w:w="1601"/>
        <w:gridCol w:w="1559"/>
        <w:gridCol w:w="1833"/>
        <w:gridCol w:w="17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定额编号</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单项名称</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工程量</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综合单价</w:t>
            </w:r>
            <w:r>
              <w:rPr>
                <w:rFonts w:hint="eastAsia"/>
                <w:color w:val="000000"/>
                <w:kern w:val="0"/>
                <w:sz w:val="21"/>
                <w:szCs w:val="21"/>
                <w:lang w:bidi="ar"/>
              </w:rPr>
              <w:t>（元）</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vMerge w:val="continue"/>
            <w:noWrap/>
            <w:vAlign w:val="center"/>
          </w:tcPr>
          <w:p>
            <w:pPr>
              <w:widowControl/>
              <w:spacing w:line="240" w:lineRule="auto"/>
              <w:ind w:firstLine="0" w:firstLineChars="0"/>
              <w:jc w:val="center"/>
              <w:rPr>
                <w:color w:val="000000"/>
                <w:sz w:val="21"/>
                <w:szCs w:val="21"/>
              </w:rPr>
            </w:pP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rPr>
                <w:color w:val="000000"/>
                <w:sz w:val="21"/>
                <w:szCs w:val="21"/>
              </w:rPr>
            </w:pP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97031.25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97031.25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表土剥覆工程</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97031.25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10301</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3m</w:t>
            </w:r>
            <w:r>
              <w:rPr>
                <w:color w:val="000000"/>
                <w:kern w:val="0"/>
                <w:sz w:val="21"/>
                <w:szCs w:val="21"/>
                <w:vertAlign w:val="superscript"/>
                <w:lang w:bidi="ar"/>
              </w:rPr>
              <w:t>3</w:t>
            </w:r>
            <w:r>
              <w:rPr>
                <w:color w:val="000000"/>
                <w:kern w:val="0"/>
                <w:sz w:val="21"/>
                <w:szCs w:val="21"/>
                <w:lang w:bidi="ar"/>
              </w:rPr>
              <w:t>装载机挖装自卸汽车运土运距0～0.5km</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1109.76</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85416.01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10343换</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推表土、回覆推土距离0～10m~推土机功率74kw</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r>
              <w:rPr>
                <w:color w:val="000000"/>
                <w:kern w:val="0"/>
                <w:sz w:val="21"/>
                <w:szCs w:val="21"/>
                <w:lang w:bidi="ar"/>
              </w:rPr>
              <w:t>松方</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76.968</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150.91</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11615.24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rPr>
                <w:color w:val="000000"/>
                <w:sz w:val="21"/>
                <w:szCs w:val="21"/>
              </w:rPr>
            </w:pP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1#拌合站</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1110740.56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1110740.56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表土剥覆工程</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113278.76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10301</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3m</w:t>
            </w:r>
            <w:r>
              <w:rPr>
                <w:color w:val="000000"/>
                <w:kern w:val="0"/>
                <w:sz w:val="21"/>
                <w:szCs w:val="21"/>
                <w:vertAlign w:val="superscript"/>
                <w:lang w:bidi="ar"/>
              </w:rPr>
              <w:t>3</w:t>
            </w:r>
            <w:r>
              <w:rPr>
                <w:color w:val="000000"/>
                <w:kern w:val="0"/>
                <w:sz w:val="21"/>
                <w:szCs w:val="21"/>
                <w:lang w:bidi="ar"/>
              </w:rPr>
              <w:t>装载机挖装自卸汽车运土运距0～0.5km</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89.856</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1109.76</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99718.59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10343换</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推表土、回覆推土距离0～10m~推土机功率74kw</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r>
              <w:rPr>
                <w:color w:val="000000"/>
                <w:kern w:val="0"/>
                <w:sz w:val="21"/>
                <w:szCs w:val="21"/>
                <w:lang w:bidi="ar"/>
              </w:rPr>
              <w:t>松方</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89.856</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150.91</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13560.17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1233" w:type="dxa"/>
            <w:noWrap w:val="0"/>
            <w:vAlign w:val="center"/>
          </w:tcPr>
          <w:p>
            <w:pPr>
              <w:widowControl/>
              <w:spacing w:line="240" w:lineRule="auto"/>
              <w:ind w:firstLine="0" w:firstLineChars="0"/>
              <w:jc w:val="center"/>
              <w:rPr>
                <w:color w:val="000000"/>
                <w:sz w:val="21"/>
                <w:szCs w:val="21"/>
              </w:rPr>
            </w:pP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清理工程</w:t>
            </w:r>
          </w:p>
        </w:tc>
        <w:tc>
          <w:tcPr>
            <w:tcW w:w="1601" w:type="dxa"/>
            <w:noWrap/>
            <w:vAlign w:val="center"/>
          </w:tcPr>
          <w:p>
            <w:pPr>
              <w:widowControl/>
              <w:spacing w:line="240" w:lineRule="auto"/>
              <w:ind w:firstLine="0" w:firstLineChars="0"/>
              <w:jc w:val="center"/>
              <w:rPr>
                <w:color w:val="000000"/>
                <w:sz w:val="21"/>
                <w:szCs w:val="21"/>
              </w:rPr>
            </w:pPr>
          </w:p>
        </w:tc>
        <w:tc>
          <w:tcPr>
            <w:tcW w:w="1559" w:type="dxa"/>
            <w:noWrap/>
            <w:vAlign w:val="center"/>
          </w:tcPr>
          <w:p>
            <w:pPr>
              <w:widowControl/>
              <w:spacing w:line="240" w:lineRule="auto"/>
              <w:ind w:firstLine="0" w:firstLineChars="0"/>
              <w:jc w:val="center"/>
              <w:rPr>
                <w:color w:val="000000"/>
                <w:sz w:val="21"/>
                <w:szCs w:val="21"/>
              </w:rPr>
            </w:pPr>
          </w:p>
        </w:tc>
        <w:tc>
          <w:tcPr>
            <w:tcW w:w="1833" w:type="dxa"/>
            <w:noWrap/>
            <w:vAlign w:val="center"/>
          </w:tcPr>
          <w:p>
            <w:pPr>
              <w:widowControl/>
              <w:spacing w:line="240" w:lineRule="auto"/>
              <w:ind w:firstLine="0" w:firstLineChars="0"/>
              <w:jc w:val="center"/>
              <w:rPr>
                <w:color w:val="000000"/>
                <w:sz w:val="21"/>
                <w:szCs w:val="21"/>
              </w:rPr>
            </w:pP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997461.80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40229</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机械拆除无钢筋混凝土</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44.928</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20157.05</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905615.94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20311</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2m</w:t>
            </w:r>
            <w:r>
              <w:rPr>
                <w:color w:val="000000"/>
                <w:kern w:val="0"/>
                <w:sz w:val="21"/>
                <w:szCs w:val="21"/>
                <w:vertAlign w:val="superscript"/>
                <w:lang w:bidi="ar"/>
              </w:rPr>
              <w:t>3</w:t>
            </w:r>
            <w:r>
              <w:rPr>
                <w:color w:val="000000"/>
                <w:kern w:val="0"/>
                <w:sz w:val="21"/>
                <w:szCs w:val="21"/>
                <w:lang w:bidi="ar"/>
              </w:rPr>
              <w:t>挖掘机装自卸汽车运石碴运距0～0.5km</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44.928</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2044.29</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91845.86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1233"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5038"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60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5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83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74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1207771.81</w:t>
            </w:r>
          </w:p>
        </w:tc>
      </w:tr>
    </w:tbl>
    <w:p>
      <w:pPr>
        <w:ind w:firstLine="0" w:firstLineChars="0"/>
        <w:rPr>
          <w:rFonts w:eastAsia="黑体"/>
          <w:sz w:val="21"/>
          <w:szCs w:val="21"/>
          <w:highlight w:val="yellow"/>
        </w:rPr>
        <w:sectPr>
          <w:pgSz w:w="16838" w:h="11906" w:orient="landscape"/>
          <w:pgMar w:top="1800" w:right="1440" w:bottom="1800" w:left="1440" w:header="851" w:footer="992" w:gutter="0"/>
          <w:cols w:space="720" w:num="1"/>
          <w:docGrid w:type="lines" w:linePitch="312" w:charSpace="0"/>
        </w:sectPr>
      </w:pPr>
    </w:p>
    <w:p>
      <w:pPr>
        <w:ind w:firstLine="0" w:firstLineChars="0"/>
        <w:jc w:val="right"/>
        <w:outlineLvl w:val="0"/>
        <w:rPr>
          <w:rFonts w:eastAsia="黑体"/>
          <w:sz w:val="21"/>
          <w:szCs w:val="21"/>
        </w:rPr>
      </w:pPr>
      <w:bookmarkStart w:id="303" w:name="_Toc608"/>
      <w:bookmarkStart w:id="304" w:name="_Toc9045"/>
      <w:bookmarkStart w:id="305" w:name="_Toc28125"/>
      <w:bookmarkStart w:id="306" w:name="_Toc17910"/>
      <w:bookmarkStart w:id="307" w:name="_Toc10643"/>
      <w:r>
        <w:rPr>
          <w:rFonts w:eastAsia="黑体"/>
          <w:sz w:val="21"/>
          <w:szCs w:val="21"/>
        </w:rPr>
        <w:t>附表1-6工程施工费单价表</w:t>
      </w:r>
      <w:r>
        <w:rPr>
          <w:rFonts w:hint="eastAsia" w:eastAsia="黑体"/>
          <w:sz w:val="21"/>
          <w:szCs w:val="21"/>
        </w:rPr>
        <w:t>（分地块）单位：                                                                           元</w:t>
      </w:r>
      <w:bookmarkEnd w:id="303"/>
      <w:bookmarkEnd w:id="304"/>
      <w:bookmarkEnd w:id="305"/>
      <w:bookmarkEnd w:id="306"/>
      <w:bookmarkEnd w:id="307"/>
    </w:p>
    <w:tbl>
      <w:tblPr>
        <w:tblStyle w:val="25"/>
        <w:tblW w:w="2113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92"/>
        <w:gridCol w:w="1185"/>
        <w:gridCol w:w="4842"/>
        <w:gridCol w:w="1417"/>
        <w:gridCol w:w="952"/>
        <w:gridCol w:w="982"/>
        <w:gridCol w:w="1350"/>
        <w:gridCol w:w="1307"/>
        <w:gridCol w:w="847"/>
        <w:gridCol w:w="1075"/>
        <w:gridCol w:w="995"/>
        <w:gridCol w:w="926"/>
        <w:gridCol w:w="1074"/>
        <w:gridCol w:w="994"/>
        <w:gridCol w:w="1019"/>
        <w:gridCol w:w="10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1185"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定额编号</w:t>
            </w:r>
          </w:p>
        </w:tc>
        <w:tc>
          <w:tcPr>
            <w:tcW w:w="4842"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单项名称</w:t>
            </w:r>
          </w:p>
        </w:tc>
        <w:tc>
          <w:tcPr>
            <w:tcW w:w="1417"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6513" w:type="dxa"/>
            <w:gridSpan w:val="6"/>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直接费</w:t>
            </w:r>
          </w:p>
        </w:tc>
        <w:tc>
          <w:tcPr>
            <w:tcW w:w="995"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间接费</w:t>
            </w:r>
          </w:p>
        </w:tc>
        <w:tc>
          <w:tcPr>
            <w:tcW w:w="926"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利润</w:t>
            </w:r>
          </w:p>
        </w:tc>
        <w:tc>
          <w:tcPr>
            <w:tcW w:w="107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材料价差</w:t>
            </w:r>
          </w:p>
        </w:tc>
        <w:tc>
          <w:tcPr>
            <w:tcW w:w="994"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未计价</w:t>
            </w:r>
            <w:r>
              <w:rPr>
                <w:color w:val="000000"/>
                <w:kern w:val="0"/>
                <w:sz w:val="21"/>
                <w:szCs w:val="21"/>
                <w:lang w:bidi="ar"/>
              </w:rPr>
              <w:br w:type="textWrapping"/>
            </w:r>
            <w:r>
              <w:rPr>
                <w:color w:val="000000"/>
                <w:kern w:val="0"/>
                <w:sz w:val="21"/>
                <w:szCs w:val="21"/>
                <w:lang w:bidi="ar"/>
              </w:rPr>
              <w:t>材料费</w:t>
            </w:r>
          </w:p>
        </w:tc>
        <w:tc>
          <w:tcPr>
            <w:tcW w:w="1019"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税金</w:t>
            </w:r>
          </w:p>
        </w:tc>
        <w:tc>
          <w:tcPr>
            <w:tcW w:w="1082"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综合单价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vMerge w:val="continue"/>
            <w:noWrap/>
            <w:vAlign w:val="center"/>
          </w:tcPr>
          <w:p>
            <w:pPr>
              <w:widowControl/>
              <w:spacing w:line="240" w:lineRule="auto"/>
              <w:ind w:firstLine="0" w:firstLineChars="0"/>
              <w:jc w:val="center"/>
              <w:rPr>
                <w:color w:val="000000"/>
                <w:sz w:val="21"/>
                <w:szCs w:val="21"/>
              </w:rPr>
            </w:pPr>
          </w:p>
        </w:tc>
        <w:tc>
          <w:tcPr>
            <w:tcW w:w="1185" w:type="dxa"/>
            <w:vMerge w:val="continue"/>
            <w:noWrap w:val="0"/>
            <w:vAlign w:val="center"/>
          </w:tcPr>
          <w:p>
            <w:pPr>
              <w:widowControl/>
              <w:spacing w:line="240" w:lineRule="auto"/>
              <w:ind w:firstLine="0" w:firstLineChars="0"/>
              <w:jc w:val="center"/>
              <w:rPr>
                <w:color w:val="000000"/>
                <w:sz w:val="21"/>
                <w:szCs w:val="21"/>
              </w:rPr>
            </w:pPr>
          </w:p>
        </w:tc>
        <w:tc>
          <w:tcPr>
            <w:tcW w:w="4842" w:type="dxa"/>
            <w:vMerge w:val="continue"/>
            <w:noWrap w:val="0"/>
            <w:vAlign w:val="center"/>
          </w:tcPr>
          <w:p>
            <w:pPr>
              <w:widowControl/>
              <w:spacing w:line="240" w:lineRule="auto"/>
              <w:ind w:firstLine="0" w:firstLineChars="0"/>
              <w:jc w:val="center"/>
              <w:rPr>
                <w:color w:val="000000"/>
                <w:sz w:val="21"/>
                <w:szCs w:val="21"/>
              </w:rPr>
            </w:pPr>
          </w:p>
        </w:tc>
        <w:tc>
          <w:tcPr>
            <w:tcW w:w="1417" w:type="dxa"/>
            <w:vMerge w:val="continue"/>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人工费</w:t>
            </w:r>
          </w:p>
        </w:tc>
        <w:tc>
          <w:tcPr>
            <w:tcW w:w="9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材料费</w:t>
            </w:r>
          </w:p>
        </w:tc>
        <w:tc>
          <w:tcPr>
            <w:tcW w:w="1350"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机械使用费</w:t>
            </w:r>
          </w:p>
        </w:tc>
        <w:tc>
          <w:tcPr>
            <w:tcW w:w="130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直接工程费</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措施费</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995" w:type="dxa"/>
            <w:vMerge w:val="continue"/>
            <w:noWrap/>
            <w:vAlign w:val="center"/>
          </w:tcPr>
          <w:p>
            <w:pPr>
              <w:widowControl/>
              <w:spacing w:line="240" w:lineRule="auto"/>
              <w:ind w:firstLine="0" w:firstLineChars="0"/>
              <w:jc w:val="center"/>
              <w:rPr>
                <w:color w:val="000000"/>
                <w:sz w:val="21"/>
                <w:szCs w:val="21"/>
              </w:rPr>
            </w:pPr>
          </w:p>
        </w:tc>
        <w:tc>
          <w:tcPr>
            <w:tcW w:w="926" w:type="dxa"/>
            <w:vMerge w:val="continue"/>
            <w:noWrap/>
            <w:vAlign w:val="center"/>
          </w:tcPr>
          <w:p>
            <w:pPr>
              <w:widowControl/>
              <w:spacing w:line="240" w:lineRule="auto"/>
              <w:ind w:firstLine="0" w:firstLineChars="0"/>
              <w:jc w:val="center"/>
              <w:rPr>
                <w:color w:val="000000"/>
                <w:sz w:val="21"/>
                <w:szCs w:val="21"/>
              </w:rPr>
            </w:pPr>
          </w:p>
        </w:tc>
        <w:tc>
          <w:tcPr>
            <w:tcW w:w="1074" w:type="dxa"/>
            <w:vMerge w:val="continue"/>
            <w:noWrap w:val="0"/>
            <w:vAlign w:val="center"/>
          </w:tcPr>
          <w:p>
            <w:pPr>
              <w:widowControl/>
              <w:spacing w:line="240" w:lineRule="auto"/>
              <w:ind w:firstLine="0" w:firstLineChars="0"/>
              <w:jc w:val="center"/>
              <w:rPr>
                <w:color w:val="000000"/>
                <w:sz w:val="21"/>
                <w:szCs w:val="21"/>
              </w:rPr>
            </w:pPr>
          </w:p>
        </w:tc>
        <w:tc>
          <w:tcPr>
            <w:tcW w:w="994" w:type="dxa"/>
            <w:vMerge w:val="continue"/>
            <w:noWrap w:val="0"/>
            <w:vAlign w:val="center"/>
          </w:tcPr>
          <w:p>
            <w:pPr>
              <w:widowControl/>
              <w:spacing w:line="240" w:lineRule="auto"/>
              <w:ind w:firstLine="0" w:firstLineChars="0"/>
              <w:jc w:val="center"/>
              <w:rPr>
                <w:color w:val="000000"/>
                <w:sz w:val="21"/>
                <w:szCs w:val="21"/>
              </w:rPr>
            </w:pPr>
          </w:p>
        </w:tc>
        <w:tc>
          <w:tcPr>
            <w:tcW w:w="1019" w:type="dxa"/>
            <w:vMerge w:val="continue"/>
            <w:noWrap/>
            <w:vAlign w:val="center"/>
          </w:tcPr>
          <w:p>
            <w:pPr>
              <w:widowControl/>
              <w:spacing w:line="240" w:lineRule="auto"/>
              <w:ind w:firstLine="0" w:firstLineChars="0"/>
              <w:jc w:val="center"/>
              <w:rPr>
                <w:color w:val="000000"/>
                <w:sz w:val="21"/>
                <w:szCs w:val="21"/>
              </w:rPr>
            </w:pPr>
          </w:p>
        </w:tc>
        <w:tc>
          <w:tcPr>
            <w:tcW w:w="1082" w:type="dxa"/>
            <w:vMerge w:val="continue"/>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vMerge w:val="continue"/>
            <w:noWrap/>
            <w:vAlign w:val="center"/>
          </w:tcPr>
          <w:p>
            <w:pPr>
              <w:widowControl/>
              <w:spacing w:line="240" w:lineRule="auto"/>
              <w:ind w:firstLine="0" w:firstLineChars="0"/>
              <w:jc w:val="center"/>
              <w:rPr>
                <w:color w:val="000000"/>
                <w:sz w:val="21"/>
                <w:szCs w:val="21"/>
              </w:rPr>
            </w:pP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9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w:t>
            </w:r>
          </w:p>
        </w:tc>
        <w:tc>
          <w:tcPr>
            <w:tcW w:w="10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w:t>
            </w:r>
          </w:p>
        </w:tc>
        <w:tc>
          <w:tcPr>
            <w:tcW w:w="99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w:t>
            </w: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rPr>
                <w:color w:val="000000"/>
                <w:sz w:val="21"/>
                <w:szCs w:val="21"/>
              </w:rPr>
            </w:pP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1#弃土场</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表土剥覆工程</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10301</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3m</w:t>
            </w:r>
            <w:r>
              <w:rPr>
                <w:color w:val="000000"/>
                <w:kern w:val="0"/>
                <w:sz w:val="21"/>
                <w:szCs w:val="21"/>
                <w:vertAlign w:val="superscript"/>
                <w:lang w:bidi="ar"/>
              </w:rPr>
              <w:t>3</w:t>
            </w:r>
            <w:r>
              <w:rPr>
                <w:color w:val="000000"/>
                <w:kern w:val="0"/>
                <w:sz w:val="21"/>
                <w:szCs w:val="21"/>
                <w:lang w:bidi="ar"/>
              </w:rPr>
              <w:t>装载机挖装自卸汽车运土运距0～0.5km</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24.12</w:t>
            </w: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631.04</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655.16</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26.21</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681.37</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37.14</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21.56</w:t>
            </w:r>
          </w:p>
        </w:tc>
        <w:tc>
          <w:tcPr>
            <w:tcW w:w="10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278.07</w:t>
            </w: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91.63</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1109.76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10343换</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推表土、回覆推土距离0～10m~推土机功率74kw</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r>
              <w:rPr>
                <w:color w:val="000000"/>
                <w:kern w:val="0"/>
                <w:sz w:val="21"/>
                <w:szCs w:val="21"/>
                <w:lang w:bidi="ar"/>
              </w:rPr>
              <w:t>松方</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4.46</w:t>
            </w: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84.52</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88.97</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3.56</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92.53</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5.04</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2.93</w:t>
            </w:r>
          </w:p>
        </w:tc>
        <w:tc>
          <w:tcPr>
            <w:tcW w:w="10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37.95</w:t>
            </w: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12.46</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150.91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rPr>
                <w:color w:val="000000"/>
                <w:sz w:val="21"/>
                <w:szCs w:val="21"/>
              </w:rPr>
            </w:pP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1#拌合站</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土壤重构工程</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表土剥覆工程</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10301</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3m</w:t>
            </w:r>
            <w:r>
              <w:rPr>
                <w:color w:val="000000"/>
                <w:kern w:val="0"/>
                <w:sz w:val="21"/>
                <w:szCs w:val="21"/>
                <w:vertAlign w:val="superscript"/>
                <w:lang w:bidi="ar"/>
              </w:rPr>
              <w:t>3</w:t>
            </w:r>
            <w:r>
              <w:rPr>
                <w:color w:val="000000"/>
                <w:kern w:val="0"/>
                <w:sz w:val="21"/>
                <w:szCs w:val="21"/>
                <w:lang w:bidi="ar"/>
              </w:rPr>
              <w:t>装载机挖装自卸汽车运土运距0～0.5km</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24.12</w:t>
            </w: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631.04</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655.16</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26.21</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681.37</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37.14</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21.56</w:t>
            </w:r>
          </w:p>
        </w:tc>
        <w:tc>
          <w:tcPr>
            <w:tcW w:w="10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278.07</w:t>
            </w: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91.63</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1109.76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10343换</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推表土、回覆推土距离0～10m~推土机功率74kw</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r>
              <w:rPr>
                <w:color w:val="000000"/>
                <w:kern w:val="0"/>
                <w:sz w:val="21"/>
                <w:szCs w:val="21"/>
                <w:lang w:bidi="ar"/>
              </w:rPr>
              <w:t>松方</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4.46</w:t>
            </w: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84.52</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88.97</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3.56</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92.53</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5.04</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2.93</w:t>
            </w:r>
          </w:p>
        </w:tc>
        <w:tc>
          <w:tcPr>
            <w:tcW w:w="10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37.95</w:t>
            </w: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12.46</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150.91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1185" w:type="dxa"/>
            <w:noWrap w:val="0"/>
            <w:vAlign w:val="center"/>
          </w:tcPr>
          <w:p>
            <w:pPr>
              <w:widowControl/>
              <w:spacing w:line="240" w:lineRule="auto"/>
              <w:ind w:firstLine="0" w:firstLineChars="0"/>
              <w:jc w:val="center"/>
              <w:rPr>
                <w:color w:val="000000"/>
                <w:sz w:val="21"/>
                <w:szCs w:val="21"/>
              </w:rPr>
            </w:pP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清理工程</w:t>
            </w:r>
          </w:p>
        </w:tc>
        <w:tc>
          <w:tcPr>
            <w:tcW w:w="1417" w:type="dxa"/>
            <w:noWrap/>
            <w:vAlign w:val="center"/>
          </w:tcPr>
          <w:p>
            <w:pPr>
              <w:widowControl/>
              <w:spacing w:line="240" w:lineRule="auto"/>
              <w:ind w:firstLine="0" w:firstLineChars="0"/>
              <w:jc w:val="center"/>
              <w:rPr>
                <w:color w:val="000000"/>
                <w:sz w:val="21"/>
                <w:szCs w:val="21"/>
              </w:rPr>
            </w:pPr>
          </w:p>
        </w:tc>
        <w:tc>
          <w:tcPr>
            <w:tcW w:w="952" w:type="dxa"/>
            <w:noWrap/>
            <w:vAlign w:val="center"/>
          </w:tcPr>
          <w:p>
            <w:pPr>
              <w:widowControl/>
              <w:spacing w:line="240" w:lineRule="auto"/>
              <w:ind w:firstLine="0" w:firstLineChars="0"/>
              <w:jc w:val="center"/>
              <w:rPr>
                <w:color w:val="000000"/>
                <w:sz w:val="21"/>
                <w:szCs w:val="21"/>
              </w:rPr>
            </w:pP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rPr>
                <w:color w:val="000000"/>
                <w:sz w:val="21"/>
                <w:szCs w:val="21"/>
              </w:rPr>
            </w:pPr>
          </w:p>
        </w:tc>
        <w:tc>
          <w:tcPr>
            <w:tcW w:w="1307" w:type="dxa"/>
            <w:noWrap/>
            <w:vAlign w:val="center"/>
          </w:tcPr>
          <w:p>
            <w:pPr>
              <w:widowControl/>
              <w:spacing w:line="240" w:lineRule="auto"/>
              <w:ind w:firstLine="0" w:firstLineChars="0"/>
              <w:jc w:val="center"/>
              <w:rPr>
                <w:color w:val="000000"/>
                <w:sz w:val="21"/>
                <w:szCs w:val="21"/>
              </w:rPr>
            </w:pPr>
          </w:p>
        </w:tc>
        <w:tc>
          <w:tcPr>
            <w:tcW w:w="847" w:type="dxa"/>
            <w:noWrap/>
            <w:vAlign w:val="center"/>
          </w:tcPr>
          <w:p>
            <w:pPr>
              <w:widowControl/>
              <w:spacing w:line="240" w:lineRule="auto"/>
              <w:ind w:firstLine="0" w:firstLineChars="0"/>
              <w:jc w:val="center"/>
              <w:rPr>
                <w:color w:val="000000"/>
                <w:sz w:val="21"/>
                <w:szCs w:val="21"/>
              </w:rPr>
            </w:pPr>
          </w:p>
        </w:tc>
        <w:tc>
          <w:tcPr>
            <w:tcW w:w="1075" w:type="dxa"/>
            <w:noWrap/>
            <w:vAlign w:val="center"/>
          </w:tcPr>
          <w:p>
            <w:pPr>
              <w:widowControl/>
              <w:spacing w:line="240" w:lineRule="auto"/>
              <w:ind w:firstLine="0" w:firstLineChars="0"/>
              <w:jc w:val="center"/>
              <w:rPr>
                <w:color w:val="000000"/>
                <w:sz w:val="21"/>
                <w:szCs w:val="21"/>
              </w:rPr>
            </w:pPr>
          </w:p>
        </w:tc>
        <w:tc>
          <w:tcPr>
            <w:tcW w:w="995" w:type="dxa"/>
            <w:noWrap/>
            <w:vAlign w:val="center"/>
          </w:tcPr>
          <w:p>
            <w:pPr>
              <w:widowControl/>
              <w:spacing w:line="240" w:lineRule="auto"/>
              <w:ind w:firstLine="0" w:firstLineChars="0"/>
              <w:jc w:val="center"/>
              <w:rPr>
                <w:color w:val="000000"/>
                <w:sz w:val="21"/>
                <w:szCs w:val="21"/>
              </w:rPr>
            </w:pPr>
          </w:p>
        </w:tc>
        <w:tc>
          <w:tcPr>
            <w:tcW w:w="926" w:type="dxa"/>
            <w:noWrap/>
            <w:vAlign w:val="center"/>
          </w:tcPr>
          <w:p>
            <w:pPr>
              <w:widowControl/>
              <w:spacing w:line="240" w:lineRule="auto"/>
              <w:ind w:firstLine="0" w:firstLineChars="0"/>
              <w:jc w:val="center"/>
              <w:rPr>
                <w:color w:val="000000"/>
                <w:sz w:val="21"/>
                <w:szCs w:val="21"/>
              </w:rPr>
            </w:pP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rPr>
                <w:color w:val="000000"/>
                <w:sz w:val="21"/>
                <w:szCs w:val="21"/>
              </w:rPr>
            </w:pPr>
          </w:p>
        </w:tc>
        <w:tc>
          <w:tcPr>
            <w:tcW w:w="108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40229</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机械拆除无钢筋混凝土</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7471.79</w:t>
            </w: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8591.27</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16063.06</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803.15</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16866.21</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1087.87</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538.62</w:t>
            </w:r>
          </w:p>
        </w:tc>
        <w:tc>
          <w:tcPr>
            <w:tcW w:w="1074" w:type="dxa"/>
            <w:noWrap/>
            <w:vAlign w:val="center"/>
          </w:tcPr>
          <w:p>
            <w:pPr>
              <w:widowControl/>
              <w:spacing w:line="240" w:lineRule="auto"/>
              <w:ind w:firstLine="0" w:firstLineChars="0"/>
              <w:jc w:val="center"/>
              <w:rPr>
                <w:color w:val="000000"/>
                <w:sz w:val="21"/>
                <w:szCs w:val="21"/>
              </w:rPr>
            </w:pP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1664.34</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20157.05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09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185"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20311</w:t>
            </w:r>
          </w:p>
        </w:tc>
        <w:tc>
          <w:tcPr>
            <w:tcW w:w="484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2m</w:t>
            </w:r>
            <w:r>
              <w:rPr>
                <w:color w:val="000000"/>
                <w:kern w:val="0"/>
                <w:sz w:val="21"/>
                <w:szCs w:val="21"/>
                <w:vertAlign w:val="superscript"/>
                <w:lang w:bidi="ar"/>
              </w:rPr>
              <w:t>3</w:t>
            </w:r>
            <w:r>
              <w:rPr>
                <w:color w:val="000000"/>
                <w:kern w:val="0"/>
                <w:sz w:val="21"/>
                <w:szCs w:val="21"/>
                <w:lang w:bidi="ar"/>
              </w:rPr>
              <w:t>挖掘机装自卸汽车运石碴运距0～0.5km</w:t>
            </w:r>
          </w:p>
        </w:tc>
        <w:tc>
          <w:tcPr>
            <w:tcW w:w="141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100m</w:t>
            </w:r>
            <w:r>
              <w:rPr>
                <w:color w:val="000000"/>
                <w:kern w:val="0"/>
                <w:sz w:val="21"/>
                <w:szCs w:val="21"/>
                <w:vertAlign w:val="superscript"/>
                <w:lang w:bidi="ar"/>
              </w:rPr>
              <w:t>3</w:t>
            </w:r>
          </w:p>
        </w:tc>
        <w:tc>
          <w:tcPr>
            <w:tcW w:w="95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60.50</w:t>
            </w:r>
          </w:p>
        </w:tc>
        <w:tc>
          <w:tcPr>
            <w:tcW w:w="982" w:type="dxa"/>
            <w:noWrap/>
            <w:vAlign w:val="center"/>
          </w:tcPr>
          <w:p>
            <w:pPr>
              <w:widowControl/>
              <w:spacing w:line="240" w:lineRule="auto"/>
              <w:ind w:firstLine="0" w:firstLineChars="0"/>
              <w:jc w:val="center"/>
              <w:rPr>
                <w:color w:val="000000"/>
                <w:sz w:val="21"/>
                <w:szCs w:val="21"/>
              </w:rPr>
            </w:pPr>
          </w:p>
        </w:tc>
        <w:tc>
          <w:tcPr>
            <w:tcW w:w="13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1136.38</w:t>
            </w:r>
          </w:p>
        </w:tc>
        <w:tc>
          <w:tcPr>
            <w:tcW w:w="130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1196.88</w:t>
            </w:r>
          </w:p>
        </w:tc>
        <w:tc>
          <w:tcPr>
            <w:tcW w:w="84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47.88</w:t>
            </w:r>
          </w:p>
        </w:tc>
        <w:tc>
          <w:tcPr>
            <w:tcW w:w="107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1244.76</w:t>
            </w:r>
          </w:p>
        </w:tc>
        <w:tc>
          <w:tcPr>
            <w:tcW w:w="99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80.29</w:t>
            </w:r>
          </w:p>
        </w:tc>
        <w:tc>
          <w:tcPr>
            <w:tcW w:w="92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39.75</w:t>
            </w:r>
          </w:p>
        </w:tc>
        <w:tc>
          <w:tcPr>
            <w:tcW w:w="107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510.70</w:t>
            </w:r>
          </w:p>
        </w:tc>
        <w:tc>
          <w:tcPr>
            <w:tcW w:w="994" w:type="dxa"/>
            <w:noWrap/>
            <w:vAlign w:val="center"/>
          </w:tcPr>
          <w:p>
            <w:pPr>
              <w:widowControl/>
              <w:spacing w:line="240" w:lineRule="auto"/>
              <w:ind w:firstLine="0" w:firstLineChars="0"/>
              <w:jc w:val="center"/>
              <w:rPr>
                <w:color w:val="000000"/>
                <w:sz w:val="21"/>
                <w:szCs w:val="21"/>
              </w:rPr>
            </w:pPr>
          </w:p>
        </w:tc>
        <w:tc>
          <w:tcPr>
            <w:tcW w:w="101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168.79</w:t>
            </w:r>
          </w:p>
        </w:tc>
        <w:tc>
          <w:tcPr>
            <w:tcW w:w="108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2044.29</w:t>
            </w:r>
          </w:p>
        </w:tc>
      </w:tr>
    </w:tbl>
    <w:p>
      <w:pPr>
        <w:ind w:firstLine="0" w:firstLineChars="0"/>
        <w:rPr>
          <w:rFonts w:eastAsia="黑体"/>
          <w:sz w:val="21"/>
          <w:szCs w:val="21"/>
          <w:highlight w:val="yellow"/>
        </w:rPr>
        <w:sectPr>
          <w:pgSz w:w="23811" w:h="16838" w:orient="landscape"/>
          <w:pgMar w:top="1800" w:right="1440" w:bottom="1800" w:left="1440" w:header="851" w:footer="992" w:gutter="0"/>
          <w:cols w:space="720" w:num="1"/>
          <w:docGrid w:type="lines" w:linePitch="312" w:charSpace="0"/>
        </w:sectPr>
      </w:pPr>
    </w:p>
    <w:p>
      <w:pPr>
        <w:ind w:firstLine="0" w:firstLineChars="0"/>
        <w:jc w:val="center"/>
        <w:outlineLvl w:val="0"/>
        <w:rPr>
          <w:rFonts w:eastAsia="黑体"/>
          <w:sz w:val="21"/>
          <w:szCs w:val="21"/>
        </w:rPr>
      </w:pPr>
      <w:bookmarkStart w:id="308" w:name="_Toc11555"/>
      <w:bookmarkStart w:id="309" w:name="_Toc22765"/>
      <w:bookmarkStart w:id="310" w:name="_Toc2607"/>
      <w:bookmarkStart w:id="311" w:name="_Toc31471"/>
      <w:bookmarkStart w:id="312" w:name="_Toc13965"/>
      <w:r>
        <w:rPr>
          <w:rFonts w:eastAsia="黑体"/>
          <w:sz w:val="21"/>
          <w:szCs w:val="21"/>
        </w:rPr>
        <w:t>附表1-7其他费用</w:t>
      </w:r>
      <w:r>
        <w:rPr>
          <w:rFonts w:hint="eastAsia" w:eastAsia="黑体"/>
          <w:sz w:val="21"/>
          <w:szCs w:val="21"/>
        </w:rPr>
        <w:t>估</w:t>
      </w:r>
      <w:r>
        <w:rPr>
          <w:rFonts w:eastAsia="黑体"/>
          <w:sz w:val="21"/>
          <w:szCs w:val="21"/>
        </w:rPr>
        <w:t>算表</w:t>
      </w:r>
      <w:bookmarkEnd w:id="308"/>
      <w:bookmarkEnd w:id="309"/>
      <w:bookmarkEnd w:id="310"/>
      <w:bookmarkEnd w:id="311"/>
      <w:bookmarkEnd w:id="312"/>
    </w:p>
    <w:tbl>
      <w:tblPr>
        <w:tblStyle w:val="25"/>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1989"/>
        <w:gridCol w:w="2851"/>
        <w:gridCol w:w="1173"/>
        <w:gridCol w:w="18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费用名称</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计算式</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预算金额</w:t>
            </w:r>
            <w:r>
              <w:rPr>
                <w:rFonts w:hint="eastAsia"/>
                <w:color w:val="000000"/>
                <w:kern w:val="0"/>
                <w:sz w:val="21"/>
                <w:szCs w:val="21"/>
                <w:lang w:bidi="ar"/>
              </w:rPr>
              <w:t>（</w:t>
            </w:r>
            <w:r>
              <w:rPr>
                <w:rFonts w:hint="eastAsia"/>
                <w:color w:val="000000"/>
                <w:kern w:val="0"/>
                <w:sz w:val="21"/>
                <w:szCs w:val="21"/>
                <w:lang w:val="en-US" w:eastAsia="zh-CN" w:bidi="ar"/>
              </w:rPr>
              <w:t>万</w:t>
            </w:r>
            <w:r>
              <w:rPr>
                <w:rFonts w:hint="eastAsia"/>
                <w:color w:val="000000"/>
                <w:kern w:val="0"/>
                <w:sz w:val="21"/>
                <w:szCs w:val="21"/>
                <w:lang w:bidi="ar"/>
              </w:rPr>
              <w:t>元）</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各项费用占其它费用的比例(%)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vMerge w:val="continue"/>
            <w:noWrap/>
            <w:vAlign w:val="center"/>
          </w:tcPr>
          <w:p>
            <w:pPr>
              <w:widowControl/>
              <w:spacing w:line="240" w:lineRule="auto"/>
              <w:ind w:firstLine="0" w:firstLineChars="0"/>
              <w:jc w:val="center"/>
              <w:rPr>
                <w:color w:val="000000"/>
                <w:sz w:val="21"/>
                <w:szCs w:val="21"/>
              </w:rPr>
            </w:pP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１</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前期工作费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(1)＋(2)＋(3)＋(4)＋(5)</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12.0006</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土地清查费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施工费×0.5%</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0.6039</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项目可行性研究费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(施工费＋设备费)×0.5%</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0.6039</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项目勘测费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施工费×1.65%</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1.9928</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项目勘察费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施工费×0.55%</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0.6643</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项目测量费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施工费×1.1%</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1.3285</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项目设计与预算编制费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(8)×1.1</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8.8000</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项目招标代理费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２</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工程监理费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8.00</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8.0000</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３</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拆迁补偿费</w:t>
            </w:r>
          </w:p>
        </w:tc>
        <w:tc>
          <w:tcPr>
            <w:tcW w:w="2851" w:type="dxa"/>
            <w:noWrap/>
            <w:vAlign w:val="center"/>
          </w:tcPr>
          <w:p>
            <w:pPr>
              <w:widowControl/>
              <w:spacing w:line="240" w:lineRule="auto"/>
              <w:ind w:firstLine="0" w:firstLineChars="0"/>
              <w:jc w:val="center"/>
              <w:rPr>
                <w:color w:val="000000"/>
                <w:sz w:val="21"/>
                <w:szCs w:val="21"/>
              </w:rPr>
            </w:pP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４</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竣工验收费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(1)＋(2)＋(3)＋(4)＋(5)＋(6)</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5.6620</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19.02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工程复核费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(施工费＋设备费)×0.70%</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0.8454</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工程验收费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(施工费＋设备费)×1.4%</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1.6909</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决算编制与审计费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(施工费＋设备费)×1.00%</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1.2078</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整理后土地重估与登记费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(施工费＋设备费)×0.65%</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0.7851</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标识设定费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1.00＋(施工费＋设备费)×0.11%</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1.1329</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新增耕地核查认定费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(施工费＋设备费)×0%</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0.0000</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５</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业主管理费</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(施工费＋设备费＋１＋２＋３＋４)×2.80%</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4.1003</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总计</w:t>
            </w:r>
          </w:p>
        </w:tc>
        <w:tc>
          <w:tcPr>
            <w:tcW w:w="198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285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17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29.7629</w:t>
            </w:r>
          </w:p>
        </w:tc>
        <w:tc>
          <w:tcPr>
            <w:tcW w:w="183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100.00</w:t>
            </w:r>
          </w:p>
        </w:tc>
      </w:tr>
    </w:tbl>
    <w:p>
      <w:pPr>
        <w:ind w:firstLine="0" w:firstLineChars="0"/>
        <w:rPr>
          <w:rFonts w:eastAsia="黑体"/>
          <w:sz w:val="21"/>
          <w:szCs w:val="21"/>
          <w:highlight w:val="yellow"/>
        </w:rPr>
        <w:sectPr>
          <w:pgSz w:w="11906" w:h="16838"/>
          <w:pgMar w:top="1440" w:right="1800" w:bottom="1440" w:left="1800" w:header="851" w:footer="992" w:gutter="0"/>
          <w:cols w:space="720" w:num="1"/>
          <w:docGrid w:type="lines" w:linePitch="312" w:charSpace="0"/>
        </w:sectPr>
      </w:pPr>
    </w:p>
    <w:p>
      <w:pPr>
        <w:ind w:firstLine="0" w:firstLineChars="0"/>
        <w:jc w:val="center"/>
        <w:outlineLvl w:val="0"/>
        <w:rPr>
          <w:rFonts w:hint="eastAsia"/>
        </w:rPr>
      </w:pPr>
      <w:bookmarkStart w:id="313" w:name="_Toc22786"/>
      <w:bookmarkStart w:id="314" w:name="_Toc17380"/>
      <w:bookmarkStart w:id="315" w:name="_Toc9943"/>
      <w:bookmarkStart w:id="316" w:name="_Toc703"/>
      <w:bookmarkStart w:id="317" w:name="_Toc20336"/>
      <w:r>
        <w:rPr>
          <w:rFonts w:eastAsia="黑体"/>
          <w:sz w:val="21"/>
          <w:szCs w:val="21"/>
        </w:rPr>
        <w:t>附表1-</w:t>
      </w:r>
      <w:r>
        <w:rPr>
          <w:rFonts w:hint="eastAsia" w:eastAsia="黑体"/>
          <w:sz w:val="21"/>
          <w:szCs w:val="21"/>
        </w:rPr>
        <w:t>8</w:t>
      </w:r>
      <w:r>
        <w:rPr>
          <w:rFonts w:hint="eastAsia" w:eastAsia="黑体"/>
          <w:bCs/>
          <w:kern w:val="0"/>
          <w:sz w:val="21"/>
          <w:szCs w:val="21"/>
        </w:rPr>
        <w:t>工程施工费单价分析表一</w:t>
      </w:r>
      <w:bookmarkEnd w:id="313"/>
      <w:bookmarkEnd w:id="314"/>
      <w:bookmarkEnd w:id="315"/>
      <w:bookmarkEnd w:id="316"/>
      <w:bookmarkEnd w:id="317"/>
    </w:p>
    <w:tbl>
      <w:tblPr>
        <w:tblStyle w:val="25"/>
        <w:tblW w:w="85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15"/>
        <w:gridCol w:w="3267"/>
        <w:gridCol w:w="835"/>
        <w:gridCol w:w="910"/>
        <w:gridCol w:w="1068"/>
        <w:gridCol w:w="13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定额编号:</w:t>
            </w:r>
          </w:p>
        </w:tc>
        <w:tc>
          <w:tcPr>
            <w:tcW w:w="6080" w:type="dxa"/>
            <w:gridSpan w:val="4"/>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10301 3m</w:t>
            </w:r>
            <w:r>
              <w:rPr>
                <w:color w:val="000000"/>
                <w:kern w:val="0"/>
                <w:sz w:val="21"/>
                <w:szCs w:val="21"/>
                <w:vertAlign w:val="superscript"/>
                <w:lang w:bidi="ar"/>
              </w:rPr>
              <w:t>3</w:t>
            </w:r>
            <w:r>
              <w:rPr>
                <w:color w:val="000000"/>
                <w:kern w:val="0"/>
                <w:sz w:val="21"/>
                <w:szCs w:val="21"/>
                <w:lang w:bidi="ar"/>
              </w:rPr>
              <w:t>装载机挖装自卸汽车运土 运距0～0.5km   100m</w:t>
            </w:r>
            <w:r>
              <w:rPr>
                <w:color w:val="000000"/>
                <w:kern w:val="0"/>
                <w:sz w:val="21"/>
                <w:szCs w:val="21"/>
                <w:vertAlign w:val="superscript"/>
                <w:lang w:bidi="ar"/>
              </w:rPr>
              <w:t>3</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金额单位:元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项目名称</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单价</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直接工程费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655.16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乙类工</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工日</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0.60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38.58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23.15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其它人工费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4.20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23.15</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631.04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装载机 斗容3.0～3.3m</w:t>
            </w:r>
            <w:r>
              <w:rPr>
                <w:color w:val="000000"/>
                <w:kern w:val="0"/>
                <w:sz w:val="21"/>
                <w:szCs w:val="21"/>
                <w:vertAlign w:val="superscript"/>
                <w:lang w:bidi="ar"/>
              </w:rPr>
              <w:t>3</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0.17</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971.41</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165.14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推土机 功率88kw</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0.07</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665.54</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46.59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3.3</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自卸汽车 柴油型 载重量8t</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0.79</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498.58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393.88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3.4</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其它机械费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4.20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605.61</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25.44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措施费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655.16</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间接费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5.45</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681.37</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三</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利  润</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3.00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718.50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四</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材料价差</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278.07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柴油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60.45</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4.60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278.07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五</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未计价材料费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税金</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9.00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1018.13</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1109.76</w:t>
            </w:r>
          </w:p>
        </w:tc>
      </w:tr>
    </w:tbl>
    <w:p>
      <w:pPr>
        <w:ind w:firstLine="0" w:firstLineChars="0"/>
        <w:jc w:val="center"/>
        <w:outlineLvl w:val="0"/>
        <w:rPr>
          <w:rFonts w:hint="eastAsia" w:eastAsia="黑体"/>
          <w:sz w:val="21"/>
          <w:szCs w:val="21"/>
          <w:highlight w:val="yellow"/>
        </w:rPr>
      </w:pPr>
      <w:r>
        <w:rPr>
          <w:rFonts w:eastAsia="黑体"/>
          <w:sz w:val="21"/>
          <w:szCs w:val="21"/>
          <w:highlight w:val="yellow"/>
        </w:rPr>
        <w:br w:type="page"/>
      </w:r>
      <w:bookmarkStart w:id="318" w:name="_Toc16501"/>
      <w:bookmarkStart w:id="319" w:name="_Toc16547"/>
      <w:bookmarkStart w:id="320" w:name="_Toc28822"/>
      <w:bookmarkStart w:id="321" w:name="_Toc22497"/>
      <w:bookmarkStart w:id="322" w:name="_Toc11783"/>
      <w:r>
        <w:rPr>
          <w:rFonts w:eastAsia="黑体"/>
          <w:sz w:val="21"/>
          <w:szCs w:val="21"/>
        </w:rPr>
        <w:t>附表1-</w:t>
      </w:r>
      <w:r>
        <w:rPr>
          <w:rFonts w:hint="eastAsia" w:eastAsia="黑体"/>
          <w:sz w:val="21"/>
          <w:szCs w:val="21"/>
        </w:rPr>
        <w:t>8</w:t>
      </w:r>
      <w:r>
        <w:rPr>
          <w:rFonts w:hint="eastAsia" w:eastAsia="黑体"/>
          <w:bCs/>
          <w:kern w:val="0"/>
          <w:sz w:val="21"/>
          <w:szCs w:val="21"/>
        </w:rPr>
        <w:t>工程施工费单价分析表二</w:t>
      </w:r>
      <w:bookmarkEnd w:id="318"/>
      <w:bookmarkEnd w:id="319"/>
      <w:bookmarkEnd w:id="320"/>
      <w:bookmarkEnd w:id="321"/>
      <w:bookmarkEnd w:id="322"/>
    </w:p>
    <w:tbl>
      <w:tblPr>
        <w:tblStyle w:val="25"/>
        <w:tblW w:w="85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15"/>
        <w:gridCol w:w="3352"/>
        <w:gridCol w:w="857"/>
        <w:gridCol w:w="858"/>
        <w:gridCol w:w="1013"/>
        <w:gridCol w:w="13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定额编号:</w:t>
            </w:r>
          </w:p>
        </w:tc>
        <w:tc>
          <w:tcPr>
            <w:tcW w:w="6080" w:type="dxa"/>
            <w:gridSpan w:val="4"/>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10343换 推表土、回覆 推土距离0～10m~推土机 功率74kw   100m</w:t>
            </w:r>
            <w:r>
              <w:rPr>
                <w:color w:val="000000"/>
                <w:kern w:val="0"/>
                <w:sz w:val="21"/>
                <w:szCs w:val="21"/>
                <w:vertAlign w:val="superscript"/>
                <w:lang w:bidi="ar"/>
              </w:rPr>
              <w:t>3</w:t>
            </w:r>
            <w:r>
              <w:rPr>
                <w:color w:val="000000"/>
                <w:kern w:val="0"/>
                <w:sz w:val="21"/>
                <w:szCs w:val="21"/>
                <w:lang w:bidi="ar"/>
              </w:rPr>
              <w:t>松方</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金额单位:元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项目名称</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单价</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直接费</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92.53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直接工程费</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人工费</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乙类工</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工日</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0.11</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38.58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其它人工费</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5.00</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4.24</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材料费</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机械费</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84.52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推土机 功率74kw</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0.15</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536.60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其它机械费</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5.00</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80.49</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措施费</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4.00</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88.97</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间接费</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5.45</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92.53</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三</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利  润</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3.00</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97.57</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四</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材料价差</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柴油</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8.25</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4.60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五</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未计价材料费</w:t>
            </w:r>
          </w:p>
        </w:tc>
        <w:tc>
          <w:tcPr>
            <w:tcW w:w="857" w:type="dxa"/>
            <w:noWrap/>
            <w:vAlign w:val="center"/>
          </w:tcPr>
          <w:p>
            <w:pPr>
              <w:widowControl/>
              <w:spacing w:line="240" w:lineRule="auto"/>
              <w:ind w:firstLine="0" w:firstLineChars="0"/>
              <w:jc w:val="center"/>
              <w:rPr>
                <w:color w:val="000000"/>
                <w:sz w:val="21"/>
                <w:szCs w:val="21"/>
              </w:rPr>
            </w:pPr>
          </w:p>
        </w:tc>
        <w:tc>
          <w:tcPr>
            <w:tcW w:w="858" w:type="dxa"/>
            <w:noWrap/>
            <w:vAlign w:val="center"/>
          </w:tcPr>
          <w:p>
            <w:pPr>
              <w:widowControl/>
              <w:spacing w:line="240" w:lineRule="auto"/>
              <w:ind w:firstLine="0" w:firstLineChars="0"/>
              <w:jc w:val="center"/>
              <w:rPr>
                <w:color w:val="000000"/>
                <w:sz w:val="21"/>
                <w:szCs w:val="21"/>
              </w:rPr>
            </w:pPr>
          </w:p>
        </w:tc>
        <w:tc>
          <w:tcPr>
            <w:tcW w:w="1013"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税金</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9.00</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138.45</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3352"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5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01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150.91</w:t>
            </w:r>
          </w:p>
        </w:tc>
      </w:tr>
    </w:tbl>
    <w:p>
      <w:pPr>
        <w:ind w:firstLine="0" w:firstLineChars="0"/>
        <w:jc w:val="center"/>
        <w:outlineLvl w:val="0"/>
        <w:rPr>
          <w:rFonts w:hint="eastAsia" w:eastAsia="黑体"/>
          <w:sz w:val="21"/>
          <w:szCs w:val="21"/>
          <w:highlight w:val="yellow"/>
        </w:rPr>
      </w:pPr>
      <w:r>
        <w:rPr>
          <w:rFonts w:eastAsia="黑体"/>
          <w:sz w:val="21"/>
          <w:szCs w:val="21"/>
          <w:highlight w:val="yellow"/>
        </w:rPr>
        <w:br w:type="page"/>
      </w:r>
      <w:bookmarkStart w:id="323" w:name="_Toc17263"/>
      <w:bookmarkStart w:id="324" w:name="_Toc24867"/>
      <w:bookmarkStart w:id="325" w:name="_Toc13938"/>
      <w:bookmarkStart w:id="326" w:name="_Toc9210"/>
      <w:bookmarkStart w:id="327" w:name="_Toc19861"/>
      <w:r>
        <w:rPr>
          <w:rFonts w:eastAsia="黑体"/>
          <w:sz w:val="21"/>
          <w:szCs w:val="21"/>
        </w:rPr>
        <w:t>附表1-</w:t>
      </w:r>
      <w:r>
        <w:rPr>
          <w:rFonts w:hint="eastAsia" w:eastAsia="黑体"/>
          <w:sz w:val="21"/>
          <w:szCs w:val="21"/>
        </w:rPr>
        <w:t>8</w:t>
      </w:r>
      <w:r>
        <w:rPr>
          <w:rFonts w:hint="eastAsia" w:eastAsia="黑体"/>
          <w:bCs/>
          <w:kern w:val="0"/>
          <w:sz w:val="21"/>
          <w:szCs w:val="21"/>
        </w:rPr>
        <w:t>工程施工费单价分析表三</w:t>
      </w:r>
      <w:bookmarkEnd w:id="323"/>
      <w:bookmarkEnd w:id="324"/>
      <w:bookmarkEnd w:id="325"/>
      <w:bookmarkEnd w:id="326"/>
      <w:bookmarkEnd w:id="327"/>
    </w:p>
    <w:tbl>
      <w:tblPr>
        <w:tblStyle w:val="25"/>
        <w:tblW w:w="852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15"/>
        <w:gridCol w:w="3119"/>
        <w:gridCol w:w="835"/>
        <w:gridCol w:w="985"/>
        <w:gridCol w:w="1141"/>
        <w:gridCol w:w="13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定额编号:</w:t>
            </w:r>
          </w:p>
        </w:tc>
        <w:tc>
          <w:tcPr>
            <w:tcW w:w="6080" w:type="dxa"/>
            <w:gridSpan w:val="4"/>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40229 机械拆除无钢筋混凝土   100m</w:t>
            </w:r>
            <w:r>
              <w:rPr>
                <w:color w:val="000000"/>
                <w:kern w:val="0"/>
                <w:sz w:val="21"/>
                <w:szCs w:val="21"/>
                <w:vertAlign w:val="superscript"/>
                <w:lang w:bidi="ar"/>
              </w:rPr>
              <w:t>3</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金额单位:元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项目名称</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单价</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直接费</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16866.21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直接工程费</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16063.06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人工费</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7471.79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乙类工</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工日</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181.00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38.58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6982.98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其它人工费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6982.98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488.81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材料费</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机械费</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8591.27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电动空气压缩机 移动式3m</w:t>
            </w:r>
            <w:r>
              <w:rPr>
                <w:color w:val="000000"/>
                <w:kern w:val="0"/>
                <w:sz w:val="21"/>
                <w:szCs w:val="21"/>
                <w:vertAlign w:val="superscript"/>
                <w:lang w:bidi="ar"/>
              </w:rPr>
              <w:t>3</w:t>
            </w:r>
            <w:r>
              <w:rPr>
                <w:color w:val="000000"/>
                <w:kern w:val="0"/>
                <w:sz w:val="21"/>
                <w:szCs w:val="21"/>
                <w:lang w:bidi="ar"/>
              </w:rPr>
              <w:t>/min</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36.00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151.31</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5447.30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手持式风镐</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72.00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35.86</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2581.92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3.3</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其它机械费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8029.22</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562.05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措施费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16063.06</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803.15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间接费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6.45</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16866.21</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1087.87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三</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利  润</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17954.08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538.62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四</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材料价差</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五</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未计价材料费</w:t>
            </w:r>
          </w:p>
        </w:tc>
        <w:tc>
          <w:tcPr>
            <w:tcW w:w="835" w:type="dxa"/>
            <w:noWrap/>
            <w:vAlign w:val="center"/>
          </w:tcPr>
          <w:p>
            <w:pPr>
              <w:widowControl/>
              <w:spacing w:line="240" w:lineRule="auto"/>
              <w:ind w:firstLine="0" w:firstLineChars="0"/>
              <w:jc w:val="center"/>
              <w:rPr>
                <w:color w:val="000000"/>
                <w:sz w:val="21"/>
                <w:szCs w:val="21"/>
              </w:rPr>
            </w:pPr>
          </w:p>
        </w:tc>
        <w:tc>
          <w:tcPr>
            <w:tcW w:w="985" w:type="dxa"/>
            <w:noWrap/>
            <w:vAlign w:val="center"/>
          </w:tcPr>
          <w:p>
            <w:pPr>
              <w:widowControl/>
              <w:spacing w:line="240" w:lineRule="auto"/>
              <w:ind w:firstLine="0" w:firstLineChars="0"/>
              <w:jc w:val="center"/>
              <w:rPr>
                <w:color w:val="000000"/>
                <w:sz w:val="21"/>
                <w:szCs w:val="21"/>
              </w:rPr>
            </w:pPr>
          </w:p>
        </w:tc>
        <w:tc>
          <w:tcPr>
            <w:tcW w:w="1141"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税金</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9.00</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18492.71</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1664.34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3119"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8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14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20157.05</w:t>
            </w:r>
          </w:p>
        </w:tc>
      </w:tr>
    </w:tbl>
    <w:p>
      <w:pPr>
        <w:ind w:firstLine="0" w:firstLineChars="0"/>
        <w:jc w:val="center"/>
        <w:outlineLvl w:val="0"/>
        <w:rPr>
          <w:rFonts w:eastAsia="黑体"/>
          <w:sz w:val="21"/>
          <w:szCs w:val="21"/>
          <w:highlight w:val="yellow"/>
        </w:rPr>
      </w:pPr>
      <w:r>
        <w:rPr>
          <w:rFonts w:eastAsia="黑体"/>
          <w:sz w:val="21"/>
          <w:szCs w:val="21"/>
          <w:highlight w:val="yellow"/>
        </w:rPr>
        <w:br w:type="page"/>
      </w:r>
      <w:bookmarkStart w:id="328" w:name="_Toc9355"/>
      <w:bookmarkStart w:id="329" w:name="_Toc17296"/>
      <w:bookmarkStart w:id="330" w:name="_Toc18143"/>
      <w:bookmarkStart w:id="331" w:name="_Toc11286"/>
      <w:bookmarkStart w:id="332" w:name="_Toc1680"/>
      <w:r>
        <w:rPr>
          <w:rFonts w:eastAsia="黑体"/>
          <w:sz w:val="21"/>
          <w:szCs w:val="21"/>
        </w:rPr>
        <w:t>附表1-</w:t>
      </w:r>
      <w:r>
        <w:rPr>
          <w:rFonts w:hint="eastAsia" w:eastAsia="黑体"/>
          <w:sz w:val="21"/>
          <w:szCs w:val="21"/>
        </w:rPr>
        <w:t>8</w:t>
      </w:r>
      <w:r>
        <w:rPr>
          <w:rFonts w:hint="eastAsia" w:eastAsia="黑体"/>
          <w:bCs/>
          <w:kern w:val="0"/>
          <w:sz w:val="21"/>
          <w:szCs w:val="21"/>
        </w:rPr>
        <w:t>工程施工费单价分析表四</w:t>
      </w:r>
      <w:bookmarkEnd w:id="328"/>
      <w:bookmarkEnd w:id="329"/>
      <w:bookmarkEnd w:id="330"/>
      <w:bookmarkEnd w:id="331"/>
      <w:bookmarkEnd w:id="332"/>
    </w:p>
    <w:tbl>
      <w:tblPr>
        <w:tblStyle w:val="25"/>
        <w:tblW w:w="85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15"/>
        <w:gridCol w:w="3267"/>
        <w:gridCol w:w="835"/>
        <w:gridCol w:w="910"/>
        <w:gridCol w:w="1068"/>
        <w:gridCol w:w="13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定额编号:</w:t>
            </w:r>
          </w:p>
        </w:tc>
        <w:tc>
          <w:tcPr>
            <w:tcW w:w="6080" w:type="dxa"/>
            <w:gridSpan w:val="4"/>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20311 2m</w:t>
            </w:r>
            <w:r>
              <w:rPr>
                <w:color w:val="000000"/>
                <w:kern w:val="0"/>
                <w:sz w:val="21"/>
                <w:szCs w:val="21"/>
                <w:vertAlign w:val="superscript"/>
                <w:lang w:bidi="ar"/>
              </w:rPr>
              <w:t>3</w:t>
            </w:r>
            <w:r>
              <w:rPr>
                <w:color w:val="000000"/>
                <w:kern w:val="0"/>
                <w:sz w:val="21"/>
                <w:szCs w:val="21"/>
                <w:lang w:bidi="ar"/>
              </w:rPr>
              <w:t>挖掘机装自卸汽车运石碴 运距0～0.5km   100m</w:t>
            </w:r>
            <w:r>
              <w:rPr>
                <w:color w:val="000000"/>
                <w:kern w:val="0"/>
                <w:sz w:val="21"/>
                <w:szCs w:val="21"/>
                <w:vertAlign w:val="superscript"/>
                <w:lang w:bidi="ar"/>
              </w:rPr>
              <w:t>3</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金额单位:元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序号</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项目名称</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单位</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单价</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小计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1244.76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直接工程费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1196.88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甲类工</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工日</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50.70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乙类工</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工日</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38.58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54.01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其它人工费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59.08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1136.38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单斗挖掘机 电动 斗容2m</w:t>
            </w:r>
            <w:r>
              <w:rPr>
                <w:color w:val="000000"/>
                <w:kern w:val="0"/>
                <w:sz w:val="21"/>
                <w:szCs w:val="21"/>
                <w:vertAlign w:val="superscript"/>
                <w:lang w:bidi="ar"/>
              </w:rPr>
              <w:t>3</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0.30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893.55</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268.07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推土机 功率74kw</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0.15</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536.60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3.3</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自卸汽车 汽油型 载重量3.5t</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2.35</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323.91</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761.19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3.4</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其它机械费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1109.75</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措施费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1196.88</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47.88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间接费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6.45</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1244.76</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80.29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三</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利  润</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3.00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1325.05</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39.75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四</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材料价差</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510.70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柴油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8.25</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4.60</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汽油</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kg</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84.60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5.59</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472.75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五</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未计价材料费</w:t>
            </w:r>
          </w:p>
        </w:tc>
        <w:tc>
          <w:tcPr>
            <w:tcW w:w="835" w:type="dxa"/>
            <w:noWrap/>
            <w:vAlign w:val="center"/>
          </w:tcPr>
          <w:p>
            <w:pPr>
              <w:widowControl/>
              <w:spacing w:line="240" w:lineRule="auto"/>
              <w:ind w:firstLine="0" w:firstLineChars="0"/>
              <w:jc w:val="center"/>
              <w:rPr>
                <w:color w:val="000000"/>
                <w:sz w:val="21"/>
                <w:szCs w:val="21"/>
              </w:rPr>
            </w:pPr>
          </w:p>
        </w:tc>
        <w:tc>
          <w:tcPr>
            <w:tcW w:w="910" w:type="dxa"/>
            <w:noWrap/>
            <w:vAlign w:val="center"/>
          </w:tcPr>
          <w:p>
            <w:pPr>
              <w:widowControl/>
              <w:spacing w:line="240" w:lineRule="auto"/>
              <w:ind w:firstLine="0" w:firstLineChars="0"/>
              <w:jc w:val="center"/>
              <w:rPr>
                <w:color w:val="000000"/>
                <w:sz w:val="21"/>
                <w:szCs w:val="21"/>
              </w:rPr>
            </w:pPr>
          </w:p>
        </w:tc>
        <w:tc>
          <w:tcPr>
            <w:tcW w:w="1068" w:type="dxa"/>
            <w:noWrap/>
            <w:vAlign w:val="center"/>
          </w:tcPr>
          <w:p>
            <w:pPr>
              <w:widowControl/>
              <w:spacing w:line="240" w:lineRule="auto"/>
              <w:ind w:firstLine="0" w:firstLineChars="0"/>
              <w:jc w:val="center"/>
              <w:rPr>
                <w:color w:val="000000"/>
                <w:sz w:val="21"/>
                <w:szCs w:val="21"/>
              </w:rPr>
            </w:pP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六</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税金</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9.00</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1875.49</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168.79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11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合计</w:t>
            </w:r>
          </w:p>
        </w:tc>
        <w:tc>
          <w:tcPr>
            <w:tcW w:w="3267" w:type="dxa"/>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83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91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06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w:t>
            </w:r>
          </w:p>
        </w:tc>
        <w:tc>
          <w:tcPr>
            <w:tcW w:w="13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2044.29</w:t>
            </w:r>
          </w:p>
        </w:tc>
      </w:tr>
    </w:tbl>
    <w:p>
      <w:pPr>
        <w:ind w:firstLine="0" w:firstLineChars="0"/>
        <w:jc w:val="center"/>
        <w:rPr>
          <w:rFonts w:eastAsia="黑体"/>
          <w:sz w:val="21"/>
          <w:szCs w:val="21"/>
          <w:highlight w:val="yellow"/>
        </w:rPr>
        <w:sectPr>
          <w:pgSz w:w="11906" w:h="16838"/>
          <w:pgMar w:top="1440" w:right="1800" w:bottom="1440" w:left="1800" w:header="851" w:footer="992" w:gutter="0"/>
          <w:cols w:space="720" w:num="1"/>
          <w:docGrid w:type="lines" w:linePitch="312" w:charSpace="0"/>
        </w:sectPr>
      </w:pPr>
    </w:p>
    <w:p>
      <w:pPr>
        <w:ind w:firstLine="0" w:firstLineChars="0"/>
        <w:jc w:val="center"/>
        <w:outlineLvl w:val="0"/>
        <w:rPr>
          <w:rFonts w:hint="eastAsia" w:ascii="Times New Roman" w:hAnsi="Times New Roman" w:eastAsia="黑体" w:cs="Times New Roman"/>
          <w:sz w:val="21"/>
          <w:szCs w:val="21"/>
        </w:rPr>
      </w:pPr>
      <w:r>
        <w:rPr>
          <w:rFonts w:ascii="Times New Roman" w:hAnsi="Times New Roman" w:eastAsia="黑体" w:cs="Times New Roman"/>
          <w:sz w:val="21"/>
          <w:szCs w:val="21"/>
        </w:rPr>
        <w:t>附表1-</w:t>
      </w:r>
      <w:r>
        <w:rPr>
          <w:rFonts w:hint="eastAsia" w:ascii="Times New Roman" w:hAnsi="Times New Roman" w:eastAsia="黑体" w:cs="Times New Roman"/>
          <w:sz w:val="21"/>
          <w:szCs w:val="21"/>
        </w:rPr>
        <w:t>9机械台班预算单价计算表</w:t>
      </w:r>
    </w:p>
    <w:tbl>
      <w:tblPr>
        <w:tblStyle w:val="25"/>
        <w:tblW w:w="1417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1688"/>
        <w:gridCol w:w="800"/>
        <w:gridCol w:w="837"/>
        <w:gridCol w:w="863"/>
        <w:gridCol w:w="587"/>
        <w:gridCol w:w="799"/>
        <w:gridCol w:w="799"/>
        <w:gridCol w:w="734"/>
        <w:gridCol w:w="814"/>
        <w:gridCol w:w="825"/>
        <w:gridCol w:w="853"/>
        <w:gridCol w:w="794"/>
        <w:gridCol w:w="811"/>
        <w:gridCol w:w="383"/>
        <w:gridCol w:w="366"/>
        <w:gridCol w:w="850"/>
        <w:gridCol w:w="7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定额</w:t>
            </w:r>
            <w:r>
              <w:rPr>
                <w:color w:val="000000"/>
                <w:kern w:val="0"/>
                <w:sz w:val="21"/>
                <w:szCs w:val="21"/>
                <w:lang w:bidi="ar"/>
              </w:rPr>
              <w:br w:type="textWrapping"/>
            </w:r>
            <w:r>
              <w:rPr>
                <w:color w:val="000000"/>
                <w:kern w:val="0"/>
                <w:sz w:val="21"/>
                <w:szCs w:val="21"/>
                <w:lang w:bidi="ar"/>
              </w:rPr>
              <w:t>编号</w:t>
            </w:r>
          </w:p>
        </w:tc>
        <w:tc>
          <w:tcPr>
            <w:tcW w:w="1688"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机械名称</w:t>
            </w:r>
            <w:r>
              <w:rPr>
                <w:color w:val="000000"/>
                <w:kern w:val="0"/>
                <w:sz w:val="21"/>
                <w:szCs w:val="21"/>
                <w:lang w:bidi="ar"/>
              </w:rPr>
              <w:br w:type="textWrapping"/>
            </w:r>
            <w:r>
              <w:rPr>
                <w:color w:val="000000"/>
                <w:kern w:val="0"/>
                <w:sz w:val="21"/>
                <w:szCs w:val="21"/>
                <w:lang w:bidi="ar"/>
              </w:rPr>
              <w:t>及规格</w:t>
            </w:r>
          </w:p>
        </w:tc>
        <w:tc>
          <w:tcPr>
            <w:tcW w:w="800" w:type="dxa"/>
            <w:vMerge w:val="restart"/>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台班费</w:t>
            </w:r>
          </w:p>
        </w:tc>
        <w:tc>
          <w:tcPr>
            <w:tcW w:w="837"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一类</w:t>
            </w:r>
            <w:r>
              <w:rPr>
                <w:color w:val="000000"/>
                <w:kern w:val="0"/>
                <w:sz w:val="21"/>
                <w:szCs w:val="21"/>
                <w:lang w:bidi="ar"/>
              </w:rPr>
              <w:br w:type="textWrapping"/>
            </w:r>
            <w:r>
              <w:rPr>
                <w:color w:val="000000"/>
                <w:kern w:val="0"/>
                <w:sz w:val="21"/>
                <w:szCs w:val="21"/>
                <w:lang w:bidi="ar"/>
              </w:rPr>
              <w:t>费用</w:t>
            </w:r>
            <w:r>
              <w:rPr>
                <w:color w:val="000000"/>
                <w:kern w:val="0"/>
                <w:sz w:val="21"/>
                <w:szCs w:val="21"/>
                <w:lang w:bidi="ar"/>
              </w:rPr>
              <w:br w:type="textWrapping"/>
            </w:r>
            <w:r>
              <w:rPr>
                <w:color w:val="000000"/>
                <w:kern w:val="0"/>
                <w:sz w:val="21"/>
                <w:szCs w:val="21"/>
                <w:lang w:bidi="ar"/>
              </w:rPr>
              <w:t>小计</w:t>
            </w:r>
          </w:p>
        </w:tc>
        <w:tc>
          <w:tcPr>
            <w:tcW w:w="10190" w:type="dxa"/>
            <w:gridSpan w:val="14"/>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二类费用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vMerge w:val="continue"/>
            <w:noWrap w:val="0"/>
            <w:vAlign w:val="center"/>
          </w:tcPr>
          <w:p>
            <w:pPr>
              <w:widowControl/>
              <w:spacing w:line="240" w:lineRule="auto"/>
              <w:ind w:firstLine="0" w:firstLineChars="0"/>
              <w:jc w:val="center"/>
              <w:rPr>
                <w:color w:val="000000"/>
                <w:sz w:val="21"/>
                <w:szCs w:val="21"/>
              </w:rPr>
            </w:pPr>
          </w:p>
        </w:tc>
        <w:tc>
          <w:tcPr>
            <w:tcW w:w="1688" w:type="dxa"/>
            <w:vMerge w:val="continue"/>
            <w:noWrap w:val="0"/>
            <w:vAlign w:val="center"/>
          </w:tcPr>
          <w:p>
            <w:pPr>
              <w:widowControl/>
              <w:spacing w:line="240" w:lineRule="auto"/>
              <w:ind w:firstLine="0" w:firstLineChars="0"/>
              <w:jc w:val="center"/>
              <w:rPr>
                <w:color w:val="000000"/>
                <w:sz w:val="21"/>
                <w:szCs w:val="21"/>
              </w:rPr>
            </w:pPr>
          </w:p>
        </w:tc>
        <w:tc>
          <w:tcPr>
            <w:tcW w:w="800" w:type="dxa"/>
            <w:vMerge w:val="continue"/>
            <w:noWrap/>
            <w:vAlign w:val="center"/>
          </w:tcPr>
          <w:p>
            <w:pPr>
              <w:widowControl/>
              <w:spacing w:line="240" w:lineRule="auto"/>
              <w:ind w:firstLine="0" w:firstLineChars="0"/>
              <w:jc w:val="center"/>
              <w:rPr>
                <w:color w:val="000000"/>
                <w:sz w:val="21"/>
                <w:szCs w:val="21"/>
              </w:rPr>
            </w:pPr>
          </w:p>
        </w:tc>
        <w:tc>
          <w:tcPr>
            <w:tcW w:w="837" w:type="dxa"/>
            <w:vMerge w:val="continue"/>
            <w:noWrap w:val="0"/>
            <w:vAlign w:val="center"/>
          </w:tcPr>
          <w:p>
            <w:pPr>
              <w:widowControl/>
              <w:spacing w:line="240" w:lineRule="auto"/>
              <w:ind w:firstLine="0" w:firstLineChars="0"/>
              <w:jc w:val="center"/>
              <w:rPr>
                <w:color w:val="000000"/>
                <w:sz w:val="21"/>
                <w:szCs w:val="21"/>
              </w:rPr>
            </w:pPr>
          </w:p>
        </w:tc>
        <w:tc>
          <w:tcPr>
            <w:tcW w:w="863"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二类费</w:t>
            </w:r>
            <w:r>
              <w:rPr>
                <w:color w:val="000000"/>
                <w:kern w:val="0"/>
                <w:sz w:val="21"/>
                <w:szCs w:val="21"/>
                <w:lang w:bidi="ar"/>
              </w:rPr>
              <w:br w:type="textWrapping"/>
            </w:r>
            <w:r>
              <w:rPr>
                <w:color w:val="000000"/>
                <w:kern w:val="0"/>
                <w:sz w:val="21"/>
                <w:szCs w:val="21"/>
                <w:lang w:bidi="ar"/>
              </w:rPr>
              <w:t>合计</w:t>
            </w:r>
          </w:p>
        </w:tc>
        <w:tc>
          <w:tcPr>
            <w:tcW w:w="1386"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人工费</w:t>
            </w:r>
            <w:r>
              <w:rPr>
                <w:color w:val="000000"/>
                <w:kern w:val="0"/>
                <w:sz w:val="21"/>
                <w:szCs w:val="21"/>
                <w:lang w:bidi="ar"/>
              </w:rPr>
              <w:br w:type="textWrapping"/>
            </w:r>
            <w:r>
              <w:rPr>
                <w:color w:val="000000"/>
                <w:kern w:val="0"/>
                <w:sz w:val="21"/>
                <w:szCs w:val="21"/>
                <w:lang w:bidi="ar"/>
              </w:rPr>
              <w:t>(元/日)</w:t>
            </w:r>
          </w:p>
        </w:tc>
        <w:tc>
          <w:tcPr>
            <w:tcW w:w="799" w:type="dxa"/>
            <w:vMerge w:val="restart"/>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动力</w:t>
            </w:r>
            <w:r>
              <w:rPr>
                <w:color w:val="000000"/>
                <w:kern w:val="0"/>
                <w:sz w:val="21"/>
                <w:szCs w:val="21"/>
                <w:lang w:bidi="ar"/>
              </w:rPr>
              <w:br w:type="textWrapping"/>
            </w:r>
            <w:r>
              <w:rPr>
                <w:color w:val="000000"/>
                <w:kern w:val="0"/>
                <w:sz w:val="21"/>
                <w:szCs w:val="21"/>
                <w:lang w:bidi="ar"/>
              </w:rPr>
              <w:t>燃油费</w:t>
            </w:r>
            <w:r>
              <w:rPr>
                <w:color w:val="000000"/>
                <w:kern w:val="0"/>
                <w:sz w:val="21"/>
                <w:szCs w:val="21"/>
                <w:lang w:bidi="ar"/>
              </w:rPr>
              <w:br w:type="textWrapping"/>
            </w:r>
            <w:r>
              <w:rPr>
                <w:color w:val="000000"/>
                <w:kern w:val="0"/>
                <w:sz w:val="21"/>
                <w:szCs w:val="21"/>
                <w:lang w:bidi="ar"/>
              </w:rPr>
              <w:t>小计</w:t>
            </w:r>
          </w:p>
        </w:tc>
        <w:tc>
          <w:tcPr>
            <w:tcW w:w="1548"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汽油</w:t>
            </w:r>
            <w:r>
              <w:rPr>
                <w:color w:val="000000"/>
                <w:kern w:val="0"/>
                <w:sz w:val="21"/>
                <w:szCs w:val="21"/>
                <w:lang w:bidi="ar"/>
              </w:rPr>
              <w:br w:type="textWrapping"/>
            </w:r>
            <w:r>
              <w:rPr>
                <w:color w:val="000000"/>
                <w:kern w:val="0"/>
                <w:sz w:val="21"/>
                <w:szCs w:val="21"/>
                <w:lang w:bidi="ar"/>
              </w:rPr>
              <w:t>(元/kg)</w:t>
            </w:r>
          </w:p>
        </w:tc>
        <w:tc>
          <w:tcPr>
            <w:tcW w:w="1678"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柴油</w:t>
            </w:r>
            <w:r>
              <w:rPr>
                <w:color w:val="000000"/>
                <w:kern w:val="0"/>
                <w:sz w:val="21"/>
                <w:szCs w:val="21"/>
                <w:lang w:bidi="ar"/>
              </w:rPr>
              <w:br w:type="textWrapping"/>
            </w:r>
            <w:r>
              <w:rPr>
                <w:color w:val="000000"/>
                <w:kern w:val="0"/>
                <w:sz w:val="21"/>
                <w:szCs w:val="21"/>
                <w:lang w:bidi="ar"/>
              </w:rPr>
              <w:t>(元/kg)</w:t>
            </w:r>
          </w:p>
        </w:tc>
        <w:tc>
          <w:tcPr>
            <w:tcW w:w="1605"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电</w:t>
            </w:r>
            <w:r>
              <w:rPr>
                <w:color w:val="000000"/>
                <w:kern w:val="0"/>
                <w:sz w:val="21"/>
                <w:szCs w:val="21"/>
                <w:lang w:bidi="ar"/>
              </w:rPr>
              <w:br w:type="textWrapping"/>
            </w:r>
            <w:r>
              <w:rPr>
                <w:color w:val="000000"/>
                <w:kern w:val="0"/>
                <w:sz w:val="21"/>
                <w:szCs w:val="21"/>
                <w:lang w:bidi="ar"/>
              </w:rPr>
              <w:t>(元/kw.h)</w:t>
            </w:r>
          </w:p>
        </w:tc>
        <w:tc>
          <w:tcPr>
            <w:tcW w:w="749"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水</w:t>
            </w:r>
            <w:r>
              <w:rPr>
                <w:color w:val="000000"/>
                <w:kern w:val="0"/>
                <w:sz w:val="21"/>
                <w:szCs w:val="21"/>
                <w:lang w:bidi="ar"/>
              </w:rPr>
              <w:br w:type="textWrapping"/>
            </w:r>
            <w:r>
              <w:rPr>
                <w:color w:val="000000"/>
                <w:kern w:val="0"/>
                <w:sz w:val="21"/>
                <w:szCs w:val="21"/>
                <w:lang w:bidi="ar"/>
              </w:rPr>
              <w:t>(元/m3)</w:t>
            </w:r>
          </w:p>
        </w:tc>
        <w:tc>
          <w:tcPr>
            <w:tcW w:w="1562" w:type="dxa"/>
            <w:gridSpan w:val="2"/>
            <w:noWrap w:val="0"/>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风</w:t>
            </w:r>
            <w:r>
              <w:rPr>
                <w:color w:val="000000"/>
                <w:kern w:val="0"/>
                <w:sz w:val="21"/>
                <w:szCs w:val="21"/>
                <w:lang w:bidi="ar"/>
              </w:rPr>
              <w:br w:type="textWrapping"/>
            </w:r>
            <w:r>
              <w:rPr>
                <w:color w:val="000000"/>
                <w:kern w:val="0"/>
                <w:sz w:val="21"/>
                <w:szCs w:val="21"/>
                <w:lang w:bidi="ar"/>
              </w:rPr>
              <w:t>(元/m3)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vMerge w:val="continue"/>
            <w:noWrap w:val="0"/>
            <w:vAlign w:val="center"/>
          </w:tcPr>
          <w:p>
            <w:pPr>
              <w:widowControl/>
              <w:spacing w:line="240" w:lineRule="auto"/>
              <w:ind w:firstLine="0" w:firstLineChars="0"/>
              <w:jc w:val="center"/>
              <w:rPr>
                <w:color w:val="000000"/>
                <w:sz w:val="21"/>
                <w:szCs w:val="21"/>
              </w:rPr>
            </w:pPr>
          </w:p>
        </w:tc>
        <w:tc>
          <w:tcPr>
            <w:tcW w:w="1688" w:type="dxa"/>
            <w:vMerge w:val="continue"/>
            <w:noWrap w:val="0"/>
            <w:vAlign w:val="center"/>
          </w:tcPr>
          <w:p>
            <w:pPr>
              <w:widowControl/>
              <w:spacing w:line="240" w:lineRule="auto"/>
              <w:ind w:firstLine="0" w:firstLineChars="0"/>
              <w:jc w:val="center"/>
              <w:rPr>
                <w:color w:val="000000"/>
                <w:sz w:val="21"/>
                <w:szCs w:val="21"/>
              </w:rPr>
            </w:pPr>
          </w:p>
        </w:tc>
        <w:tc>
          <w:tcPr>
            <w:tcW w:w="800" w:type="dxa"/>
            <w:vMerge w:val="continue"/>
            <w:noWrap/>
            <w:vAlign w:val="center"/>
          </w:tcPr>
          <w:p>
            <w:pPr>
              <w:widowControl/>
              <w:spacing w:line="240" w:lineRule="auto"/>
              <w:ind w:firstLine="0" w:firstLineChars="0"/>
              <w:jc w:val="center"/>
              <w:rPr>
                <w:color w:val="000000"/>
                <w:sz w:val="21"/>
                <w:szCs w:val="21"/>
              </w:rPr>
            </w:pPr>
          </w:p>
        </w:tc>
        <w:tc>
          <w:tcPr>
            <w:tcW w:w="837" w:type="dxa"/>
            <w:vMerge w:val="continue"/>
            <w:noWrap w:val="0"/>
            <w:vAlign w:val="center"/>
          </w:tcPr>
          <w:p>
            <w:pPr>
              <w:widowControl/>
              <w:spacing w:line="240" w:lineRule="auto"/>
              <w:ind w:firstLine="0" w:firstLineChars="0"/>
              <w:jc w:val="center"/>
              <w:rPr>
                <w:color w:val="000000"/>
                <w:sz w:val="21"/>
                <w:szCs w:val="21"/>
              </w:rPr>
            </w:pPr>
          </w:p>
        </w:tc>
        <w:tc>
          <w:tcPr>
            <w:tcW w:w="863" w:type="dxa"/>
            <w:vMerge w:val="continue"/>
            <w:noWrap w:val="0"/>
            <w:vAlign w:val="center"/>
          </w:tcPr>
          <w:p>
            <w:pPr>
              <w:widowControl/>
              <w:spacing w:line="240" w:lineRule="auto"/>
              <w:ind w:firstLine="0" w:firstLineChars="0"/>
              <w:jc w:val="center"/>
              <w:rPr>
                <w:color w:val="000000"/>
                <w:sz w:val="21"/>
                <w:szCs w:val="21"/>
              </w:rPr>
            </w:pP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工日</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w:t>
            </w:r>
          </w:p>
        </w:tc>
        <w:tc>
          <w:tcPr>
            <w:tcW w:w="799" w:type="dxa"/>
            <w:vMerge w:val="continue"/>
            <w:noWrap w:val="0"/>
            <w:vAlign w:val="center"/>
          </w:tcPr>
          <w:p>
            <w:pPr>
              <w:widowControl/>
              <w:spacing w:line="240" w:lineRule="auto"/>
              <w:ind w:firstLine="0" w:firstLineChars="0"/>
              <w:jc w:val="center"/>
              <w:rPr>
                <w:color w:val="000000"/>
                <w:sz w:val="21"/>
                <w:szCs w:val="21"/>
              </w:rPr>
            </w:pPr>
          </w:p>
        </w:tc>
        <w:tc>
          <w:tcPr>
            <w:tcW w:w="73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8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w:t>
            </w:r>
          </w:p>
        </w:tc>
        <w:tc>
          <w:tcPr>
            <w:tcW w:w="8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w:t>
            </w:r>
          </w:p>
        </w:tc>
        <w:tc>
          <w:tcPr>
            <w:tcW w:w="79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8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w:t>
            </w:r>
          </w:p>
        </w:tc>
        <w:tc>
          <w:tcPr>
            <w:tcW w:w="38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366"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w:t>
            </w:r>
          </w:p>
        </w:tc>
        <w:tc>
          <w:tcPr>
            <w:tcW w:w="8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数量</w:t>
            </w:r>
          </w:p>
        </w:tc>
        <w:tc>
          <w:tcPr>
            <w:tcW w:w="71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金额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1011</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装载机 斗容3.0～3.3m3</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971.41</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375.01</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596.40</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101.40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495.00</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110.00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495.00</w:t>
            </w:r>
          </w:p>
        </w:tc>
        <w:tc>
          <w:tcPr>
            <w:tcW w:w="794" w:type="dxa"/>
            <w:noWrap/>
            <w:vAlign w:val="center"/>
          </w:tcPr>
          <w:p>
            <w:pPr>
              <w:widowControl/>
              <w:spacing w:line="240" w:lineRule="auto"/>
              <w:ind w:firstLine="0" w:firstLineChars="0"/>
              <w:jc w:val="center"/>
              <w:rPr>
                <w:color w:val="000000"/>
                <w:sz w:val="21"/>
                <w:szCs w:val="21"/>
              </w:rPr>
            </w:pPr>
          </w:p>
        </w:tc>
        <w:tc>
          <w:tcPr>
            <w:tcW w:w="811" w:type="dxa"/>
            <w:noWrap/>
            <w:vAlign w:val="center"/>
          </w:tcPr>
          <w:p>
            <w:pPr>
              <w:widowControl/>
              <w:spacing w:line="240" w:lineRule="auto"/>
              <w:ind w:firstLine="0" w:firstLineChars="0"/>
              <w:jc w:val="center"/>
              <w:rPr>
                <w:color w:val="000000"/>
                <w:sz w:val="21"/>
                <w:szCs w:val="21"/>
              </w:rPr>
            </w:pP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1015</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推土机 功率88kw</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665.54</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267.14</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398.40</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101.40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297.00</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66.00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297.00</w:t>
            </w:r>
          </w:p>
        </w:tc>
        <w:tc>
          <w:tcPr>
            <w:tcW w:w="794" w:type="dxa"/>
            <w:noWrap/>
            <w:vAlign w:val="center"/>
          </w:tcPr>
          <w:p>
            <w:pPr>
              <w:widowControl/>
              <w:spacing w:line="240" w:lineRule="auto"/>
              <w:ind w:firstLine="0" w:firstLineChars="0"/>
              <w:jc w:val="center"/>
              <w:rPr>
                <w:color w:val="000000"/>
                <w:sz w:val="21"/>
                <w:szCs w:val="21"/>
              </w:rPr>
            </w:pPr>
          </w:p>
        </w:tc>
        <w:tc>
          <w:tcPr>
            <w:tcW w:w="811" w:type="dxa"/>
            <w:noWrap/>
            <w:vAlign w:val="center"/>
          </w:tcPr>
          <w:p>
            <w:pPr>
              <w:widowControl/>
              <w:spacing w:line="240" w:lineRule="auto"/>
              <w:ind w:firstLine="0" w:firstLineChars="0"/>
              <w:jc w:val="center"/>
              <w:rPr>
                <w:color w:val="000000"/>
                <w:sz w:val="21"/>
                <w:szCs w:val="21"/>
              </w:rPr>
            </w:pP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4012</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自卸汽车 柴油型 载重量8t</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498.58</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185.68</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312.90</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101.40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211.50</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47.00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211.50</w:t>
            </w:r>
          </w:p>
        </w:tc>
        <w:tc>
          <w:tcPr>
            <w:tcW w:w="794" w:type="dxa"/>
            <w:noWrap/>
            <w:vAlign w:val="center"/>
          </w:tcPr>
          <w:p>
            <w:pPr>
              <w:widowControl/>
              <w:spacing w:line="240" w:lineRule="auto"/>
              <w:ind w:firstLine="0" w:firstLineChars="0"/>
              <w:jc w:val="center"/>
              <w:rPr>
                <w:color w:val="000000"/>
                <w:sz w:val="21"/>
                <w:szCs w:val="21"/>
              </w:rPr>
            </w:pPr>
          </w:p>
        </w:tc>
        <w:tc>
          <w:tcPr>
            <w:tcW w:w="811" w:type="dxa"/>
            <w:noWrap/>
            <w:vAlign w:val="center"/>
          </w:tcPr>
          <w:p>
            <w:pPr>
              <w:widowControl/>
              <w:spacing w:line="240" w:lineRule="auto"/>
              <w:ind w:firstLine="0" w:firstLineChars="0"/>
              <w:jc w:val="center"/>
              <w:rPr>
                <w:color w:val="000000"/>
                <w:sz w:val="21"/>
                <w:szCs w:val="21"/>
              </w:rPr>
            </w:pP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1014</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推土机 功率74kw</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536.60</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187.70</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348.90</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101.40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247.50</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55.00</w:t>
            </w:r>
          </w:p>
        </w:tc>
        <w:tc>
          <w:tcPr>
            <w:tcW w:w="85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247.50</w:t>
            </w:r>
          </w:p>
        </w:tc>
        <w:tc>
          <w:tcPr>
            <w:tcW w:w="794" w:type="dxa"/>
            <w:noWrap/>
            <w:vAlign w:val="center"/>
          </w:tcPr>
          <w:p>
            <w:pPr>
              <w:widowControl/>
              <w:spacing w:line="240" w:lineRule="auto"/>
              <w:ind w:firstLine="0" w:firstLineChars="0"/>
              <w:jc w:val="center"/>
              <w:rPr>
                <w:color w:val="000000"/>
                <w:sz w:val="21"/>
                <w:szCs w:val="21"/>
              </w:rPr>
            </w:pPr>
          </w:p>
        </w:tc>
        <w:tc>
          <w:tcPr>
            <w:tcW w:w="811" w:type="dxa"/>
            <w:noWrap/>
            <w:vAlign w:val="center"/>
          </w:tcPr>
          <w:p>
            <w:pPr>
              <w:widowControl/>
              <w:spacing w:line="240" w:lineRule="auto"/>
              <w:ind w:firstLine="0" w:firstLineChars="0"/>
              <w:jc w:val="center"/>
              <w:rPr>
                <w:color w:val="000000"/>
                <w:sz w:val="21"/>
                <w:szCs w:val="21"/>
              </w:rPr>
            </w:pP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6001</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电动空气压缩机 移动式3m3/min</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151.31</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26.45</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124.86</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50.70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74.16</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rPr>
                <w:color w:val="000000"/>
                <w:sz w:val="21"/>
                <w:szCs w:val="21"/>
              </w:rPr>
            </w:pPr>
          </w:p>
        </w:tc>
        <w:tc>
          <w:tcPr>
            <w:tcW w:w="853" w:type="dxa"/>
            <w:noWrap/>
            <w:vAlign w:val="center"/>
          </w:tcPr>
          <w:p>
            <w:pPr>
              <w:widowControl/>
              <w:spacing w:line="240" w:lineRule="auto"/>
              <w:ind w:firstLine="0" w:firstLineChars="0"/>
              <w:jc w:val="center"/>
              <w:rPr>
                <w:color w:val="000000"/>
                <w:sz w:val="21"/>
                <w:szCs w:val="21"/>
              </w:rPr>
            </w:pPr>
          </w:p>
        </w:tc>
        <w:tc>
          <w:tcPr>
            <w:tcW w:w="79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103.00</w:t>
            </w:r>
          </w:p>
        </w:tc>
        <w:tc>
          <w:tcPr>
            <w:tcW w:w="8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74.16</w:t>
            </w: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1052</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手持式风镐</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35.86</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3.86</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32.00</w:t>
            </w:r>
          </w:p>
        </w:tc>
        <w:tc>
          <w:tcPr>
            <w:tcW w:w="587" w:type="dxa"/>
            <w:noWrap/>
            <w:vAlign w:val="center"/>
          </w:tcPr>
          <w:p>
            <w:pPr>
              <w:widowControl/>
              <w:spacing w:line="240" w:lineRule="auto"/>
              <w:ind w:firstLine="0" w:firstLineChars="0"/>
              <w:jc w:val="center"/>
              <w:rPr>
                <w:color w:val="000000"/>
                <w:sz w:val="21"/>
                <w:szCs w:val="21"/>
              </w:rPr>
            </w:pPr>
          </w:p>
        </w:tc>
        <w:tc>
          <w:tcPr>
            <w:tcW w:w="799" w:type="dxa"/>
            <w:noWrap/>
            <w:vAlign w:val="center"/>
          </w:tcPr>
          <w:p>
            <w:pPr>
              <w:widowControl/>
              <w:spacing w:line="240" w:lineRule="auto"/>
              <w:ind w:firstLine="0" w:firstLineChars="0"/>
              <w:jc w:val="center"/>
              <w:rPr>
                <w:color w:val="000000"/>
                <w:sz w:val="21"/>
                <w:szCs w:val="21"/>
              </w:rPr>
            </w:pP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32.00</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rPr>
                <w:color w:val="000000"/>
                <w:sz w:val="21"/>
                <w:szCs w:val="21"/>
              </w:rPr>
            </w:pPr>
          </w:p>
        </w:tc>
        <w:tc>
          <w:tcPr>
            <w:tcW w:w="853" w:type="dxa"/>
            <w:noWrap/>
            <w:vAlign w:val="center"/>
          </w:tcPr>
          <w:p>
            <w:pPr>
              <w:widowControl/>
              <w:spacing w:line="240" w:lineRule="auto"/>
              <w:ind w:firstLine="0" w:firstLineChars="0"/>
              <w:jc w:val="center"/>
              <w:rPr>
                <w:color w:val="000000"/>
                <w:sz w:val="21"/>
                <w:szCs w:val="21"/>
              </w:rPr>
            </w:pPr>
          </w:p>
        </w:tc>
        <w:tc>
          <w:tcPr>
            <w:tcW w:w="794" w:type="dxa"/>
            <w:noWrap/>
            <w:vAlign w:val="center"/>
          </w:tcPr>
          <w:p>
            <w:pPr>
              <w:widowControl/>
              <w:spacing w:line="240" w:lineRule="auto"/>
              <w:ind w:firstLine="0" w:firstLineChars="0"/>
              <w:jc w:val="center"/>
              <w:rPr>
                <w:color w:val="000000"/>
                <w:sz w:val="21"/>
                <w:szCs w:val="21"/>
              </w:rPr>
            </w:pPr>
          </w:p>
        </w:tc>
        <w:tc>
          <w:tcPr>
            <w:tcW w:w="811" w:type="dxa"/>
            <w:noWrap/>
            <w:vAlign w:val="center"/>
          </w:tcPr>
          <w:p>
            <w:pPr>
              <w:widowControl/>
              <w:spacing w:line="240" w:lineRule="auto"/>
              <w:ind w:firstLine="0" w:firstLineChars="0"/>
              <w:jc w:val="center"/>
              <w:rPr>
                <w:color w:val="000000"/>
                <w:sz w:val="21"/>
                <w:szCs w:val="21"/>
              </w:rPr>
            </w:pP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320.00</w:t>
            </w:r>
          </w:p>
        </w:tc>
        <w:tc>
          <w:tcPr>
            <w:tcW w:w="712"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1001</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单斗挖掘机 电动 斗容2m3</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893.55</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478.95</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414.60</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2.00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101.40</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313.20</w:t>
            </w:r>
          </w:p>
        </w:tc>
        <w:tc>
          <w:tcPr>
            <w:tcW w:w="734" w:type="dxa"/>
            <w:noWrap/>
            <w:vAlign w:val="center"/>
          </w:tcPr>
          <w:p>
            <w:pPr>
              <w:widowControl/>
              <w:spacing w:line="240" w:lineRule="auto"/>
              <w:ind w:firstLine="0" w:firstLineChars="0"/>
              <w:jc w:val="center"/>
              <w:rPr>
                <w:color w:val="000000"/>
                <w:sz w:val="21"/>
                <w:szCs w:val="21"/>
              </w:rPr>
            </w:pPr>
          </w:p>
        </w:tc>
        <w:tc>
          <w:tcPr>
            <w:tcW w:w="814" w:type="dxa"/>
            <w:noWrap/>
            <w:vAlign w:val="center"/>
          </w:tcPr>
          <w:p>
            <w:pPr>
              <w:widowControl/>
              <w:spacing w:line="240" w:lineRule="auto"/>
              <w:ind w:firstLine="0" w:firstLineChars="0"/>
              <w:jc w:val="center"/>
              <w:rPr>
                <w:color w:val="000000"/>
                <w:sz w:val="21"/>
                <w:szCs w:val="21"/>
              </w:rPr>
            </w:pPr>
          </w:p>
        </w:tc>
        <w:tc>
          <w:tcPr>
            <w:tcW w:w="825" w:type="dxa"/>
            <w:noWrap/>
            <w:vAlign w:val="center"/>
          </w:tcPr>
          <w:p>
            <w:pPr>
              <w:widowControl/>
              <w:spacing w:line="240" w:lineRule="auto"/>
              <w:ind w:firstLine="0" w:firstLineChars="0"/>
              <w:jc w:val="center"/>
              <w:rPr>
                <w:color w:val="000000"/>
                <w:sz w:val="21"/>
                <w:szCs w:val="21"/>
              </w:rPr>
            </w:pPr>
          </w:p>
        </w:tc>
        <w:tc>
          <w:tcPr>
            <w:tcW w:w="853" w:type="dxa"/>
            <w:noWrap/>
            <w:vAlign w:val="center"/>
          </w:tcPr>
          <w:p>
            <w:pPr>
              <w:widowControl/>
              <w:spacing w:line="240" w:lineRule="auto"/>
              <w:ind w:firstLine="0" w:firstLineChars="0"/>
              <w:jc w:val="center"/>
              <w:rPr>
                <w:color w:val="000000"/>
                <w:sz w:val="21"/>
                <w:szCs w:val="21"/>
              </w:rPr>
            </w:pPr>
          </w:p>
        </w:tc>
        <w:tc>
          <w:tcPr>
            <w:tcW w:w="79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435.00</w:t>
            </w:r>
          </w:p>
        </w:tc>
        <w:tc>
          <w:tcPr>
            <w:tcW w:w="811"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313.20</w:t>
            </w: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5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4010</w:t>
            </w:r>
          </w:p>
        </w:tc>
        <w:tc>
          <w:tcPr>
            <w:tcW w:w="1688"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自卸汽车 汽油型 载重量3.5t</w:t>
            </w:r>
          </w:p>
        </w:tc>
        <w:tc>
          <w:tcPr>
            <w:tcW w:w="800"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323.91</w:t>
            </w:r>
          </w:p>
        </w:tc>
        <w:tc>
          <w:tcPr>
            <w:tcW w:w="83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76.48</w:t>
            </w:r>
          </w:p>
        </w:tc>
        <w:tc>
          <w:tcPr>
            <w:tcW w:w="863"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247.43</w:t>
            </w:r>
          </w:p>
        </w:tc>
        <w:tc>
          <w:tcPr>
            <w:tcW w:w="587"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1.33</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67.43</w:t>
            </w:r>
          </w:p>
        </w:tc>
        <w:tc>
          <w:tcPr>
            <w:tcW w:w="799"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180.00</w:t>
            </w:r>
          </w:p>
        </w:tc>
        <w:tc>
          <w:tcPr>
            <w:tcW w:w="73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36.00</w:t>
            </w:r>
          </w:p>
        </w:tc>
        <w:tc>
          <w:tcPr>
            <w:tcW w:w="814" w:type="dxa"/>
            <w:noWrap/>
            <w:vAlign w:val="center"/>
          </w:tcPr>
          <w:p>
            <w:pPr>
              <w:widowControl/>
              <w:spacing w:line="240" w:lineRule="auto"/>
              <w:ind w:firstLine="0" w:firstLineChars="0"/>
              <w:jc w:val="center"/>
              <w:textAlignment w:val="center"/>
              <w:rPr>
                <w:color w:val="000000"/>
                <w:sz w:val="21"/>
                <w:szCs w:val="21"/>
              </w:rPr>
            </w:pPr>
            <w:r>
              <w:rPr>
                <w:color w:val="000000"/>
                <w:kern w:val="0"/>
                <w:sz w:val="21"/>
                <w:szCs w:val="21"/>
                <w:lang w:bidi="ar"/>
              </w:rPr>
              <w:t>180.00</w:t>
            </w:r>
          </w:p>
        </w:tc>
        <w:tc>
          <w:tcPr>
            <w:tcW w:w="825" w:type="dxa"/>
            <w:noWrap/>
            <w:vAlign w:val="center"/>
          </w:tcPr>
          <w:p>
            <w:pPr>
              <w:widowControl/>
              <w:spacing w:line="240" w:lineRule="auto"/>
              <w:ind w:firstLine="0" w:firstLineChars="0"/>
              <w:jc w:val="center"/>
              <w:rPr>
                <w:color w:val="000000"/>
                <w:sz w:val="21"/>
                <w:szCs w:val="21"/>
              </w:rPr>
            </w:pPr>
          </w:p>
        </w:tc>
        <w:tc>
          <w:tcPr>
            <w:tcW w:w="853" w:type="dxa"/>
            <w:noWrap/>
            <w:vAlign w:val="center"/>
          </w:tcPr>
          <w:p>
            <w:pPr>
              <w:widowControl/>
              <w:spacing w:line="240" w:lineRule="auto"/>
              <w:ind w:firstLine="0" w:firstLineChars="0"/>
              <w:jc w:val="center"/>
              <w:rPr>
                <w:color w:val="000000"/>
                <w:sz w:val="21"/>
                <w:szCs w:val="21"/>
              </w:rPr>
            </w:pPr>
          </w:p>
        </w:tc>
        <w:tc>
          <w:tcPr>
            <w:tcW w:w="794" w:type="dxa"/>
            <w:noWrap/>
            <w:vAlign w:val="center"/>
          </w:tcPr>
          <w:p>
            <w:pPr>
              <w:widowControl/>
              <w:spacing w:line="240" w:lineRule="auto"/>
              <w:ind w:firstLine="0" w:firstLineChars="0"/>
              <w:jc w:val="center"/>
              <w:rPr>
                <w:color w:val="000000"/>
                <w:sz w:val="21"/>
                <w:szCs w:val="21"/>
              </w:rPr>
            </w:pPr>
          </w:p>
        </w:tc>
        <w:tc>
          <w:tcPr>
            <w:tcW w:w="811" w:type="dxa"/>
            <w:noWrap/>
            <w:vAlign w:val="center"/>
          </w:tcPr>
          <w:p>
            <w:pPr>
              <w:widowControl/>
              <w:spacing w:line="240" w:lineRule="auto"/>
              <w:ind w:firstLine="0" w:firstLineChars="0"/>
              <w:jc w:val="center"/>
              <w:rPr>
                <w:color w:val="000000"/>
                <w:sz w:val="21"/>
                <w:szCs w:val="21"/>
              </w:rPr>
            </w:pPr>
          </w:p>
        </w:tc>
        <w:tc>
          <w:tcPr>
            <w:tcW w:w="383" w:type="dxa"/>
            <w:noWrap/>
            <w:vAlign w:val="center"/>
          </w:tcPr>
          <w:p>
            <w:pPr>
              <w:widowControl/>
              <w:spacing w:line="240" w:lineRule="auto"/>
              <w:ind w:firstLine="0" w:firstLineChars="0"/>
              <w:jc w:val="center"/>
              <w:rPr>
                <w:color w:val="000000"/>
                <w:sz w:val="21"/>
                <w:szCs w:val="21"/>
              </w:rPr>
            </w:pPr>
          </w:p>
        </w:tc>
        <w:tc>
          <w:tcPr>
            <w:tcW w:w="366" w:type="dxa"/>
            <w:noWrap/>
            <w:vAlign w:val="center"/>
          </w:tcPr>
          <w:p>
            <w:pPr>
              <w:widowControl/>
              <w:spacing w:line="240" w:lineRule="auto"/>
              <w:ind w:firstLine="0" w:firstLineChars="0"/>
              <w:jc w:val="center"/>
              <w:rPr>
                <w:color w:val="000000"/>
                <w:sz w:val="21"/>
                <w:szCs w:val="21"/>
              </w:rPr>
            </w:pPr>
          </w:p>
        </w:tc>
        <w:tc>
          <w:tcPr>
            <w:tcW w:w="850" w:type="dxa"/>
            <w:noWrap/>
            <w:vAlign w:val="center"/>
          </w:tcPr>
          <w:p>
            <w:pPr>
              <w:widowControl/>
              <w:spacing w:line="240" w:lineRule="auto"/>
              <w:ind w:firstLine="0" w:firstLineChars="0"/>
              <w:jc w:val="center"/>
              <w:rPr>
                <w:color w:val="000000"/>
                <w:sz w:val="21"/>
                <w:szCs w:val="21"/>
              </w:rPr>
            </w:pPr>
          </w:p>
        </w:tc>
        <w:tc>
          <w:tcPr>
            <w:tcW w:w="712" w:type="dxa"/>
            <w:noWrap/>
            <w:vAlign w:val="center"/>
          </w:tcPr>
          <w:p>
            <w:pPr>
              <w:widowControl/>
              <w:spacing w:line="240" w:lineRule="auto"/>
              <w:ind w:firstLine="0" w:firstLineChars="0"/>
              <w:jc w:val="center"/>
              <w:rPr>
                <w:color w:val="000000"/>
                <w:sz w:val="21"/>
                <w:szCs w:val="21"/>
              </w:rPr>
            </w:pPr>
          </w:p>
        </w:tc>
      </w:tr>
    </w:tbl>
    <w:p>
      <w:pPr>
        <w:pStyle w:val="2"/>
        <w:ind w:firstLine="0" w:firstLineChars="0"/>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ABA42FC-159D-434F-B0D4-139DAA30A1F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850BE0A-C8E2-41DF-85C7-DC3AA2DF8640}"/>
  </w:font>
  <w:font w:name="仿宋_GB2312">
    <w:panose1 w:val="02010609030101010101"/>
    <w:charset w:val="86"/>
    <w:family w:val="modern"/>
    <w:pitch w:val="default"/>
    <w:sig w:usb0="00000001" w:usb1="080E0000" w:usb2="00000000" w:usb3="00000000" w:csb0="00040000" w:csb1="00000000"/>
    <w:embedRegular r:id="rId3" w:fontKey="{91CA59DF-C9C4-4E5D-86CF-07102C3C7CCB}"/>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等线">
    <w:panose1 w:val="02010600030101010101"/>
    <w:charset w:val="86"/>
    <w:family w:val="auto"/>
    <w:pitch w:val="default"/>
    <w:sig w:usb0="00000000" w:usb1="00000000" w:usb2="00000000" w:usb3="00000000" w:csb0="00000000" w:csb1="00000000"/>
    <w:embedRegular r:id="rId4" w:fontKey="{B7C337F1-F520-4681-B4F2-273DC741194A}"/>
  </w:font>
  <w:font w:name="Microsoft YaHei UI">
    <w:altName w:val="宋体"/>
    <w:panose1 w:val="020B0503020204020204"/>
    <w:charset w:val="86"/>
    <w:family w:val="swiss"/>
    <w:pitch w:val="default"/>
    <w:sig w:usb0="00000000" w:usb1="00000000" w:usb2="00000016" w:usb3="00000000" w:csb0="0004001F" w:csb1="00000000"/>
  </w:font>
  <w:font w:name="书体坊雪纯体3500">
    <w:panose1 w:val="02010601030101010101"/>
    <w:charset w:val="86"/>
    <w:family w:val="auto"/>
    <w:pitch w:val="default"/>
    <w:sig w:usb0="00000000" w:usb1="00000000" w:usb2="00000000" w:usb3="00000000" w:csb0="00000000" w:csb1="00000000"/>
    <w:embedRegular r:id="rId5" w:fontKey="{FF62F053-A561-4A51-8325-E23B1452C09D}"/>
  </w:font>
  <w:font w:name="书体坊赵九江钢笔楷书">
    <w:panose1 w:val="03000509000000000000"/>
    <w:charset w:val="86"/>
    <w:family w:val="auto"/>
    <w:pitch w:val="default"/>
    <w:sig w:usb0="00000000" w:usb1="00000000" w:usb2="00000000" w:usb3="00000000" w:csb0="00000000" w:csb1="00000000"/>
    <w:embedRegular r:id="rId6" w:fontKey="{3051C7E8-EF90-4449-9D16-F58676F51270}"/>
  </w:font>
  <w:font w:name="书体坊兰亭体">
    <w:panose1 w:val="03000509000000000000"/>
    <w:charset w:val="86"/>
    <w:family w:val="auto"/>
    <w:pitch w:val="default"/>
    <w:sig w:usb0="00000000" w:usb1="00000000" w:usb2="00000000" w:usb3="00000000" w:csb0="00000000" w:csb1="00000000"/>
    <w:embedRegular r:id="rId7" w:fontKey="{93ED29BE-184B-4FF1-8552-48B26E259C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ind w:firstLine="360"/>
      <w:rPr>
        <w:rStyle w:val="28"/>
      </w:rPr>
    </w:pPr>
    <w:r>
      <w:fldChar w:fldCharType="begin"/>
    </w:r>
    <w:r>
      <w:rPr>
        <w:rStyle w:val="28"/>
      </w:rPr>
      <w:instrText xml:space="preserve">PAGE  </w:instrText>
    </w:r>
    <w:r>
      <w:fldChar w:fldCharType="separate"/>
    </w:r>
    <w:r>
      <w:rPr>
        <w:rStyle w:val="28"/>
      </w:rPr>
      <w:t>26</w:t>
    </w:r>
    <w:r>
      <w:fldChar w:fldCharType="end"/>
    </w:r>
  </w:p>
  <w:p>
    <w:pPr>
      <w:ind w:firstLine="48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fldChar w:fldCharType="begin"/>
    </w:r>
    <w:r>
      <w:instrText xml:space="preserve"> PAGE   \* MERGEFORMAT </w:instrText>
    </w:r>
    <w:r>
      <w:fldChar w:fldCharType="separate"/>
    </w:r>
    <w:r>
      <w:rPr>
        <w:lang w:val="zh-CN"/>
      </w:rPr>
      <w:t>27</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fldChar w:fldCharType="begin"/>
    </w:r>
    <w:r>
      <w:instrText xml:space="preserve"> PAGE   \* MERGEFORMAT </w:instrText>
    </w:r>
    <w:r>
      <w:fldChar w:fldCharType="separate"/>
    </w:r>
    <w:r>
      <w:rPr>
        <w:lang w:val="zh-CN"/>
      </w:rPr>
      <w:t>71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ind w:firstLine="360"/>
      <w:rPr>
        <w:rStyle w:val="28"/>
      </w:rPr>
    </w:pPr>
    <w:r>
      <w:fldChar w:fldCharType="begin"/>
    </w:r>
    <w:r>
      <w:rPr>
        <w:rStyle w:val="28"/>
      </w:rPr>
      <w:instrText xml:space="preserve">PAGE  </w:instrText>
    </w:r>
    <w:r>
      <w:fldChar w:fldCharType="end"/>
    </w:r>
  </w:p>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ind w:firstLine="360"/>
      <w:rPr>
        <w:rStyle w:val="28"/>
      </w:rPr>
    </w:pPr>
    <w:r>
      <w:fldChar w:fldCharType="begin"/>
    </w:r>
    <w:r>
      <w:rPr>
        <w:rStyle w:val="28"/>
      </w:rPr>
      <w:instrText xml:space="preserve">PAGE  </w:instrText>
    </w:r>
    <w:r>
      <w:fldChar w:fldCharType="end"/>
    </w:r>
  </w:p>
  <w:p>
    <w:pPr>
      <w:pStyle w:val="1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fldChar w:fldCharType="begin"/>
    </w:r>
    <w:r>
      <w:instrText xml:space="preserve"> PAGE   \* MERGEFORMAT </w:instrText>
    </w:r>
    <w:r>
      <w:fldChar w:fldCharType="separate"/>
    </w:r>
    <w:r>
      <w:rPr>
        <w:lang w:val="zh-CN"/>
      </w:rPr>
      <w:t>VI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fldChar w:fldCharType="begin"/>
    </w:r>
    <w:r>
      <w:instrText xml:space="preserve"> PAGE   \* MERGEFORMAT </w:instrText>
    </w:r>
    <w:r>
      <w:fldChar w:fldCharType="separate"/>
    </w:r>
    <w:r>
      <w:rPr>
        <w:lang w:val="zh-CN"/>
      </w:rPr>
      <w:t>18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4"/>
        <w:szCs w:val="24"/>
      </w:rPr>
    </w:lvl>
    <w:lvl w:ilvl="1" w:tentative="0">
      <w:start w:val="1"/>
      <w:numFmt w:val="decimal"/>
      <w:pStyle w:val="36"/>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color w:val="auto"/>
        <w:spacing w:val="0"/>
        <w:kern w:val="0"/>
        <w:position w:val="0"/>
        <w:sz w:val="24"/>
        <w:szCs w:val="24"/>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4"/>
        <w:szCs w:val="24"/>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TrueTypeFonts/>
  <w:saveSubsetFonts/>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5N2QwNmMzYzE3NjE5NGM1OTJmNDA1MDU3NjM4YTMifQ=="/>
  </w:docVars>
  <w:rsids>
    <w:rsidRoot w:val="00544B85"/>
    <w:rsid w:val="00000234"/>
    <w:rsid w:val="00000800"/>
    <w:rsid w:val="0000083D"/>
    <w:rsid w:val="00001033"/>
    <w:rsid w:val="00001242"/>
    <w:rsid w:val="000027B8"/>
    <w:rsid w:val="00002E63"/>
    <w:rsid w:val="000038CE"/>
    <w:rsid w:val="00003C1E"/>
    <w:rsid w:val="00004751"/>
    <w:rsid w:val="00004B3F"/>
    <w:rsid w:val="00004CDE"/>
    <w:rsid w:val="0000538B"/>
    <w:rsid w:val="00005919"/>
    <w:rsid w:val="000059E6"/>
    <w:rsid w:val="00005FF5"/>
    <w:rsid w:val="000067AB"/>
    <w:rsid w:val="00006EDF"/>
    <w:rsid w:val="00006FD7"/>
    <w:rsid w:val="00007348"/>
    <w:rsid w:val="0000795F"/>
    <w:rsid w:val="00007D92"/>
    <w:rsid w:val="00010156"/>
    <w:rsid w:val="0001041D"/>
    <w:rsid w:val="00010C7A"/>
    <w:rsid w:val="00011AC6"/>
    <w:rsid w:val="000137EC"/>
    <w:rsid w:val="00013E37"/>
    <w:rsid w:val="00013FD9"/>
    <w:rsid w:val="00014263"/>
    <w:rsid w:val="00014700"/>
    <w:rsid w:val="00014FF9"/>
    <w:rsid w:val="00015BCB"/>
    <w:rsid w:val="000179AE"/>
    <w:rsid w:val="00017B32"/>
    <w:rsid w:val="00017B68"/>
    <w:rsid w:val="00020501"/>
    <w:rsid w:val="000211BB"/>
    <w:rsid w:val="000212AD"/>
    <w:rsid w:val="000212E5"/>
    <w:rsid w:val="00021FE3"/>
    <w:rsid w:val="00022DB1"/>
    <w:rsid w:val="00022F23"/>
    <w:rsid w:val="00023472"/>
    <w:rsid w:val="0002350D"/>
    <w:rsid w:val="00023D50"/>
    <w:rsid w:val="0002403D"/>
    <w:rsid w:val="00024518"/>
    <w:rsid w:val="00024622"/>
    <w:rsid w:val="000251D8"/>
    <w:rsid w:val="00025366"/>
    <w:rsid w:val="00025EA3"/>
    <w:rsid w:val="00026394"/>
    <w:rsid w:val="00026C69"/>
    <w:rsid w:val="00026EF9"/>
    <w:rsid w:val="00027599"/>
    <w:rsid w:val="00027DD1"/>
    <w:rsid w:val="00027F75"/>
    <w:rsid w:val="00030698"/>
    <w:rsid w:val="00030E8C"/>
    <w:rsid w:val="00030F0D"/>
    <w:rsid w:val="000315EF"/>
    <w:rsid w:val="000316F4"/>
    <w:rsid w:val="00031A10"/>
    <w:rsid w:val="00031C58"/>
    <w:rsid w:val="00031E06"/>
    <w:rsid w:val="00032906"/>
    <w:rsid w:val="00032F11"/>
    <w:rsid w:val="000334E9"/>
    <w:rsid w:val="00033892"/>
    <w:rsid w:val="00033976"/>
    <w:rsid w:val="00033E22"/>
    <w:rsid w:val="0003500F"/>
    <w:rsid w:val="00035324"/>
    <w:rsid w:val="000359FA"/>
    <w:rsid w:val="00036D92"/>
    <w:rsid w:val="00036FBE"/>
    <w:rsid w:val="000375AD"/>
    <w:rsid w:val="0003769B"/>
    <w:rsid w:val="000376EB"/>
    <w:rsid w:val="0003780D"/>
    <w:rsid w:val="00037B33"/>
    <w:rsid w:val="00037C66"/>
    <w:rsid w:val="00037CB1"/>
    <w:rsid w:val="00037FD1"/>
    <w:rsid w:val="00040404"/>
    <w:rsid w:val="0004067A"/>
    <w:rsid w:val="00040929"/>
    <w:rsid w:val="000410EE"/>
    <w:rsid w:val="0004185D"/>
    <w:rsid w:val="000436FB"/>
    <w:rsid w:val="00043DB9"/>
    <w:rsid w:val="00044148"/>
    <w:rsid w:val="000446DF"/>
    <w:rsid w:val="000448DC"/>
    <w:rsid w:val="00044AE1"/>
    <w:rsid w:val="00044C80"/>
    <w:rsid w:val="000455CD"/>
    <w:rsid w:val="000462AF"/>
    <w:rsid w:val="000463C9"/>
    <w:rsid w:val="00046BB0"/>
    <w:rsid w:val="00046EA1"/>
    <w:rsid w:val="000473A4"/>
    <w:rsid w:val="00047877"/>
    <w:rsid w:val="000503F0"/>
    <w:rsid w:val="00051011"/>
    <w:rsid w:val="0005112C"/>
    <w:rsid w:val="00051442"/>
    <w:rsid w:val="00051DF7"/>
    <w:rsid w:val="00051EF0"/>
    <w:rsid w:val="00052278"/>
    <w:rsid w:val="00052392"/>
    <w:rsid w:val="00052477"/>
    <w:rsid w:val="00052DE6"/>
    <w:rsid w:val="00052EAB"/>
    <w:rsid w:val="00053E2E"/>
    <w:rsid w:val="00053F42"/>
    <w:rsid w:val="0005403B"/>
    <w:rsid w:val="000542D4"/>
    <w:rsid w:val="0005479C"/>
    <w:rsid w:val="0005622C"/>
    <w:rsid w:val="000566E8"/>
    <w:rsid w:val="00056879"/>
    <w:rsid w:val="00056D54"/>
    <w:rsid w:val="0005748B"/>
    <w:rsid w:val="00057CCE"/>
    <w:rsid w:val="00060D60"/>
    <w:rsid w:val="00060DD4"/>
    <w:rsid w:val="000612A7"/>
    <w:rsid w:val="000612D3"/>
    <w:rsid w:val="00061869"/>
    <w:rsid w:val="00062648"/>
    <w:rsid w:val="00062AE9"/>
    <w:rsid w:val="00062E9F"/>
    <w:rsid w:val="00062F3F"/>
    <w:rsid w:val="00063003"/>
    <w:rsid w:val="00063012"/>
    <w:rsid w:val="00063DC8"/>
    <w:rsid w:val="00064523"/>
    <w:rsid w:val="000661FF"/>
    <w:rsid w:val="0007008D"/>
    <w:rsid w:val="00071E91"/>
    <w:rsid w:val="00071F6D"/>
    <w:rsid w:val="00071F73"/>
    <w:rsid w:val="00072098"/>
    <w:rsid w:val="000735EC"/>
    <w:rsid w:val="000737F0"/>
    <w:rsid w:val="0007455E"/>
    <w:rsid w:val="00074F4E"/>
    <w:rsid w:val="00074F88"/>
    <w:rsid w:val="0007547B"/>
    <w:rsid w:val="00075E8D"/>
    <w:rsid w:val="00076969"/>
    <w:rsid w:val="00076A34"/>
    <w:rsid w:val="0007791B"/>
    <w:rsid w:val="00080017"/>
    <w:rsid w:val="00080833"/>
    <w:rsid w:val="00081725"/>
    <w:rsid w:val="00081788"/>
    <w:rsid w:val="00081D25"/>
    <w:rsid w:val="00081EC8"/>
    <w:rsid w:val="000828A4"/>
    <w:rsid w:val="0008308F"/>
    <w:rsid w:val="000836E3"/>
    <w:rsid w:val="00083FA0"/>
    <w:rsid w:val="0008422C"/>
    <w:rsid w:val="00085E55"/>
    <w:rsid w:val="00086367"/>
    <w:rsid w:val="000875EB"/>
    <w:rsid w:val="00087BB4"/>
    <w:rsid w:val="00087D71"/>
    <w:rsid w:val="00087DC6"/>
    <w:rsid w:val="00087FF0"/>
    <w:rsid w:val="0009079F"/>
    <w:rsid w:val="00090A31"/>
    <w:rsid w:val="00091BA2"/>
    <w:rsid w:val="000926B1"/>
    <w:rsid w:val="00093A04"/>
    <w:rsid w:val="00093A87"/>
    <w:rsid w:val="00093CF9"/>
    <w:rsid w:val="0009486B"/>
    <w:rsid w:val="00094879"/>
    <w:rsid w:val="00094CCE"/>
    <w:rsid w:val="000953BF"/>
    <w:rsid w:val="0009548E"/>
    <w:rsid w:val="00095667"/>
    <w:rsid w:val="00095A86"/>
    <w:rsid w:val="0009623A"/>
    <w:rsid w:val="0009661B"/>
    <w:rsid w:val="0009673A"/>
    <w:rsid w:val="00097449"/>
    <w:rsid w:val="000975F6"/>
    <w:rsid w:val="00097610"/>
    <w:rsid w:val="00097968"/>
    <w:rsid w:val="00097FFA"/>
    <w:rsid w:val="000A12C0"/>
    <w:rsid w:val="000A1989"/>
    <w:rsid w:val="000A1A50"/>
    <w:rsid w:val="000A1BF3"/>
    <w:rsid w:val="000A23FE"/>
    <w:rsid w:val="000A2FC1"/>
    <w:rsid w:val="000A3B6D"/>
    <w:rsid w:val="000A4235"/>
    <w:rsid w:val="000A4634"/>
    <w:rsid w:val="000A4D77"/>
    <w:rsid w:val="000A4DAD"/>
    <w:rsid w:val="000A58A9"/>
    <w:rsid w:val="000A5DD7"/>
    <w:rsid w:val="000A6B17"/>
    <w:rsid w:val="000A73B9"/>
    <w:rsid w:val="000A78B9"/>
    <w:rsid w:val="000A7A3A"/>
    <w:rsid w:val="000A7ABC"/>
    <w:rsid w:val="000B027E"/>
    <w:rsid w:val="000B0B93"/>
    <w:rsid w:val="000B12C3"/>
    <w:rsid w:val="000B12F0"/>
    <w:rsid w:val="000B18B8"/>
    <w:rsid w:val="000B2377"/>
    <w:rsid w:val="000B2484"/>
    <w:rsid w:val="000B25C8"/>
    <w:rsid w:val="000B40F1"/>
    <w:rsid w:val="000B438F"/>
    <w:rsid w:val="000B5764"/>
    <w:rsid w:val="000B58E2"/>
    <w:rsid w:val="000B5D3B"/>
    <w:rsid w:val="000B6017"/>
    <w:rsid w:val="000B624E"/>
    <w:rsid w:val="000B654C"/>
    <w:rsid w:val="000B6B2D"/>
    <w:rsid w:val="000B6C4E"/>
    <w:rsid w:val="000B6E6C"/>
    <w:rsid w:val="000B6E73"/>
    <w:rsid w:val="000B7A24"/>
    <w:rsid w:val="000B7AB6"/>
    <w:rsid w:val="000C0107"/>
    <w:rsid w:val="000C0371"/>
    <w:rsid w:val="000C0675"/>
    <w:rsid w:val="000C1472"/>
    <w:rsid w:val="000C1495"/>
    <w:rsid w:val="000C14B6"/>
    <w:rsid w:val="000C1A2A"/>
    <w:rsid w:val="000C22B1"/>
    <w:rsid w:val="000C27E9"/>
    <w:rsid w:val="000C382F"/>
    <w:rsid w:val="000C4300"/>
    <w:rsid w:val="000C4648"/>
    <w:rsid w:val="000C483A"/>
    <w:rsid w:val="000C4AE8"/>
    <w:rsid w:val="000C4E25"/>
    <w:rsid w:val="000C4F97"/>
    <w:rsid w:val="000C5885"/>
    <w:rsid w:val="000C5B32"/>
    <w:rsid w:val="000C6648"/>
    <w:rsid w:val="000C710D"/>
    <w:rsid w:val="000C7B60"/>
    <w:rsid w:val="000C7E09"/>
    <w:rsid w:val="000D029A"/>
    <w:rsid w:val="000D0371"/>
    <w:rsid w:val="000D091B"/>
    <w:rsid w:val="000D10A5"/>
    <w:rsid w:val="000D10F0"/>
    <w:rsid w:val="000D11ED"/>
    <w:rsid w:val="000D391A"/>
    <w:rsid w:val="000D43FC"/>
    <w:rsid w:val="000D47F9"/>
    <w:rsid w:val="000D4C9C"/>
    <w:rsid w:val="000D4CAB"/>
    <w:rsid w:val="000D6D43"/>
    <w:rsid w:val="000D7039"/>
    <w:rsid w:val="000D753E"/>
    <w:rsid w:val="000D7A80"/>
    <w:rsid w:val="000D7F96"/>
    <w:rsid w:val="000E002C"/>
    <w:rsid w:val="000E031E"/>
    <w:rsid w:val="000E09A2"/>
    <w:rsid w:val="000E0AF8"/>
    <w:rsid w:val="000E0D21"/>
    <w:rsid w:val="000E1C88"/>
    <w:rsid w:val="000E251A"/>
    <w:rsid w:val="000E2802"/>
    <w:rsid w:val="000E2C97"/>
    <w:rsid w:val="000E2D32"/>
    <w:rsid w:val="000E35D5"/>
    <w:rsid w:val="000E3BC5"/>
    <w:rsid w:val="000E3C6C"/>
    <w:rsid w:val="000E467C"/>
    <w:rsid w:val="000E4A35"/>
    <w:rsid w:val="000E540F"/>
    <w:rsid w:val="000E5FA9"/>
    <w:rsid w:val="000E6889"/>
    <w:rsid w:val="000E6A61"/>
    <w:rsid w:val="000E6C8B"/>
    <w:rsid w:val="000E6E09"/>
    <w:rsid w:val="000E706C"/>
    <w:rsid w:val="000E7B34"/>
    <w:rsid w:val="000F0458"/>
    <w:rsid w:val="000F0792"/>
    <w:rsid w:val="000F07F1"/>
    <w:rsid w:val="000F0E3E"/>
    <w:rsid w:val="000F12B1"/>
    <w:rsid w:val="000F14D7"/>
    <w:rsid w:val="000F15EB"/>
    <w:rsid w:val="000F1E7F"/>
    <w:rsid w:val="000F22EB"/>
    <w:rsid w:val="000F317F"/>
    <w:rsid w:val="000F33FE"/>
    <w:rsid w:val="000F3491"/>
    <w:rsid w:val="000F34E9"/>
    <w:rsid w:val="000F38A5"/>
    <w:rsid w:val="000F3B23"/>
    <w:rsid w:val="000F3C2E"/>
    <w:rsid w:val="000F4285"/>
    <w:rsid w:val="000F43BB"/>
    <w:rsid w:val="000F569A"/>
    <w:rsid w:val="000F574D"/>
    <w:rsid w:val="000F584A"/>
    <w:rsid w:val="000F69E5"/>
    <w:rsid w:val="000F71E8"/>
    <w:rsid w:val="000F7E4C"/>
    <w:rsid w:val="000F7EB8"/>
    <w:rsid w:val="001000DF"/>
    <w:rsid w:val="00100423"/>
    <w:rsid w:val="001004CE"/>
    <w:rsid w:val="00100695"/>
    <w:rsid w:val="0010077E"/>
    <w:rsid w:val="00100FC6"/>
    <w:rsid w:val="00101184"/>
    <w:rsid w:val="00101B3E"/>
    <w:rsid w:val="0010272C"/>
    <w:rsid w:val="00102ADA"/>
    <w:rsid w:val="00102B1B"/>
    <w:rsid w:val="00103166"/>
    <w:rsid w:val="00104287"/>
    <w:rsid w:val="00104414"/>
    <w:rsid w:val="00104C67"/>
    <w:rsid w:val="00106945"/>
    <w:rsid w:val="00107530"/>
    <w:rsid w:val="00107566"/>
    <w:rsid w:val="00107AD8"/>
    <w:rsid w:val="00110282"/>
    <w:rsid w:val="0011045C"/>
    <w:rsid w:val="00110F36"/>
    <w:rsid w:val="00112009"/>
    <w:rsid w:val="001126C5"/>
    <w:rsid w:val="00113CFC"/>
    <w:rsid w:val="00114DCA"/>
    <w:rsid w:val="001153AB"/>
    <w:rsid w:val="001166BD"/>
    <w:rsid w:val="001179CF"/>
    <w:rsid w:val="00121313"/>
    <w:rsid w:val="00121532"/>
    <w:rsid w:val="001215DC"/>
    <w:rsid w:val="001217D1"/>
    <w:rsid w:val="0012234B"/>
    <w:rsid w:val="0012292C"/>
    <w:rsid w:val="001231E5"/>
    <w:rsid w:val="001237EB"/>
    <w:rsid w:val="00124B81"/>
    <w:rsid w:val="00124D07"/>
    <w:rsid w:val="001273F7"/>
    <w:rsid w:val="0013087A"/>
    <w:rsid w:val="0013162D"/>
    <w:rsid w:val="00131C9C"/>
    <w:rsid w:val="001325CE"/>
    <w:rsid w:val="00132762"/>
    <w:rsid w:val="001327C0"/>
    <w:rsid w:val="00132884"/>
    <w:rsid w:val="00132966"/>
    <w:rsid w:val="00132DB6"/>
    <w:rsid w:val="00132FB9"/>
    <w:rsid w:val="00132FEC"/>
    <w:rsid w:val="001338EF"/>
    <w:rsid w:val="00133A3C"/>
    <w:rsid w:val="00133B1E"/>
    <w:rsid w:val="00133B77"/>
    <w:rsid w:val="00133BD9"/>
    <w:rsid w:val="00133ECF"/>
    <w:rsid w:val="001341C4"/>
    <w:rsid w:val="001347DC"/>
    <w:rsid w:val="00134DA5"/>
    <w:rsid w:val="00135B59"/>
    <w:rsid w:val="00136469"/>
    <w:rsid w:val="001367BE"/>
    <w:rsid w:val="00136C12"/>
    <w:rsid w:val="00136DEE"/>
    <w:rsid w:val="001374E0"/>
    <w:rsid w:val="00137528"/>
    <w:rsid w:val="001378EC"/>
    <w:rsid w:val="00137954"/>
    <w:rsid w:val="00137A5E"/>
    <w:rsid w:val="0014020B"/>
    <w:rsid w:val="0014047E"/>
    <w:rsid w:val="00140B09"/>
    <w:rsid w:val="001417D2"/>
    <w:rsid w:val="00141A95"/>
    <w:rsid w:val="00142ED0"/>
    <w:rsid w:val="001430D7"/>
    <w:rsid w:val="001431E3"/>
    <w:rsid w:val="00143BD9"/>
    <w:rsid w:val="00145368"/>
    <w:rsid w:val="0014549F"/>
    <w:rsid w:val="00145A6E"/>
    <w:rsid w:val="00145AFC"/>
    <w:rsid w:val="00145BDC"/>
    <w:rsid w:val="001462CC"/>
    <w:rsid w:val="0014668B"/>
    <w:rsid w:val="00146AA0"/>
    <w:rsid w:val="0014714F"/>
    <w:rsid w:val="00150426"/>
    <w:rsid w:val="0015047F"/>
    <w:rsid w:val="00151772"/>
    <w:rsid w:val="001524DF"/>
    <w:rsid w:val="001524FF"/>
    <w:rsid w:val="001531C3"/>
    <w:rsid w:val="001531C8"/>
    <w:rsid w:val="001536C5"/>
    <w:rsid w:val="00153921"/>
    <w:rsid w:val="00153C91"/>
    <w:rsid w:val="001542CB"/>
    <w:rsid w:val="0015442E"/>
    <w:rsid w:val="00154C03"/>
    <w:rsid w:val="00155435"/>
    <w:rsid w:val="00155920"/>
    <w:rsid w:val="00155F01"/>
    <w:rsid w:val="00156162"/>
    <w:rsid w:val="0015632B"/>
    <w:rsid w:val="00156778"/>
    <w:rsid w:val="00156E33"/>
    <w:rsid w:val="00157AA6"/>
    <w:rsid w:val="00157EDF"/>
    <w:rsid w:val="00157F13"/>
    <w:rsid w:val="00157F87"/>
    <w:rsid w:val="00160C9F"/>
    <w:rsid w:val="00161021"/>
    <w:rsid w:val="001612D5"/>
    <w:rsid w:val="00162362"/>
    <w:rsid w:val="001626F3"/>
    <w:rsid w:val="0016271B"/>
    <w:rsid w:val="00162A7E"/>
    <w:rsid w:val="00162D53"/>
    <w:rsid w:val="00162D61"/>
    <w:rsid w:val="00162F1E"/>
    <w:rsid w:val="0016349E"/>
    <w:rsid w:val="00163577"/>
    <w:rsid w:val="001636E6"/>
    <w:rsid w:val="0016417D"/>
    <w:rsid w:val="00164642"/>
    <w:rsid w:val="0016556F"/>
    <w:rsid w:val="00165C26"/>
    <w:rsid w:val="00166318"/>
    <w:rsid w:val="00166628"/>
    <w:rsid w:val="001673A7"/>
    <w:rsid w:val="001676BB"/>
    <w:rsid w:val="00170260"/>
    <w:rsid w:val="00171349"/>
    <w:rsid w:val="00171C81"/>
    <w:rsid w:val="00171F45"/>
    <w:rsid w:val="00172D3E"/>
    <w:rsid w:val="00172F98"/>
    <w:rsid w:val="0017335C"/>
    <w:rsid w:val="00173778"/>
    <w:rsid w:val="00173C7F"/>
    <w:rsid w:val="00174154"/>
    <w:rsid w:val="00175277"/>
    <w:rsid w:val="00175A42"/>
    <w:rsid w:val="00175B80"/>
    <w:rsid w:val="00176749"/>
    <w:rsid w:val="00176C1B"/>
    <w:rsid w:val="00176E73"/>
    <w:rsid w:val="00177EB0"/>
    <w:rsid w:val="001800C7"/>
    <w:rsid w:val="00180644"/>
    <w:rsid w:val="00180665"/>
    <w:rsid w:val="0018198E"/>
    <w:rsid w:val="00183289"/>
    <w:rsid w:val="00183BA3"/>
    <w:rsid w:val="00183BBE"/>
    <w:rsid w:val="0018419F"/>
    <w:rsid w:val="001843F1"/>
    <w:rsid w:val="00185D56"/>
    <w:rsid w:val="001876EA"/>
    <w:rsid w:val="00187909"/>
    <w:rsid w:val="001900F5"/>
    <w:rsid w:val="00190D3E"/>
    <w:rsid w:val="00191B96"/>
    <w:rsid w:val="0019250F"/>
    <w:rsid w:val="00192BDA"/>
    <w:rsid w:val="00192C4D"/>
    <w:rsid w:val="00193034"/>
    <w:rsid w:val="001931E5"/>
    <w:rsid w:val="00194C65"/>
    <w:rsid w:val="0019599C"/>
    <w:rsid w:val="00196029"/>
    <w:rsid w:val="00196B7B"/>
    <w:rsid w:val="0019733A"/>
    <w:rsid w:val="001979D3"/>
    <w:rsid w:val="001A0A75"/>
    <w:rsid w:val="001A20C0"/>
    <w:rsid w:val="001A26EA"/>
    <w:rsid w:val="001A3157"/>
    <w:rsid w:val="001A4200"/>
    <w:rsid w:val="001A448B"/>
    <w:rsid w:val="001A4842"/>
    <w:rsid w:val="001A4BBF"/>
    <w:rsid w:val="001A58F0"/>
    <w:rsid w:val="001A6754"/>
    <w:rsid w:val="001A7B8A"/>
    <w:rsid w:val="001A7BE1"/>
    <w:rsid w:val="001B049B"/>
    <w:rsid w:val="001B098D"/>
    <w:rsid w:val="001B0FE5"/>
    <w:rsid w:val="001B1036"/>
    <w:rsid w:val="001B1CEA"/>
    <w:rsid w:val="001B26C3"/>
    <w:rsid w:val="001B2CFE"/>
    <w:rsid w:val="001B35AF"/>
    <w:rsid w:val="001B388D"/>
    <w:rsid w:val="001B41BA"/>
    <w:rsid w:val="001B49BB"/>
    <w:rsid w:val="001B6054"/>
    <w:rsid w:val="001B7832"/>
    <w:rsid w:val="001B7A77"/>
    <w:rsid w:val="001B7F4A"/>
    <w:rsid w:val="001C0024"/>
    <w:rsid w:val="001C07DD"/>
    <w:rsid w:val="001C09C3"/>
    <w:rsid w:val="001C1C9E"/>
    <w:rsid w:val="001C228F"/>
    <w:rsid w:val="001C34A2"/>
    <w:rsid w:val="001C35D4"/>
    <w:rsid w:val="001C3903"/>
    <w:rsid w:val="001C46A6"/>
    <w:rsid w:val="001C4BB1"/>
    <w:rsid w:val="001C4EE0"/>
    <w:rsid w:val="001C4FE0"/>
    <w:rsid w:val="001C5122"/>
    <w:rsid w:val="001C57CD"/>
    <w:rsid w:val="001C5ACA"/>
    <w:rsid w:val="001C6489"/>
    <w:rsid w:val="001C664F"/>
    <w:rsid w:val="001C7205"/>
    <w:rsid w:val="001D0623"/>
    <w:rsid w:val="001D088E"/>
    <w:rsid w:val="001D1D29"/>
    <w:rsid w:val="001D21E6"/>
    <w:rsid w:val="001D29DF"/>
    <w:rsid w:val="001D2BEC"/>
    <w:rsid w:val="001D474A"/>
    <w:rsid w:val="001D4874"/>
    <w:rsid w:val="001D6175"/>
    <w:rsid w:val="001D6A7E"/>
    <w:rsid w:val="001D6D67"/>
    <w:rsid w:val="001D73CF"/>
    <w:rsid w:val="001D7842"/>
    <w:rsid w:val="001D7BFC"/>
    <w:rsid w:val="001E0162"/>
    <w:rsid w:val="001E056E"/>
    <w:rsid w:val="001E2FD9"/>
    <w:rsid w:val="001E3109"/>
    <w:rsid w:val="001E3185"/>
    <w:rsid w:val="001E34D2"/>
    <w:rsid w:val="001E35F0"/>
    <w:rsid w:val="001E3CC6"/>
    <w:rsid w:val="001E3F50"/>
    <w:rsid w:val="001E47D6"/>
    <w:rsid w:val="001E5364"/>
    <w:rsid w:val="001E5575"/>
    <w:rsid w:val="001E5E1B"/>
    <w:rsid w:val="001E7189"/>
    <w:rsid w:val="001E7B08"/>
    <w:rsid w:val="001E7B4C"/>
    <w:rsid w:val="001F0043"/>
    <w:rsid w:val="001F0065"/>
    <w:rsid w:val="001F1305"/>
    <w:rsid w:val="001F1F31"/>
    <w:rsid w:val="001F28D3"/>
    <w:rsid w:val="001F2B06"/>
    <w:rsid w:val="001F32B5"/>
    <w:rsid w:val="001F3EAA"/>
    <w:rsid w:val="001F40CB"/>
    <w:rsid w:val="001F43EC"/>
    <w:rsid w:val="001F4BAF"/>
    <w:rsid w:val="001F558A"/>
    <w:rsid w:val="001F5FC9"/>
    <w:rsid w:val="001F6648"/>
    <w:rsid w:val="001F6BA1"/>
    <w:rsid w:val="001F701C"/>
    <w:rsid w:val="001F751A"/>
    <w:rsid w:val="001F7A96"/>
    <w:rsid w:val="002002CB"/>
    <w:rsid w:val="0020094B"/>
    <w:rsid w:val="002009DF"/>
    <w:rsid w:val="00200DC3"/>
    <w:rsid w:val="00201DF5"/>
    <w:rsid w:val="0020285E"/>
    <w:rsid w:val="00202F3C"/>
    <w:rsid w:val="0020387B"/>
    <w:rsid w:val="00204D32"/>
    <w:rsid w:val="00204ED0"/>
    <w:rsid w:val="00205099"/>
    <w:rsid w:val="00205334"/>
    <w:rsid w:val="0020537B"/>
    <w:rsid w:val="00205E97"/>
    <w:rsid w:val="00205FEE"/>
    <w:rsid w:val="002062EF"/>
    <w:rsid w:val="00206A84"/>
    <w:rsid w:val="0020728E"/>
    <w:rsid w:val="00207461"/>
    <w:rsid w:val="0020776D"/>
    <w:rsid w:val="002079EC"/>
    <w:rsid w:val="00210378"/>
    <w:rsid w:val="00210564"/>
    <w:rsid w:val="00210A3F"/>
    <w:rsid w:val="00210AA0"/>
    <w:rsid w:val="00211088"/>
    <w:rsid w:val="002115D6"/>
    <w:rsid w:val="00211A4A"/>
    <w:rsid w:val="00211B4D"/>
    <w:rsid w:val="002127CA"/>
    <w:rsid w:val="002133F0"/>
    <w:rsid w:val="00213D66"/>
    <w:rsid w:val="00214F22"/>
    <w:rsid w:val="0021659B"/>
    <w:rsid w:val="0021737C"/>
    <w:rsid w:val="002179EF"/>
    <w:rsid w:val="00217B1D"/>
    <w:rsid w:val="0022048D"/>
    <w:rsid w:val="002206BE"/>
    <w:rsid w:val="002210B7"/>
    <w:rsid w:val="002218B9"/>
    <w:rsid w:val="002219FE"/>
    <w:rsid w:val="00221DDA"/>
    <w:rsid w:val="00222100"/>
    <w:rsid w:val="002227F7"/>
    <w:rsid w:val="002233AF"/>
    <w:rsid w:val="0022383E"/>
    <w:rsid w:val="00223D54"/>
    <w:rsid w:val="00223ED8"/>
    <w:rsid w:val="002242B7"/>
    <w:rsid w:val="0022461C"/>
    <w:rsid w:val="002258F3"/>
    <w:rsid w:val="00226253"/>
    <w:rsid w:val="0022658C"/>
    <w:rsid w:val="00226F24"/>
    <w:rsid w:val="00227148"/>
    <w:rsid w:val="0022728B"/>
    <w:rsid w:val="00227914"/>
    <w:rsid w:val="00227A18"/>
    <w:rsid w:val="00230AAD"/>
    <w:rsid w:val="00230D61"/>
    <w:rsid w:val="0023130F"/>
    <w:rsid w:val="0023165F"/>
    <w:rsid w:val="00232721"/>
    <w:rsid w:val="002334B7"/>
    <w:rsid w:val="0023412E"/>
    <w:rsid w:val="002341EF"/>
    <w:rsid w:val="00234642"/>
    <w:rsid w:val="00234F84"/>
    <w:rsid w:val="002350ED"/>
    <w:rsid w:val="00235800"/>
    <w:rsid w:val="00236383"/>
    <w:rsid w:val="0023765E"/>
    <w:rsid w:val="00237749"/>
    <w:rsid w:val="002401FD"/>
    <w:rsid w:val="002407A0"/>
    <w:rsid w:val="00240BA7"/>
    <w:rsid w:val="00241B60"/>
    <w:rsid w:val="00241EB0"/>
    <w:rsid w:val="002420D0"/>
    <w:rsid w:val="00242390"/>
    <w:rsid w:val="002427DA"/>
    <w:rsid w:val="002430EC"/>
    <w:rsid w:val="0024346B"/>
    <w:rsid w:val="0024429F"/>
    <w:rsid w:val="00244C12"/>
    <w:rsid w:val="0024550E"/>
    <w:rsid w:val="00245841"/>
    <w:rsid w:val="00245AA6"/>
    <w:rsid w:val="00246152"/>
    <w:rsid w:val="002468AC"/>
    <w:rsid w:val="002474E5"/>
    <w:rsid w:val="00247A30"/>
    <w:rsid w:val="00250AA5"/>
    <w:rsid w:val="00251250"/>
    <w:rsid w:val="00251513"/>
    <w:rsid w:val="00251987"/>
    <w:rsid w:val="00251B48"/>
    <w:rsid w:val="0025284F"/>
    <w:rsid w:val="00252C5C"/>
    <w:rsid w:val="00253646"/>
    <w:rsid w:val="00253FE3"/>
    <w:rsid w:val="00255934"/>
    <w:rsid w:val="00255EFC"/>
    <w:rsid w:val="00256567"/>
    <w:rsid w:val="00256588"/>
    <w:rsid w:val="00256871"/>
    <w:rsid w:val="00256B38"/>
    <w:rsid w:val="00256D29"/>
    <w:rsid w:val="002576B7"/>
    <w:rsid w:val="0025773B"/>
    <w:rsid w:val="00260B1E"/>
    <w:rsid w:val="00260C27"/>
    <w:rsid w:val="00260FC1"/>
    <w:rsid w:val="00261EB1"/>
    <w:rsid w:val="002625F0"/>
    <w:rsid w:val="00262744"/>
    <w:rsid w:val="00262CC8"/>
    <w:rsid w:val="002630A7"/>
    <w:rsid w:val="00263C75"/>
    <w:rsid w:val="00263E14"/>
    <w:rsid w:val="00263FCC"/>
    <w:rsid w:val="00264DD0"/>
    <w:rsid w:val="0026576E"/>
    <w:rsid w:val="00270667"/>
    <w:rsid w:val="002709A7"/>
    <w:rsid w:val="00270D7F"/>
    <w:rsid w:val="00271BC2"/>
    <w:rsid w:val="002723C8"/>
    <w:rsid w:val="00273C97"/>
    <w:rsid w:val="00274CA6"/>
    <w:rsid w:val="00274F0C"/>
    <w:rsid w:val="002755A3"/>
    <w:rsid w:val="00275C41"/>
    <w:rsid w:val="0027670E"/>
    <w:rsid w:val="00276833"/>
    <w:rsid w:val="00276A83"/>
    <w:rsid w:val="00276F0C"/>
    <w:rsid w:val="00277280"/>
    <w:rsid w:val="002777C8"/>
    <w:rsid w:val="002778C1"/>
    <w:rsid w:val="00277978"/>
    <w:rsid w:val="002779B0"/>
    <w:rsid w:val="0028009E"/>
    <w:rsid w:val="0028026B"/>
    <w:rsid w:val="00280F80"/>
    <w:rsid w:val="00281105"/>
    <w:rsid w:val="00281E86"/>
    <w:rsid w:val="002824D3"/>
    <w:rsid w:val="0028291C"/>
    <w:rsid w:val="00282A04"/>
    <w:rsid w:val="00282C7E"/>
    <w:rsid w:val="00282DDD"/>
    <w:rsid w:val="002831AA"/>
    <w:rsid w:val="002834CD"/>
    <w:rsid w:val="0028355D"/>
    <w:rsid w:val="00283F3F"/>
    <w:rsid w:val="00284933"/>
    <w:rsid w:val="002854B6"/>
    <w:rsid w:val="0028562A"/>
    <w:rsid w:val="002858F5"/>
    <w:rsid w:val="00285F49"/>
    <w:rsid w:val="0028628D"/>
    <w:rsid w:val="00286558"/>
    <w:rsid w:val="00287287"/>
    <w:rsid w:val="0028789E"/>
    <w:rsid w:val="00287B39"/>
    <w:rsid w:val="002905A1"/>
    <w:rsid w:val="00290CB6"/>
    <w:rsid w:val="00291B5A"/>
    <w:rsid w:val="00292572"/>
    <w:rsid w:val="002925BF"/>
    <w:rsid w:val="00292816"/>
    <w:rsid w:val="00294275"/>
    <w:rsid w:val="002947A2"/>
    <w:rsid w:val="002950A7"/>
    <w:rsid w:val="00295D13"/>
    <w:rsid w:val="00295EE1"/>
    <w:rsid w:val="00297C42"/>
    <w:rsid w:val="002A2BAB"/>
    <w:rsid w:val="002A37A4"/>
    <w:rsid w:val="002A48BC"/>
    <w:rsid w:val="002A54CF"/>
    <w:rsid w:val="002A552F"/>
    <w:rsid w:val="002A5CF1"/>
    <w:rsid w:val="002A7732"/>
    <w:rsid w:val="002A7AFA"/>
    <w:rsid w:val="002B018C"/>
    <w:rsid w:val="002B0B32"/>
    <w:rsid w:val="002B1324"/>
    <w:rsid w:val="002B1D64"/>
    <w:rsid w:val="002B2A9B"/>
    <w:rsid w:val="002B3474"/>
    <w:rsid w:val="002B3C77"/>
    <w:rsid w:val="002B5EE8"/>
    <w:rsid w:val="002B5EF7"/>
    <w:rsid w:val="002B639C"/>
    <w:rsid w:val="002B6EBA"/>
    <w:rsid w:val="002B6F00"/>
    <w:rsid w:val="002B7987"/>
    <w:rsid w:val="002C04D7"/>
    <w:rsid w:val="002C1A45"/>
    <w:rsid w:val="002C2611"/>
    <w:rsid w:val="002C2EC2"/>
    <w:rsid w:val="002C33F4"/>
    <w:rsid w:val="002C3F9C"/>
    <w:rsid w:val="002C41C1"/>
    <w:rsid w:val="002C4ABF"/>
    <w:rsid w:val="002C4FAA"/>
    <w:rsid w:val="002C5362"/>
    <w:rsid w:val="002C5DFE"/>
    <w:rsid w:val="002C61A4"/>
    <w:rsid w:val="002C68BC"/>
    <w:rsid w:val="002C693C"/>
    <w:rsid w:val="002C6DC2"/>
    <w:rsid w:val="002C7028"/>
    <w:rsid w:val="002C78A7"/>
    <w:rsid w:val="002C799D"/>
    <w:rsid w:val="002D044E"/>
    <w:rsid w:val="002D0F97"/>
    <w:rsid w:val="002D169A"/>
    <w:rsid w:val="002D2248"/>
    <w:rsid w:val="002D286F"/>
    <w:rsid w:val="002D2D5A"/>
    <w:rsid w:val="002D2E87"/>
    <w:rsid w:val="002D3212"/>
    <w:rsid w:val="002D376F"/>
    <w:rsid w:val="002D42C8"/>
    <w:rsid w:val="002D488B"/>
    <w:rsid w:val="002D4C56"/>
    <w:rsid w:val="002D6DC6"/>
    <w:rsid w:val="002D7145"/>
    <w:rsid w:val="002D7FD9"/>
    <w:rsid w:val="002E07A7"/>
    <w:rsid w:val="002E08A3"/>
    <w:rsid w:val="002E0C9C"/>
    <w:rsid w:val="002E100C"/>
    <w:rsid w:val="002E10B5"/>
    <w:rsid w:val="002E1853"/>
    <w:rsid w:val="002E1CB4"/>
    <w:rsid w:val="002E24D9"/>
    <w:rsid w:val="002E2C27"/>
    <w:rsid w:val="002E2E30"/>
    <w:rsid w:val="002E318C"/>
    <w:rsid w:val="002E3566"/>
    <w:rsid w:val="002E3692"/>
    <w:rsid w:val="002E37B9"/>
    <w:rsid w:val="002E3E51"/>
    <w:rsid w:val="002E612A"/>
    <w:rsid w:val="002E646A"/>
    <w:rsid w:val="002E6573"/>
    <w:rsid w:val="002E6BA3"/>
    <w:rsid w:val="002E6CE2"/>
    <w:rsid w:val="002E74D0"/>
    <w:rsid w:val="002E79C1"/>
    <w:rsid w:val="002E7B57"/>
    <w:rsid w:val="002E7DDB"/>
    <w:rsid w:val="002F052F"/>
    <w:rsid w:val="002F07D4"/>
    <w:rsid w:val="002F0A36"/>
    <w:rsid w:val="002F0D88"/>
    <w:rsid w:val="002F250E"/>
    <w:rsid w:val="002F2684"/>
    <w:rsid w:val="002F2710"/>
    <w:rsid w:val="002F28A1"/>
    <w:rsid w:val="002F2F51"/>
    <w:rsid w:val="002F431B"/>
    <w:rsid w:val="002F4DC1"/>
    <w:rsid w:val="002F4EEF"/>
    <w:rsid w:val="002F5436"/>
    <w:rsid w:val="002F551D"/>
    <w:rsid w:val="002F5B80"/>
    <w:rsid w:val="002F6D16"/>
    <w:rsid w:val="002F7112"/>
    <w:rsid w:val="002F76B4"/>
    <w:rsid w:val="002F7AFB"/>
    <w:rsid w:val="002F7CC3"/>
    <w:rsid w:val="0030045A"/>
    <w:rsid w:val="003007ED"/>
    <w:rsid w:val="00300A19"/>
    <w:rsid w:val="00300BC3"/>
    <w:rsid w:val="0030195F"/>
    <w:rsid w:val="00301A08"/>
    <w:rsid w:val="00302157"/>
    <w:rsid w:val="0030292D"/>
    <w:rsid w:val="00303FB8"/>
    <w:rsid w:val="003041EF"/>
    <w:rsid w:val="0030428F"/>
    <w:rsid w:val="00304E43"/>
    <w:rsid w:val="0030548F"/>
    <w:rsid w:val="00305495"/>
    <w:rsid w:val="00305FF2"/>
    <w:rsid w:val="0030617C"/>
    <w:rsid w:val="003068A6"/>
    <w:rsid w:val="003071D5"/>
    <w:rsid w:val="00307380"/>
    <w:rsid w:val="00307D49"/>
    <w:rsid w:val="00307F60"/>
    <w:rsid w:val="003101FA"/>
    <w:rsid w:val="00310CC0"/>
    <w:rsid w:val="0031182D"/>
    <w:rsid w:val="003119ED"/>
    <w:rsid w:val="00311AF0"/>
    <w:rsid w:val="00311E11"/>
    <w:rsid w:val="003127DD"/>
    <w:rsid w:val="0031320A"/>
    <w:rsid w:val="003134F1"/>
    <w:rsid w:val="00314F84"/>
    <w:rsid w:val="00315A7E"/>
    <w:rsid w:val="003163F1"/>
    <w:rsid w:val="00316A2F"/>
    <w:rsid w:val="00317288"/>
    <w:rsid w:val="00317518"/>
    <w:rsid w:val="00317A11"/>
    <w:rsid w:val="00320BA3"/>
    <w:rsid w:val="00320F5F"/>
    <w:rsid w:val="00320FD6"/>
    <w:rsid w:val="00321449"/>
    <w:rsid w:val="00321470"/>
    <w:rsid w:val="003214E8"/>
    <w:rsid w:val="00322CEF"/>
    <w:rsid w:val="0032340B"/>
    <w:rsid w:val="0032356A"/>
    <w:rsid w:val="00323714"/>
    <w:rsid w:val="00323953"/>
    <w:rsid w:val="00323BD5"/>
    <w:rsid w:val="00323DA8"/>
    <w:rsid w:val="003242DB"/>
    <w:rsid w:val="003248B1"/>
    <w:rsid w:val="00324A52"/>
    <w:rsid w:val="00325148"/>
    <w:rsid w:val="003251C4"/>
    <w:rsid w:val="0032523F"/>
    <w:rsid w:val="00325243"/>
    <w:rsid w:val="0032609B"/>
    <w:rsid w:val="00326289"/>
    <w:rsid w:val="0032665F"/>
    <w:rsid w:val="0032717D"/>
    <w:rsid w:val="00327464"/>
    <w:rsid w:val="00327A1B"/>
    <w:rsid w:val="00330419"/>
    <w:rsid w:val="003304EF"/>
    <w:rsid w:val="0033058A"/>
    <w:rsid w:val="003305B5"/>
    <w:rsid w:val="00330D47"/>
    <w:rsid w:val="0033159A"/>
    <w:rsid w:val="003318E1"/>
    <w:rsid w:val="0033257D"/>
    <w:rsid w:val="00332BCF"/>
    <w:rsid w:val="00332CEF"/>
    <w:rsid w:val="003332E2"/>
    <w:rsid w:val="00333DA5"/>
    <w:rsid w:val="003348C5"/>
    <w:rsid w:val="00334CF7"/>
    <w:rsid w:val="00334E57"/>
    <w:rsid w:val="00335884"/>
    <w:rsid w:val="00335937"/>
    <w:rsid w:val="00335E1C"/>
    <w:rsid w:val="00336187"/>
    <w:rsid w:val="003367C2"/>
    <w:rsid w:val="00336839"/>
    <w:rsid w:val="00336E8A"/>
    <w:rsid w:val="00337A55"/>
    <w:rsid w:val="0034028D"/>
    <w:rsid w:val="00340E19"/>
    <w:rsid w:val="00341205"/>
    <w:rsid w:val="00341360"/>
    <w:rsid w:val="00341E58"/>
    <w:rsid w:val="00341FFA"/>
    <w:rsid w:val="00342A6E"/>
    <w:rsid w:val="00342C52"/>
    <w:rsid w:val="003440BB"/>
    <w:rsid w:val="00344866"/>
    <w:rsid w:val="0034511F"/>
    <w:rsid w:val="003451E7"/>
    <w:rsid w:val="003453E0"/>
    <w:rsid w:val="00345F0C"/>
    <w:rsid w:val="00346289"/>
    <w:rsid w:val="003466AD"/>
    <w:rsid w:val="00347070"/>
    <w:rsid w:val="00347BCA"/>
    <w:rsid w:val="00350108"/>
    <w:rsid w:val="003502CF"/>
    <w:rsid w:val="0035086C"/>
    <w:rsid w:val="003509D8"/>
    <w:rsid w:val="00351B3F"/>
    <w:rsid w:val="00351DAD"/>
    <w:rsid w:val="00351EC4"/>
    <w:rsid w:val="00352B59"/>
    <w:rsid w:val="003530B1"/>
    <w:rsid w:val="00354051"/>
    <w:rsid w:val="003542BF"/>
    <w:rsid w:val="00355665"/>
    <w:rsid w:val="00355CF1"/>
    <w:rsid w:val="00355E90"/>
    <w:rsid w:val="003564A5"/>
    <w:rsid w:val="003567A9"/>
    <w:rsid w:val="00356F1A"/>
    <w:rsid w:val="00357E6B"/>
    <w:rsid w:val="00357E97"/>
    <w:rsid w:val="00360287"/>
    <w:rsid w:val="003610F0"/>
    <w:rsid w:val="00361407"/>
    <w:rsid w:val="00361AC6"/>
    <w:rsid w:val="00362042"/>
    <w:rsid w:val="00362B4E"/>
    <w:rsid w:val="00363089"/>
    <w:rsid w:val="0036351E"/>
    <w:rsid w:val="00363689"/>
    <w:rsid w:val="003639B9"/>
    <w:rsid w:val="00364254"/>
    <w:rsid w:val="003645D4"/>
    <w:rsid w:val="0036463B"/>
    <w:rsid w:val="00364B79"/>
    <w:rsid w:val="00364CC3"/>
    <w:rsid w:val="0036525C"/>
    <w:rsid w:val="0036564D"/>
    <w:rsid w:val="00365694"/>
    <w:rsid w:val="00365AFC"/>
    <w:rsid w:val="003666F2"/>
    <w:rsid w:val="003668AB"/>
    <w:rsid w:val="00366AAA"/>
    <w:rsid w:val="003671AC"/>
    <w:rsid w:val="0036730C"/>
    <w:rsid w:val="003673B3"/>
    <w:rsid w:val="003673CE"/>
    <w:rsid w:val="00367515"/>
    <w:rsid w:val="003701DF"/>
    <w:rsid w:val="003701FC"/>
    <w:rsid w:val="0037048D"/>
    <w:rsid w:val="00370DD2"/>
    <w:rsid w:val="00371728"/>
    <w:rsid w:val="00372468"/>
    <w:rsid w:val="003727D7"/>
    <w:rsid w:val="003728A3"/>
    <w:rsid w:val="00372FDD"/>
    <w:rsid w:val="0037393F"/>
    <w:rsid w:val="00373B64"/>
    <w:rsid w:val="0037497F"/>
    <w:rsid w:val="0037613A"/>
    <w:rsid w:val="00376375"/>
    <w:rsid w:val="00376BDF"/>
    <w:rsid w:val="00376F0B"/>
    <w:rsid w:val="003771E9"/>
    <w:rsid w:val="003772CD"/>
    <w:rsid w:val="00380A2A"/>
    <w:rsid w:val="00380CE6"/>
    <w:rsid w:val="00380F90"/>
    <w:rsid w:val="0038119A"/>
    <w:rsid w:val="00381B8E"/>
    <w:rsid w:val="00381F5C"/>
    <w:rsid w:val="00381F86"/>
    <w:rsid w:val="00382AF0"/>
    <w:rsid w:val="00383698"/>
    <w:rsid w:val="00383C40"/>
    <w:rsid w:val="00383D03"/>
    <w:rsid w:val="00384DDF"/>
    <w:rsid w:val="00385456"/>
    <w:rsid w:val="00385468"/>
    <w:rsid w:val="00385922"/>
    <w:rsid w:val="00385A53"/>
    <w:rsid w:val="00385C1B"/>
    <w:rsid w:val="00386240"/>
    <w:rsid w:val="003864EC"/>
    <w:rsid w:val="00386606"/>
    <w:rsid w:val="003867FF"/>
    <w:rsid w:val="00386B3D"/>
    <w:rsid w:val="003870D8"/>
    <w:rsid w:val="0038744E"/>
    <w:rsid w:val="0038756B"/>
    <w:rsid w:val="003879D2"/>
    <w:rsid w:val="00387EA9"/>
    <w:rsid w:val="00390171"/>
    <w:rsid w:val="003902B1"/>
    <w:rsid w:val="0039042C"/>
    <w:rsid w:val="00390A19"/>
    <w:rsid w:val="00391AF5"/>
    <w:rsid w:val="00391EB6"/>
    <w:rsid w:val="003929A3"/>
    <w:rsid w:val="003929A4"/>
    <w:rsid w:val="00392E46"/>
    <w:rsid w:val="00392F3A"/>
    <w:rsid w:val="00393366"/>
    <w:rsid w:val="00393770"/>
    <w:rsid w:val="003939AD"/>
    <w:rsid w:val="00393A80"/>
    <w:rsid w:val="00393BE1"/>
    <w:rsid w:val="00394362"/>
    <w:rsid w:val="00395373"/>
    <w:rsid w:val="0039553E"/>
    <w:rsid w:val="00395832"/>
    <w:rsid w:val="00395846"/>
    <w:rsid w:val="00395B09"/>
    <w:rsid w:val="00395C8D"/>
    <w:rsid w:val="003977D7"/>
    <w:rsid w:val="003A0046"/>
    <w:rsid w:val="003A1100"/>
    <w:rsid w:val="003A1B21"/>
    <w:rsid w:val="003A2744"/>
    <w:rsid w:val="003A28F7"/>
    <w:rsid w:val="003A35B6"/>
    <w:rsid w:val="003A3A7F"/>
    <w:rsid w:val="003A3A88"/>
    <w:rsid w:val="003A3C68"/>
    <w:rsid w:val="003A4191"/>
    <w:rsid w:val="003A4594"/>
    <w:rsid w:val="003A45CD"/>
    <w:rsid w:val="003A5AEF"/>
    <w:rsid w:val="003A6319"/>
    <w:rsid w:val="003A7B40"/>
    <w:rsid w:val="003A7B57"/>
    <w:rsid w:val="003A7CBD"/>
    <w:rsid w:val="003B0640"/>
    <w:rsid w:val="003B0DF7"/>
    <w:rsid w:val="003B0FB1"/>
    <w:rsid w:val="003B197E"/>
    <w:rsid w:val="003B21F4"/>
    <w:rsid w:val="003B2B84"/>
    <w:rsid w:val="003B32D3"/>
    <w:rsid w:val="003B3559"/>
    <w:rsid w:val="003B4334"/>
    <w:rsid w:val="003B470B"/>
    <w:rsid w:val="003B4C7A"/>
    <w:rsid w:val="003B5B8A"/>
    <w:rsid w:val="003B6483"/>
    <w:rsid w:val="003B678D"/>
    <w:rsid w:val="003B6C6D"/>
    <w:rsid w:val="003B7EEF"/>
    <w:rsid w:val="003C05E3"/>
    <w:rsid w:val="003C0BB5"/>
    <w:rsid w:val="003C16BE"/>
    <w:rsid w:val="003C2500"/>
    <w:rsid w:val="003C2D22"/>
    <w:rsid w:val="003C4CE7"/>
    <w:rsid w:val="003C56C0"/>
    <w:rsid w:val="003C593F"/>
    <w:rsid w:val="003C6781"/>
    <w:rsid w:val="003C6D0A"/>
    <w:rsid w:val="003C7B4B"/>
    <w:rsid w:val="003D011A"/>
    <w:rsid w:val="003D0319"/>
    <w:rsid w:val="003D04E8"/>
    <w:rsid w:val="003D0E27"/>
    <w:rsid w:val="003D113B"/>
    <w:rsid w:val="003D1AF6"/>
    <w:rsid w:val="003D1BF2"/>
    <w:rsid w:val="003D1E6A"/>
    <w:rsid w:val="003D50F1"/>
    <w:rsid w:val="003D5F3D"/>
    <w:rsid w:val="003D6D3F"/>
    <w:rsid w:val="003D7524"/>
    <w:rsid w:val="003D75DB"/>
    <w:rsid w:val="003D7C4E"/>
    <w:rsid w:val="003E03AB"/>
    <w:rsid w:val="003E119B"/>
    <w:rsid w:val="003E125C"/>
    <w:rsid w:val="003E164D"/>
    <w:rsid w:val="003E182D"/>
    <w:rsid w:val="003E1A57"/>
    <w:rsid w:val="003E1B89"/>
    <w:rsid w:val="003E1C59"/>
    <w:rsid w:val="003E31EC"/>
    <w:rsid w:val="003E4070"/>
    <w:rsid w:val="003E47B9"/>
    <w:rsid w:val="003E486C"/>
    <w:rsid w:val="003E4BC7"/>
    <w:rsid w:val="003E5862"/>
    <w:rsid w:val="003E5DE5"/>
    <w:rsid w:val="003E6287"/>
    <w:rsid w:val="003E62A6"/>
    <w:rsid w:val="003E62BF"/>
    <w:rsid w:val="003E714D"/>
    <w:rsid w:val="003E7247"/>
    <w:rsid w:val="003E7376"/>
    <w:rsid w:val="003E7DFD"/>
    <w:rsid w:val="003F04BA"/>
    <w:rsid w:val="003F0EE1"/>
    <w:rsid w:val="003F1D44"/>
    <w:rsid w:val="003F2072"/>
    <w:rsid w:val="003F222C"/>
    <w:rsid w:val="003F34BF"/>
    <w:rsid w:val="003F44CF"/>
    <w:rsid w:val="003F47FE"/>
    <w:rsid w:val="003F50BF"/>
    <w:rsid w:val="003F7815"/>
    <w:rsid w:val="00400525"/>
    <w:rsid w:val="00400F37"/>
    <w:rsid w:val="004011FA"/>
    <w:rsid w:val="00401643"/>
    <w:rsid w:val="00401728"/>
    <w:rsid w:val="004027DA"/>
    <w:rsid w:val="00403746"/>
    <w:rsid w:val="0040393F"/>
    <w:rsid w:val="00403DA4"/>
    <w:rsid w:val="00404511"/>
    <w:rsid w:val="0040455A"/>
    <w:rsid w:val="004045EC"/>
    <w:rsid w:val="004047EF"/>
    <w:rsid w:val="00404835"/>
    <w:rsid w:val="00404B26"/>
    <w:rsid w:val="00404B86"/>
    <w:rsid w:val="004052FE"/>
    <w:rsid w:val="0040590E"/>
    <w:rsid w:val="0040599E"/>
    <w:rsid w:val="00405AA1"/>
    <w:rsid w:val="0040636D"/>
    <w:rsid w:val="00406D46"/>
    <w:rsid w:val="00406FBE"/>
    <w:rsid w:val="00406FDA"/>
    <w:rsid w:val="0041014C"/>
    <w:rsid w:val="00410925"/>
    <w:rsid w:val="00410B12"/>
    <w:rsid w:val="00410D94"/>
    <w:rsid w:val="004117EC"/>
    <w:rsid w:val="004118F7"/>
    <w:rsid w:val="00411D50"/>
    <w:rsid w:val="0041285B"/>
    <w:rsid w:val="00412B90"/>
    <w:rsid w:val="00413598"/>
    <w:rsid w:val="0041413B"/>
    <w:rsid w:val="004141F4"/>
    <w:rsid w:val="00414673"/>
    <w:rsid w:val="004146FD"/>
    <w:rsid w:val="004149AB"/>
    <w:rsid w:val="004151F0"/>
    <w:rsid w:val="004152F9"/>
    <w:rsid w:val="00415CA4"/>
    <w:rsid w:val="00415D2B"/>
    <w:rsid w:val="00415E1F"/>
    <w:rsid w:val="00416100"/>
    <w:rsid w:val="00416554"/>
    <w:rsid w:val="00416B22"/>
    <w:rsid w:val="00417703"/>
    <w:rsid w:val="00417ECF"/>
    <w:rsid w:val="00420085"/>
    <w:rsid w:val="00420C7F"/>
    <w:rsid w:val="00420EE1"/>
    <w:rsid w:val="00421364"/>
    <w:rsid w:val="00421379"/>
    <w:rsid w:val="00424221"/>
    <w:rsid w:val="00424344"/>
    <w:rsid w:val="00424AB6"/>
    <w:rsid w:val="0042504F"/>
    <w:rsid w:val="00425256"/>
    <w:rsid w:val="004252E4"/>
    <w:rsid w:val="00425BC7"/>
    <w:rsid w:val="00425E21"/>
    <w:rsid w:val="00427011"/>
    <w:rsid w:val="00427319"/>
    <w:rsid w:val="0042734E"/>
    <w:rsid w:val="00427C58"/>
    <w:rsid w:val="00427E0B"/>
    <w:rsid w:val="00427FF1"/>
    <w:rsid w:val="00430296"/>
    <w:rsid w:val="004308F4"/>
    <w:rsid w:val="00430F22"/>
    <w:rsid w:val="00431239"/>
    <w:rsid w:val="0043174E"/>
    <w:rsid w:val="004322FD"/>
    <w:rsid w:val="004326B8"/>
    <w:rsid w:val="00432C0F"/>
    <w:rsid w:val="00432E5E"/>
    <w:rsid w:val="00433807"/>
    <w:rsid w:val="00433A9B"/>
    <w:rsid w:val="00433BE2"/>
    <w:rsid w:val="00433C2C"/>
    <w:rsid w:val="00433E88"/>
    <w:rsid w:val="00433F65"/>
    <w:rsid w:val="00434001"/>
    <w:rsid w:val="00434898"/>
    <w:rsid w:val="0043500F"/>
    <w:rsid w:val="004357B7"/>
    <w:rsid w:val="00436D97"/>
    <w:rsid w:val="00437BDB"/>
    <w:rsid w:val="00440829"/>
    <w:rsid w:val="004412D1"/>
    <w:rsid w:val="00441630"/>
    <w:rsid w:val="00441BBE"/>
    <w:rsid w:val="00441D42"/>
    <w:rsid w:val="00443BAA"/>
    <w:rsid w:val="00443BE4"/>
    <w:rsid w:val="00443C75"/>
    <w:rsid w:val="00443F42"/>
    <w:rsid w:val="00444210"/>
    <w:rsid w:val="00444632"/>
    <w:rsid w:val="004448A9"/>
    <w:rsid w:val="00444E47"/>
    <w:rsid w:val="004456E0"/>
    <w:rsid w:val="00445986"/>
    <w:rsid w:val="004463E5"/>
    <w:rsid w:val="00446608"/>
    <w:rsid w:val="0044764D"/>
    <w:rsid w:val="004478BD"/>
    <w:rsid w:val="00450A04"/>
    <w:rsid w:val="004512F7"/>
    <w:rsid w:val="00451CFD"/>
    <w:rsid w:val="00452F52"/>
    <w:rsid w:val="00453129"/>
    <w:rsid w:val="004545EF"/>
    <w:rsid w:val="004546CA"/>
    <w:rsid w:val="00454DC6"/>
    <w:rsid w:val="00455322"/>
    <w:rsid w:val="004558EA"/>
    <w:rsid w:val="004559D3"/>
    <w:rsid w:val="00455CCA"/>
    <w:rsid w:val="0045759E"/>
    <w:rsid w:val="00457B23"/>
    <w:rsid w:val="004602C6"/>
    <w:rsid w:val="00460510"/>
    <w:rsid w:val="00461BEC"/>
    <w:rsid w:val="004628CE"/>
    <w:rsid w:val="00462A4D"/>
    <w:rsid w:val="0046438A"/>
    <w:rsid w:val="004643D5"/>
    <w:rsid w:val="00464460"/>
    <w:rsid w:val="00464D70"/>
    <w:rsid w:val="00465580"/>
    <w:rsid w:val="004673F5"/>
    <w:rsid w:val="004678CA"/>
    <w:rsid w:val="004717CE"/>
    <w:rsid w:val="00473558"/>
    <w:rsid w:val="00473741"/>
    <w:rsid w:val="0047379B"/>
    <w:rsid w:val="0047461C"/>
    <w:rsid w:val="00474BC9"/>
    <w:rsid w:val="00474DAF"/>
    <w:rsid w:val="004752CD"/>
    <w:rsid w:val="00475349"/>
    <w:rsid w:val="0047597B"/>
    <w:rsid w:val="00475CF1"/>
    <w:rsid w:val="00476E49"/>
    <w:rsid w:val="00477947"/>
    <w:rsid w:val="004804E5"/>
    <w:rsid w:val="00480817"/>
    <w:rsid w:val="00480A97"/>
    <w:rsid w:val="00480EAF"/>
    <w:rsid w:val="00481C6F"/>
    <w:rsid w:val="004835E1"/>
    <w:rsid w:val="00483640"/>
    <w:rsid w:val="004836A3"/>
    <w:rsid w:val="00483828"/>
    <w:rsid w:val="00483C3B"/>
    <w:rsid w:val="0048446D"/>
    <w:rsid w:val="004850C0"/>
    <w:rsid w:val="00485556"/>
    <w:rsid w:val="004857CC"/>
    <w:rsid w:val="00485967"/>
    <w:rsid w:val="00485F39"/>
    <w:rsid w:val="0048677A"/>
    <w:rsid w:val="0048678F"/>
    <w:rsid w:val="004868F8"/>
    <w:rsid w:val="00486B79"/>
    <w:rsid w:val="00487A07"/>
    <w:rsid w:val="004903B3"/>
    <w:rsid w:val="00490682"/>
    <w:rsid w:val="00490CD2"/>
    <w:rsid w:val="00491AAF"/>
    <w:rsid w:val="00492086"/>
    <w:rsid w:val="00492E68"/>
    <w:rsid w:val="00492F3E"/>
    <w:rsid w:val="00493F65"/>
    <w:rsid w:val="00494183"/>
    <w:rsid w:val="00494791"/>
    <w:rsid w:val="00495741"/>
    <w:rsid w:val="00495A44"/>
    <w:rsid w:val="00495E9C"/>
    <w:rsid w:val="00496481"/>
    <w:rsid w:val="004964A5"/>
    <w:rsid w:val="0049671C"/>
    <w:rsid w:val="004A0276"/>
    <w:rsid w:val="004A0A21"/>
    <w:rsid w:val="004A0B7D"/>
    <w:rsid w:val="004A0C9A"/>
    <w:rsid w:val="004A21E9"/>
    <w:rsid w:val="004A3DBB"/>
    <w:rsid w:val="004A3E07"/>
    <w:rsid w:val="004A3EBF"/>
    <w:rsid w:val="004A4302"/>
    <w:rsid w:val="004A4C64"/>
    <w:rsid w:val="004A56A6"/>
    <w:rsid w:val="004A671D"/>
    <w:rsid w:val="004A6D30"/>
    <w:rsid w:val="004A733D"/>
    <w:rsid w:val="004A76A7"/>
    <w:rsid w:val="004A7EAF"/>
    <w:rsid w:val="004B1109"/>
    <w:rsid w:val="004B3423"/>
    <w:rsid w:val="004B3ACA"/>
    <w:rsid w:val="004B3B9A"/>
    <w:rsid w:val="004B4143"/>
    <w:rsid w:val="004B4699"/>
    <w:rsid w:val="004B495A"/>
    <w:rsid w:val="004B50AA"/>
    <w:rsid w:val="004B63AF"/>
    <w:rsid w:val="004B653E"/>
    <w:rsid w:val="004B68C7"/>
    <w:rsid w:val="004B72E6"/>
    <w:rsid w:val="004B74CC"/>
    <w:rsid w:val="004B7829"/>
    <w:rsid w:val="004B7A3A"/>
    <w:rsid w:val="004C04B7"/>
    <w:rsid w:val="004C07CE"/>
    <w:rsid w:val="004C092E"/>
    <w:rsid w:val="004C103F"/>
    <w:rsid w:val="004C1134"/>
    <w:rsid w:val="004C11A3"/>
    <w:rsid w:val="004C1491"/>
    <w:rsid w:val="004C1CEA"/>
    <w:rsid w:val="004C2DF0"/>
    <w:rsid w:val="004C319F"/>
    <w:rsid w:val="004C31DB"/>
    <w:rsid w:val="004C4154"/>
    <w:rsid w:val="004C4289"/>
    <w:rsid w:val="004C5873"/>
    <w:rsid w:val="004C5941"/>
    <w:rsid w:val="004C6252"/>
    <w:rsid w:val="004C67E1"/>
    <w:rsid w:val="004C73C7"/>
    <w:rsid w:val="004D04F0"/>
    <w:rsid w:val="004D1216"/>
    <w:rsid w:val="004D1A6E"/>
    <w:rsid w:val="004D2363"/>
    <w:rsid w:val="004D37D3"/>
    <w:rsid w:val="004D3D98"/>
    <w:rsid w:val="004D47EF"/>
    <w:rsid w:val="004D4DC8"/>
    <w:rsid w:val="004D4ECC"/>
    <w:rsid w:val="004D56CA"/>
    <w:rsid w:val="004D6D93"/>
    <w:rsid w:val="004D71AC"/>
    <w:rsid w:val="004D7685"/>
    <w:rsid w:val="004E05FC"/>
    <w:rsid w:val="004E134D"/>
    <w:rsid w:val="004E173C"/>
    <w:rsid w:val="004E1F2A"/>
    <w:rsid w:val="004E20D5"/>
    <w:rsid w:val="004E308D"/>
    <w:rsid w:val="004E4016"/>
    <w:rsid w:val="004E41AE"/>
    <w:rsid w:val="004E490F"/>
    <w:rsid w:val="004E4E9D"/>
    <w:rsid w:val="004E504C"/>
    <w:rsid w:val="004E508D"/>
    <w:rsid w:val="004E6416"/>
    <w:rsid w:val="004E72D3"/>
    <w:rsid w:val="004E7D4F"/>
    <w:rsid w:val="004F099B"/>
    <w:rsid w:val="004F0A5B"/>
    <w:rsid w:val="004F0F8C"/>
    <w:rsid w:val="004F1E69"/>
    <w:rsid w:val="004F2603"/>
    <w:rsid w:val="004F268F"/>
    <w:rsid w:val="004F26D8"/>
    <w:rsid w:val="004F26FE"/>
    <w:rsid w:val="004F3527"/>
    <w:rsid w:val="004F353A"/>
    <w:rsid w:val="004F4259"/>
    <w:rsid w:val="004F5106"/>
    <w:rsid w:val="004F56B7"/>
    <w:rsid w:val="004F5D80"/>
    <w:rsid w:val="004F6CA4"/>
    <w:rsid w:val="004F722C"/>
    <w:rsid w:val="004F74A3"/>
    <w:rsid w:val="004F74DF"/>
    <w:rsid w:val="004F7C00"/>
    <w:rsid w:val="005001A1"/>
    <w:rsid w:val="00500366"/>
    <w:rsid w:val="00500406"/>
    <w:rsid w:val="0050080E"/>
    <w:rsid w:val="00503531"/>
    <w:rsid w:val="0050372C"/>
    <w:rsid w:val="005044FB"/>
    <w:rsid w:val="00505590"/>
    <w:rsid w:val="00505902"/>
    <w:rsid w:val="005062B7"/>
    <w:rsid w:val="00506A9A"/>
    <w:rsid w:val="00507896"/>
    <w:rsid w:val="005078C7"/>
    <w:rsid w:val="00507C27"/>
    <w:rsid w:val="00507D05"/>
    <w:rsid w:val="005104B5"/>
    <w:rsid w:val="00510BF2"/>
    <w:rsid w:val="00510D10"/>
    <w:rsid w:val="00511313"/>
    <w:rsid w:val="00511605"/>
    <w:rsid w:val="0051197F"/>
    <w:rsid w:val="005119E3"/>
    <w:rsid w:val="00512EFB"/>
    <w:rsid w:val="00513969"/>
    <w:rsid w:val="0051443C"/>
    <w:rsid w:val="0051497F"/>
    <w:rsid w:val="00514BED"/>
    <w:rsid w:val="00514C56"/>
    <w:rsid w:val="00514D91"/>
    <w:rsid w:val="00515C8D"/>
    <w:rsid w:val="0051627C"/>
    <w:rsid w:val="00516690"/>
    <w:rsid w:val="00516F94"/>
    <w:rsid w:val="00517EB5"/>
    <w:rsid w:val="00520943"/>
    <w:rsid w:val="00521234"/>
    <w:rsid w:val="005215BA"/>
    <w:rsid w:val="00521D29"/>
    <w:rsid w:val="005229EA"/>
    <w:rsid w:val="00523066"/>
    <w:rsid w:val="0052400C"/>
    <w:rsid w:val="005242C4"/>
    <w:rsid w:val="005245DD"/>
    <w:rsid w:val="00524BB0"/>
    <w:rsid w:val="00524E16"/>
    <w:rsid w:val="00525123"/>
    <w:rsid w:val="00525CFD"/>
    <w:rsid w:val="005267DD"/>
    <w:rsid w:val="00526C01"/>
    <w:rsid w:val="00527812"/>
    <w:rsid w:val="005278E7"/>
    <w:rsid w:val="00527FC1"/>
    <w:rsid w:val="00530072"/>
    <w:rsid w:val="00530BE6"/>
    <w:rsid w:val="00530C69"/>
    <w:rsid w:val="00530C6C"/>
    <w:rsid w:val="00530F61"/>
    <w:rsid w:val="005310C8"/>
    <w:rsid w:val="0053137B"/>
    <w:rsid w:val="0053172A"/>
    <w:rsid w:val="00532267"/>
    <w:rsid w:val="0053286D"/>
    <w:rsid w:val="00533F33"/>
    <w:rsid w:val="00534550"/>
    <w:rsid w:val="00535572"/>
    <w:rsid w:val="00535767"/>
    <w:rsid w:val="00535D3C"/>
    <w:rsid w:val="00536364"/>
    <w:rsid w:val="00536C72"/>
    <w:rsid w:val="00536FAC"/>
    <w:rsid w:val="0054032C"/>
    <w:rsid w:val="005407DE"/>
    <w:rsid w:val="00541299"/>
    <w:rsid w:val="005434A1"/>
    <w:rsid w:val="0054393A"/>
    <w:rsid w:val="005442CD"/>
    <w:rsid w:val="005449D6"/>
    <w:rsid w:val="00544B85"/>
    <w:rsid w:val="00544FDB"/>
    <w:rsid w:val="00546197"/>
    <w:rsid w:val="00546892"/>
    <w:rsid w:val="00550001"/>
    <w:rsid w:val="00551BB5"/>
    <w:rsid w:val="00552D4B"/>
    <w:rsid w:val="00552DF1"/>
    <w:rsid w:val="005534AB"/>
    <w:rsid w:val="00554BFD"/>
    <w:rsid w:val="005559A6"/>
    <w:rsid w:val="00555ABF"/>
    <w:rsid w:val="00555B09"/>
    <w:rsid w:val="005561FD"/>
    <w:rsid w:val="0055691A"/>
    <w:rsid w:val="00556E8D"/>
    <w:rsid w:val="00557018"/>
    <w:rsid w:val="00557FFD"/>
    <w:rsid w:val="00560235"/>
    <w:rsid w:val="00560F59"/>
    <w:rsid w:val="00560FC1"/>
    <w:rsid w:val="005619EB"/>
    <w:rsid w:val="005622EB"/>
    <w:rsid w:val="00562F9E"/>
    <w:rsid w:val="00563B6F"/>
    <w:rsid w:val="00564905"/>
    <w:rsid w:val="005655A5"/>
    <w:rsid w:val="00566552"/>
    <w:rsid w:val="00566621"/>
    <w:rsid w:val="00566C10"/>
    <w:rsid w:val="0056705C"/>
    <w:rsid w:val="005672C8"/>
    <w:rsid w:val="00567974"/>
    <w:rsid w:val="00567FA6"/>
    <w:rsid w:val="005709E9"/>
    <w:rsid w:val="00571127"/>
    <w:rsid w:val="0057119A"/>
    <w:rsid w:val="005712D5"/>
    <w:rsid w:val="0057147E"/>
    <w:rsid w:val="00571BC7"/>
    <w:rsid w:val="00571E23"/>
    <w:rsid w:val="00572416"/>
    <w:rsid w:val="005727EA"/>
    <w:rsid w:val="00572FB3"/>
    <w:rsid w:val="005730B2"/>
    <w:rsid w:val="00573594"/>
    <w:rsid w:val="00574303"/>
    <w:rsid w:val="00574461"/>
    <w:rsid w:val="005750ED"/>
    <w:rsid w:val="0057551A"/>
    <w:rsid w:val="00575D6B"/>
    <w:rsid w:val="0057617C"/>
    <w:rsid w:val="00576D2B"/>
    <w:rsid w:val="005776D8"/>
    <w:rsid w:val="00580EDB"/>
    <w:rsid w:val="00581222"/>
    <w:rsid w:val="005818E8"/>
    <w:rsid w:val="00581F15"/>
    <w:rsid w:val="0058229C"/>
    <w:rsid w:val="005825FE"/>
    <w:rsid w:val="00582823"/>
    <w:rsid w:val="00582A07"/>
    <w:rsid w:val="00583798"/>
    <w:rsid w:val="00583CA9"/>
    <w:rsid w:val="00583F8B"/>
    <w:rsid w:val="005840DB"/>
    <w:rsid w:val="00584428"/>
    <w:rsid w:val="00584F39"/>
    <w:rsid w:val="005850E5"/>
    <w:rsid w:val="005853A3"/>
    <w:rsid w:val="00585667"/>
    <w:rsid w:val="00585A52"/>
    <w:rsid w:val="00585D6C"/>
    <w:rsid w:val="00586288"/>
    <w:rsid w:val="0058641C"/>
    <w:rsid w:val="00586C90"/>
    <w:rsid w:val="00586D9E"/>
    <w:rsid w:val="00586F6A"/>
    <w:rsid w:val="00587A1D"/>
    <w:rsid w:val="00587F05"/>
    <w:rsid w:val="00590166"/>
    <w:rsid w:val="00590C86"/>
    <w:rsid w:val="005916F5"/>
    <w:rsid w:val="00591FB8"/>
    <w:rsid w:val="00592080"/>
    <w:rsid w:val="0059219C"/>
    <w:rsid w:val="005927A1"/>
    <w:rsid w:val="00592897"/>
    <w:rsid w:val="00593656"/>
    <w:rsid w:val="00594321"/>
    <w:rsid w:val="0059474B"/>
    <w:rsid w:val="00595034"/>
    <w:rsid w:val="005957C2"/>
    <w:rsid w:val="005959E2"/>
    <w:rsid w:val="0059730A"/>
    <w:rsid w:val="0059777D"/>
    <w:rsid w:val="005A0639"/>
    <w:rsid w:val="005A0D1D"/>
    <w:rsid w:val="005A0DA6"/>
    <w:rsid w:val="005A1107"/>
    <w:rsid w:val="005A192E"/>
    <w:rsid w:val="005A2398"/>
    <w:rsid w:val="005A2FF0"/>
    <w:rsid w:val="005A332C"/>
    <w:rsid w:val="005A40C8"/>
    <w:rsid w:val="005A50BD"/>
    <w:rsid w:val="005A577A"/>
    <w:rsid w:val="005A627E"/>
    <w:rsid w:val="005A6A84"/>
    <w:rsid w:val="005A745E"/>
    <w:rsid w:val="005A7A16"/>
    <w:rsid w:val="005A7B56"/>
    <w:rsid w:val="005B0853"/>
    <w:rsid w:val="005B0920"/>
    <w:rsid w:val="005B10A8"/>
    <w:rsid w:val="005B1592"/>
    <w:rsid w:val="005B1FB2"/>
    <w:rsid w:val="005B1FE7"/>
    <w:rsid w:val="005B2502"/>
    <w:rsid w:val="005B26D6"/>
    <w:rsid w:val="005B2D0C"/>
    <w:rsid w:val="005B3074"/>
    <w:rsid w:val="005B371E"/>
    <w:rsid w:val="005B3B43"/>
    <w:rsid w:val="005B4AAD"/>
    <w:rsid w:val="005B4B5B"/>
    <w:rsid w:val="005B5508"/>
    <w:rsid w:val="005B5F15"/>
    <w:rsid w:val="005B640F"/>
    <w:rsid w:val="005B669F"/>
    <w:rsid w:val="005B6BEA"/>
    <w:rsid w:val="005B6ED1"/>
    <w:rsid w:val="005B7D00"/>
    <w:rsid w:val="005B7E12"/>
    <w:rsid w:val="005C04AF"/>
    <w:rsid w:val="005C07BC"/>
    <w:rsid w:val="005C0A72"/>
    <w:rsid w:val="005C17C9"/>
    <w:rsid w:val="005C2330"/>
    <w:rsid w:val="005C275E"/>
    <w:rsid w:val="005C2941"/>
    <w:rsid w:val="005C371C"/>
    <w:rsid w:val="005C3C08"/>
    <w:rsid w:val="005C3ED0"/>
    <w:rsid w:val="005C44B1"/>
    <w:rsid w:val="005C4652"/>
    <w:rsid w:val="005C483B"/>
    <w:rsid w:val="005C4A28"/>
    <w:rsid w:val="005C4F2A"/>
    <w:rsid w:val="005C5242"/>
    <w:rsid w:val="005C52BD"/>
    <w:rsid w:val="005C560C"/>
    <w:rsid w:val="005C5848"/>
    <w:rsid w:val="005C5978"/>
    <w:rsid w:val="005C5B32"/>
    <w:rsid w:val="005C5D83"/>
    <w:rsid w:val="005C6219"/>
    <w:rsid w:val="005C65E5"/>
    <w:rsid w:val="005C6F18"/>
    <w:rsid w:val="005C7B69"/>
    <w:rsid w:val="005D0008"/>
    <w:rsid w:val="005D04B9"/>
    <w:rsid w:val="005D052E"/>
    <w:rsid w:val="005D0A3C"/>
    <w:rsid w:val="005D132F"/>
    <w:rsid w:val="005D1E6A"/>
    <w:rsid w:val="005D1F1D"/>
    <w:rsid w:val="005D240B"/>
    <w:rsid w:val="005D2C4C"/>
    <w:rsid w:val="005D38A3"/>
    <w:rsid w:val="005D43B0"/>
    <w:rsid w:val="005D45ED"/>
    <w:rsid w:val="005D4A0A"/>
    <w:rsid w:val="005D5073"/>
    <w:rsid w:val="005D529D"/>
    <w:rsid w:val="005D5D24"/>
    <w:rsid w:val="005D64B1"/>
    <w:rsid w:val="005D68E5"/>
    <w:rsid w:val="005D7748"/>
    <w:rsid w:val="005D7D36"/>
    <w:rsid w:val="005E062B"/>
    <w:rsid w:val="005E0BF6"/>
    <w:rsid w:val="005E143E"/>
    <w:rsid w:val="005E1579"/>
    <w:rsid w:val="005E1921"/>
    <w:rsid w:val="005E1A81"/>
    <w:rsid w:val="005E1CFC"/>
    <w:rsid w:val="005E1E54"/>
    <w:rsid w:val="005E2B72"/>
    <w:rsid w:val="005E33AD"/>
    <w:rsid w:val="005E34AD"/>
    <w:rsid w:val="005E385F"/>
    <w:rsid w:val="005E3B17"/>
    <w:rsid w:val="005E4277"/>
    <w:rsid w:val="005E48C7"/>
    <w:rsid w:val="005E56C7"/>
    <w:rsid w:val="005E5A68"/>
    <w:rsid w:val="005E60A1"/>
    <w:rsid w:val="005E6831"/>
    <w:rsid w:val="005E6E05"/>
    <w:rsid w:val="005E7442"/>
    <w:rsid w:val="005E7660"/>
    <w:rsid w:val="005E7B6B"/>
    <w:rsid w:val="005E7CB0"/>
    <w:rsid w:val="005F0335"/>
    <w:rsid w:val="005F036A"/>
    <w:rsid w:val="005F12C7"/>
    <w:rsid w:val="005F1772"/>
    <w:rsid w:val="005F19BA"/>
    <w:rsid w:val="005F1FEE"/>
    <w:rsid w:val="005F21D1"/>
    <w:rsid w:val="005F2247"/>
    <w:rsid w:val="005F2AA8"/>
    <w:rsid w:val="005F2DB9"/>
    <w:rsid w:val="005F313E"/>
    <w:rsid w:val="005F4D26"/>
    <w:rsid w:val="005F5B75"/>
    <w:rsid w:val="005F5CE3"/>
    <w:rsid w:val="005F6131"/>
    <w:rsid w:val="005F640E"/>
    <w:rsid w:val="005F65CF"/>
    <w:rsid w:val="005F661B"/>
    <w:rsid w:val="005F6C16"/>
    <w:rsid w:val="005F6C88"/>
    <w:rsid w:val="005F7DDD"/>
    <w:rsid w:val="00600DAC"/>
    <w:rsid w:val="00600F5D"/>
    <w:rsid w:val="00602510"/>
    <w:rsid w:val="006027AF"/>
    <w:rsid w:val="006028D1"/>
    <w:rsid w:val="00603035"/>
    <w:rsid w:val="00603442"/>
    <w:rsid w:val="0060351C"/>
    <w:rsid w:val="00603A2A"/>
    <w:rsid w:val="00603D60"/>
    <w:rsid w:val="00603DFF"/>
    <w:rsid w:val="00603E31"/>
    <w:rsid w:val="00604096"/>
    <w:rsid w:val="00604417"/>
    <w:rsid w:val="006046FD"/>
    <w:rsid w:val="00604B28"/>
    <w:rsid w:val="00604DAA"/>
    <w:rsid w:val="00604EFB"/>
    <w:rsid w:val="00605334"/>
    <w:rsid w:val="006054B4"/>
    <w:rsid w:val="006054EC"/>
    <w:rsid w:val="00605926"/>
    <w:rsid w:val="00605AA7"/>
    <w:rsid w:val="00606172"/>
    <w:rsid w:val="00606355"/>
    <w:rsid w:val="0060731E"/>
    <w:rsid w:val="00607A62"/>
    <w:rsid w:val="00607DD3"/>
    <w:rsid w:val="006100C1"/>
    <w:rsid w:val="00610714"/>
    <w:rsid w:val="00610B70"/>
    <w:rsid w:val="0061198E"/>
    <w:rsid w:val="00611D9B"/>
    <w:rsid w:val="00612613"/>
    <w:rsid w:val="00612628"/>
    <w:rsid w:val="00612703"/>
    <w:rsid w:val="00612DA0"/>
    <w:rsid w:val="00612F50"/>
    <w:rsid w:val="0061366D"/>
    <w:rsid w:val="00614098"/>
    <w:rsid w:val="006144A6"/>
    <w:rsid w:val="006145F8"/>
    <w:rsid w:val="0061498C"/>
    <w:rsid w:val="00615DF0"/>
    <w:rsid w:val="00616658"/>
    <w:rsid w:val="00616B5C"/>
    <w:rsid w:val="006172A3"/>
    <w:rsid w:val="006202C1"/>
    <w:rsid w:val="006221D1"/>
    <w:rsid w:val="006224D2"/>
    <w:rsid w:val="0062279D"/>
    <w:rsid w:val="00624281"/>
    <w:rsid w:val="0062439A"/>
    <w:rsid w:val="00624B6D"/>
    <w:rsid w:val="00625278"/>
    <w:rsid w:val="00625E06"/>
    <w:rsid w:val="0062664E"/>
    <w:rsid w:val="00626652"/>
    <w:rsid w:val="0062681C"/>
    <w:rsid w:val="00626AC1"/>
    <w:rsid w:val="00627055"/>
    <w:rsid w:val="0062756A"/>
    <w:rsid w:val="00627B4D"/>
    <w:rsid w:val="00627E90"/>
    <w:rsid w:val="00630F61"/>
    <w:rsid w:val="0063193C"/>
    <w:rsid w:val="00631E20"/>
    <w:rsid w:val="00632009"/>
    <w:rsid w:val="006321E5"/>
    <w:rsid w:val="00632350"/>
    <w:rsid w:val="006325ED"/>
    <w:rsid w:val="00632E23"/>
    <w:rsid w:val="00633CF9"/>
    <w:rsid w:val="00634209"/>
    <w:rsid w:val="00634415"/>
    <w:rsid w:val="006347B3"/>
    <w:rsid w:val="00634A67"/>
    <w:rsid w:val="00634BFD"/>
    <w:rsid w:val="00635589"/>
    <w:rsid w:val="00636D46"/>
    <w:rsid w:val="00637387"/>
    <w:rsid w:val="006376A6"/>
    <w:rsid w:val="00637863"/>
    <w:rsid w:val="006379D1"/>
    <w:rsid w:val="00637B5D"/>
    <w:rsid w:val="00640075"/>
    <w:rsid w:val="00640093"/>
    <w:rsid w:val="006416C8"/>
    <w:rsid w:val="006418E3"/>
    <w:rsid w:val="00641E2C"/>
    <w:rsid w:val="00641E35"/>
    <w:rsid w:val="00641E6D"/>
    <w:rsid w:val="00642759"/>
    <w:rsid w:val="006427C8"/>
    <w:rsid w:val="00642CDD"/>
    <w:rsid w:val="00643342"/>
    <w:rsid w:val="0064362A"/>
    <w:rsid w:val="00643667"/>
    <w:rsid w:val="006443BA"/>
    <w:rsid w:val="0064470F"/>
    <w:rsid w:val="00644786"/>
    <w:rsid w:val="00645111"/>
    <w:rsid w:val="00645C3E"/>
    <w:rsid w:val="00646A71"/>
    <w:rsid w:val="006471F1"/>
    <w:rsid w:val="00647841"/>
    <w:rsid w:val="00650286"/>
    <w:rsid w:val="00650764"/>
    <w:rsid w:val="006508F8"/>
    <w:rsid w:val="00650B2B"/>
    <w:rsid w:val="00650D3D"/>
    <w:rsid w:val="00651068"/>
    <w:rsid w:val="00652BA0"/>
    <w:rsid w:val="00652C36"/>
    <w:rsid w:val="0065372D"/>
    <w:rsid w:val="00653BAD"/>
    <w:rsid w:val="0065413C"/>
    <w:rsid w:val="00654FE7"/>
    <w:rsid w:val="0065547D"/>
    <w:rsid w:val="006556D8"/>
    <w:rsid w:val="00656581"/>
    <w:rsid w:val="00656ABC"/>
    <w:rsid w:val="006571CC"/>
    <w:rsid w:val="00657250"/>
    <w:rsid w:val="00657382"/>
    <w:rsid w:val="006579FB"/>
    <w:rsid w:val="00657EB7"/>
    <w:rsid w:val="00660387"/>
    <w:rsid w:val="00660879"/>
    <w:rsid w:val="00660D61"/>
    <w:rsid w:val="006614AE"/>
    <w:rsid w:val="00661FFF"/>
    <w:rsid w:val="00662727"/>
    <w:rsid w:val="00662954"/>
    <w:rsid w:val="006632D9"/>
    <w:rsid w:val="00663686"/>
    <w:rsid w:val="00663D52"/>
    <w:rsid w:val="00664388"/>
    <w:rsid w:val="006648D5"/>
    <w:rsid w:val="0066548A"/>
    <w:rsid w:val="0066570B"/>
    <w:rsid w:val="0066642E"/>
    <w:rsid w:val="0066698E"/>
    <w:rsid w:val="00667772"/>
    <w:rsid w:val="006677E6"/>
    <w:rsid w:val="006704FD"/>
    <w:rsid w:val="0067057D"/>
    <w:rsid w:val="006705B5"/>
    <w:rsid w:val="006712E6"/>
    <w:rsid w:val="0067228F"/>
    <w:rsid w:val="0067231B"/>
    <w:rsid w:val="00672522"/>
    <w:rsid w:val="00672579"/>
    <w:rsid w:val="0067267C"/>
    <w:rsid w:val="00672E1D"/>
    <w:rsid w:val="00672EB9"/>
    <w:rsid w:val="00673526"/>
    <w:rsid w:val="00673822"/>
    <w:rsid w:val="00673A85"/>
    <w:rsid w:val="00673F33"/>
    <w:rsid w:val="00674DD8"/>
    <w:rsid w:val="0067528C"/>
    <w:rsid w:val="0067540D"/>
    <w:rsid w:val="00675A26"/>
    <w:rsid w:val="00675C58"/>
    <w:rsid w:val="0067666E"/>
    <w:rsid w:val="00676A76"/>
    <w:rsid w:val="00676EE3"/>
    <w:rsid w:val="00676F13"/>
    <w:rsid w:val="006800B3"/>
    <w:rsid w:val="00680B7B"/>
    <w:rsid w:val="00681F71"/>
    <w:rsid w:val="0068433E"/>
    <w:rsid w:val="00684660"/>
    <w:rsid w:val="006847B1"/>
    <w:rsid w:val="00684996"/>
    <w:rsid w:val="00684C69"/>
    <w:rsid w:val="00684C77"/>
    <w:rsid w:val="00684F95"/>
    <w:rsid w:val="00685ED4"/>
    <w:rsid w:val="00686DF2"/>
    <w:rsid w:val="00687297"/>
    <w:rsid w:val="00687F66"/>
    <w:rsid w:val="006905F4"/>
    <w:rsid w:val="00691399"/>
    <w:rsid w:val="00691550"/>
    <w:rsid w:val="00691D70"/>
    <w:rsid w:val="00691DA1"/>
    <w:rsid w:val="0069229A"/>
    <w:rsid w:val="00693010"/>
    <w:rsid w:val="00693547"/>
    <w:rsid w:val="0069400C"/>
    <w:rsid w:val="006942B6"/>
    <w:rsid w:val="0069493B"/>
    <w:rsid w:val="0069495F"/>
    <w:rsid w:val="00694B03"/>
    <w:rsid w:val="00695195"/>
    <w:rsid w:val="00695346"/>
    <w:rsid w:val="0069535E"/>
    <w:rsid w:val="006955FB"/>
    <w:rsid w:val="00695F05"/>
    <w:rsid w:val="0069630E"/>
    <w:rsid w:val="00696E6B"/>
    <w:rsid w:val="0069740F"/>
    <w:rsid w:val="006978A6"/>
    <w:rsid w:val="006A0834"/>
    <w:rsid w:val="006A0955"/>
    <w:rsid w:val="006A1750"/>
    <w:rsid w:val="006A1941"/>
    <w:rsid w:val="006A25EB"/>
    <w:rsid w:val="006A2A46"/>
    <w:rsid w:val="006A30CC"/>
    <w:rsid w:val="006A45B3"/>
    <w:rsid w:val="006A4781"/>
    <w:rsid w:val="006A4880"/>
    <w:rsid w:val="006A4925"/>
    <w:rsid w:val="006A4F52"/>
    <w:rsid w:val="006A6262"/>
    <w:rsid w:val="006A65E5"/>
    <w:rsid w:val="006A70D1"/>
    <w:rsid w:val="006B071A"/>
    <w:rsid w:val="006B25B1"/>
    <w:rsid w:val="006B25F5"/>
    <w:rsid w:val="006B2711"/>
    <w:rsid w:val="006B2A31"/>
    <w:rsid w:val="006B34C0"/>
    <w:rsid w:val="006B3510"/>
    <w:rsid w:val="006B3650"/>
    <w:rsid w:val="006B36F9"/>
    <w:rsid w:val="006B4400"/>
    <w:rsid w:val="006B48C3"/>
    <w:rsid w:val="006B4C6B"/>
    <w:rsid w:val="006B5EC6"/>
    <w:rsid w:val="006B61EF"/>
    <w:rsid w:val="006B63DD"/>
    <w:rsid w:val="006B7171"/>
    <w:rsid w:val="006B7D91"/>
    <w:rsid w:val="006C0851"/>
    <w:rsid w:val="006C0F11"/>
    <w:rsid w:val="006C12F6"/>
    <w:rsid w:val="006C12F8"/>
    <w:rsid w:val="006C1785"/>
    <w:rsid w:val="006C223F"/>
    <w:rsid w:val="006C31F7"/>
    <w:rsid w:val="006C3261"/>
    <w:rsid w:val="006C32B6"/>
    <w:rsid w:val="006C33DD"/>
    <w:rsid w:val="006C367D"/>
    <w:rsid w:val="006C3718"/>
    <w:rsid w:val="006C436E"/>
    <w:rsid w:val="006C4CFB"/>
    <w:rsid w:val="006C6793"/>
    <w:rsid w:val="006C7F6E"/>
    <w:rsid w:val="006D0243"/>
    <w:rsid w:val="006D049B"/>
    <w:rsid w:val="006D0F98"/>
    <w:rsid w:val="006D206D"/>
    <w:rsid w:val="006D2BDD"/>
    <w:rsid w:val="006D2D7E"/>
    <w:rsid w:val="006D2F5A"/>
    <w:rsid w:val="006D3A8B"/>
    <w:rsid w:val="006D3AD4"/>
    <w:rsid w:val="006D45B4"/>
    <w:rsid w:val="006D5633"/>
    <w:rsid w:val="006D5679"/>
    <w:rsid w:val="006D59E8"/>
    <w:rsid w:val="006D64D1"/>
    <w:rsid w:val="006D6ABD"/>
    <w:rsid w:val="006D7467"/>
    <w:rsid w:val="006D77F2"/>
    <w:rsid w:val="006D78F6"/>
    <w:rsid w:val="006D7CF1"/>
    <w:rsid w:val="006E0DE0"/>
    <w:rsid w:val="006E2470"/>
    <w:rsid w:val="006E2685"/>
    <w:rsid w:val="006E2FE3"/>
    <w:rsid w:val="006E4362"/>
    <w:rsid w:val="006E47D8"/>
    <w:rsid w:val="006E57D1"/>
    <w:rsid w:val="006E58DF"/>
    <w:rsid w:val="006E5A6D"/>
    <w:rsid w:val="006E5D91"/>
    <w:rsid w:val="006E6740"/>
    <w:rsid w:val="006E70DA"/>
    <w:rsid w:val="006E71B1"/>
    <w:rsid w:val="006E74D3"/>
    <w:rsid w:val="006E755D"/>
    <w:rsid w:val="006F0D67"/>
    <w:rsid w:val="006F0F72"/>
    <w:rsid w:val="006F103A"/>
    <w:rsid w:val="006F1A90"/>
    <w:rsid w:val="006F217F"/>
    <w:rsid w:val="006F2359"/>
    <w:rsid w:val="006F264C"/>
    <w:rsid w:val="006F281C"/>
    <w:rsid w:val="006F30E1"/>
    <w:rsid w:val="006F329D"/>
    <w:rsid w:val="006F39E5"/>
    <w:rsid w:val="006F411D"/>
    <w:rsid w:val="006F4233"/>
    <w:rsid w:val="006F4A80"/>
    <w:rsid w:val="006F5A4A"/>
    <w:rsid w:val="006F5B75"/>
    <w:rsid w:val="006F673F"/>
    <w:rsid w:val="006F6CCE"/>
    <w:rsid w:val="006F6F11"/>
    <w:rsid w:val="006F70AD"/>
    <w:rsid w:val="006F721C"/>
    <w:rsid w:val="006F7EEE"/>
    <w:rsid w:val="00700374"/>
    <w:rsid w:val="00700578"/>
    <w:rsid w:val="0070121A"/>
    <w:rsid w:val="00701C04"/>
    <w:rsid w:val="00701F92"/>
    <w:rsid w:val="00702110"/>
    <w:rsid w:val="00702B36"/>
    <w:rsid w:val="007032CA"/>
    <w:rsid w:val="007034C1"/>
    <w:rsid w:val="0070359B"/>
    <w:rsid w:val="0070359D"/>
    <w:rsid w:val="00703FAC"/>
    <w:rsid w:val="00704315"/>
    <w:rsid w:val="0070472F"/>
    <w:rsid w:val="00704FB4"/>
    <w:rsid w:val="00705B01"/>
    <w:rsid w:val="00705F28"/>
    <w:rsid w:val="0070658A"/>
    <w:rsid w:val="007069C4"/>
    <w:rsid w:val="007076D5"/>
    <w:rsid w:val="00707F01"/>
    <w:rsid w:val="00710164"/>
    <w:rsid w:val="007101F2"/>
    <w:rsid w:val="00710A70"/>
    <w:rsid w:val="00710C03"/>
    <w:rsid w:val="00710C79"/>
    <w:rsid w:val="0071142D"/>
    <w:rsid w:val="007114E4"/>
    <w:rsid w:val="00711AB0"/>
    <w:rsid w:val="00711C19"/>
    <w:rsid w:val="00711C83"/>
    <w:rsid w:val="007128C5"/>
    <w:rsid w:val="00713E02"/>
    <w:rsid w:val="007140B8"/>
    <w:rsid w:val="0071412F"/>
    <w:rsid w:val="00714C7D"/>
    <w:rsid w:val="00715C33"/>
    <w:rsid w:val="00715F32"/>
    <w:rsid w:val="007165F8"/>
    <w:rsid w:val="00716BB3"/>
    <w:rsid w:val="00716ED5"/>
    <w:rsid w:val="00716FB2"/>
    <w:rsid w:val="0071703C"/>
    <w:rsid w:val="00717B9B"/>
    <w:rsid w:val="00720D56"/>
    <w:rsid w:val="00721199"/>
    <w:rsid w:val="007219FC"/>
    <w:rsid w:val="00721D62"/>
    <w:rsid w:val="007221DB"/>
    <w:rsid w:val="00722892"/>
    <w:rsid w:val="00722C15"/>
    <w:rsid w:val="007235BB"/>
    <w:rsid w:val="007237A7"/>
    <w:rsid w:val="00724C27"/>
    <w:rsid w:val="00724F08"/>
    <w:rsid w:val="00724FDD"/>
    <w:rsid w:val="00725166"/>
    <w:rsid w:val="00725799"/>
    <w:rsid w:val="0072603F"/>
    <w:rsid w:val="0072700C"/>
    <w:rsid w:val="00727212"/>
    <w:rsid w:val="0072724D"/>
    <w:rsid w:val="00727729"/>
    <w:rsid w:val="007300B8"/>
    <w:rsid w:val="0073036C"/>
    <w:rsid w:val="00730E86"/>
    <w:rsid w:val="0073160F"/>
    <w:rsid w:val="007316DD"/>
    <w:rsid w:val="0073225F"/>
    <w:rsid w:val="00732BD1"/>
    <w:rsid w:val="0073336A"/>
    <w:rsid w:val="0073345E"/>
    <w:rsid w:val="00733F23"/>
    <w:rsid w:val="00734034"/>
    <w:rsid w:val="0073442C"/>
    <w:rsid w:val="00734853"/>
    <w:rsid w:val="00734AD5"/>
    <w:rsid w:val="00734BC1"/>
    <w:rsid w:val="00735133"/>
    <w:rsid w:val="0073535A"/>
    <w:rsid w:val="00735569"/>
    <w:rsid w:val="007359AC"/>
    <w:rsid w:val="007359B1"/>
    <w:rsid w:val="00735A87"/>
    <w:rsid w:val="00735E6C"/>
    <w:rsid w:val="00735E7E"/>
    <w:rsid w:val="007365BE"/>
    <w:rsid w:val="0073662F"/>
    <w:rsid w:val="00736F38"/>
    <w:rsid w:val="007372B8"/>
    <w:rsid w:val="00737A6B"/>
    <w:rsid w:val="00737C6D"/>
    <w:rsid w:val="007403A8"/>
    <w:rsid w:val="00740468"/>
    <w:rsid w:val="00740CBE"/>
    <w:rsid w:val="00741852"/>
    <w:rsid w:val="007419A4"/>
    <w:rsid w:val="00741CBA"/>
    <w:rsid w:val="007430D5"/>
    <w:rsid w:val="0074350F"/>
    <w:rsid w:val="0074365E"/>
    <w:rsid w:val="00743A2D"/>
    <w:rsid w:val="00743EA6"/>
    <w:rsid w:val="007444B3"/>
    <w:rsid w:val="007446F2"/>
    <w:rsid w:val="0074547C"/>
    <w:rsid w:val="00745795"/>
    <w:rsid w:val="00745A11"/>
    <w:rsid w:val="00745EBC"/>
    <w:rsid w:val="007467EE"/>
    <w:rsid w:val="00747728"/>
    <w:rsid w:val="007478E6"/>
    <w:rsid w:val="00750671"/>
    <w:rsid w:val="00750731"/>
    <w:rsid w:val="0075087D"/>
    <w:rsid w:val="00750DF6"/>
    <w:rsid w:val="00750E84"/>
    <w:rsid w:val="0075183C"/>
    <w:rsid w:val="007529DA"/>
    <w:rsid w:val="007538AD"/>
    <w:rsid w:val="00753E25"/>
    <w:rsid w:val="007540F4"/>
    <w:rsid w:val="007542CA"/>
    <w:rsid w:val="00754B07"/>
    <w:rsid w:val="00754C50"/>
    <w:rsid w:val="00754D8A"/>
    <w:rsid w:val="007557D0"/>
    <w:rsid w:val="00755816"/>
    <w:rsid w:val="00755B2A"/>
    <w:rsid w:val="00755DD6"/>
    <w:rsid w:val="00757BBB"/>
    <w:rsid w:val="00760798"/>
    <w:rsid w:val="00760989"/>
    <w:rsid w:val="007609F8"/>
    <w:rsid w:val="00760EBB"/>
    <w:rsid w:val="0076128C"/>
    <w:rsid w:val="007614AD"/>
    <w:rsid w:val="00761553"/>
    <w:rsid w:val="007618C0"/>
    <w:rsid w:val="007618D3"/>
    <w:rsid w:val="00761C60"/>
    <w:rsid w:val="00762034"/>
    <w:rsid w:val="0076276D"/>
    <w:rsid w:val="0076325E"/>
    <w:rsid w:val="00763478"/>
    <w:rsid w:val="00764F99"/>
    <w:rsid w:val="0076509D"/>
    <w:rsid w:val="00765377"/>
    <w:rsid w:val="0076563D"/>
    <w:rsid w:val="00765732"/>
    <w:rsid w:val="00765F14"/>
    <w:rsid w:val="00766763"/>
    <w:rsid w:val="00767BB5"/>
    <w:rsid w:val="00767C9A"/>
    <w:rsid w:val="00770012"/>
    <w:rsid w:val="007700AE"/>
    <w:rsid w:val="00770EFD"/>
    <w:rsid w:val="0077145E"/>
    <w:rsid w:val="007718F3"/>
    <w:rsid w:val="007718F6"/>
    <w:rsid w:val="00772005"/>
    <w:rsid w:val="00772092"/>
    <w:rsid w:val="0077264B"/>
    <w:rsid w:val="00772FEE"/>
    <w:rsid w:val="0077328D"/>
    <w:rsid w:val="007735BE"/>
    <w:rsid w:val="00774680"/>
    <w:rsid w:val="00775112"/>
    <w:rsid w:val="0077589C"/>
    <w:rsid w:val="00776289"/>
    <w:rsid w:val="007775D9"/>
    <w:rsid w:val="00777F7F"/>
    <w:rsid w:val="0078023F"/>
    <w:rsid w:val="007809FB"/>
    <w:rsid w:val="00780CF3"/>
    <w:rsid w:val="00780F2E"/>
    <w:rsid w:val="0078110F"/>
    <w:rsid w:val="0078120E"/>
    <w:rsid w:val="00781AB6"/>
    <w:rsid w:val="0078202D"/>
    <w:rsid w:val="007823A0"/>
    <w:rsid w:val="00782B07"/>
    <w:rsid w:val="007834F4"/>
    <w:rsid w:val="00783684"/>
    <w:rsid w:val="0078434C"/>
    <w:rsid w:val="00784C7E"/>
    <w:rsid w:val="00784F89"/>
    <w:rsid w:val="00785452"/>
    <w:rsid w:val="00785B43"/>
    <w:rsid w:val="00786A01"/>
    <w:rsid w:val="00786C1D"/>
    <w:rsid w:val="007872EE"/>
    <w:rsid w:val="007908C2"/>
    <w:rsid w:val="007909BC"/>
    <w:rsid w:val="00791A22"/>
    <w:rsid w:val="00791BA6"/>
    <w:rsid w:val="00791D32"/>
    <w:rsid w:val="00792545"/>
    <w:rsid w:val="007926B2"/>
    <w:rsid w:val="00793616"/>
    <w:rsid w:val="007937A1"/>
    <w:rsid w:val="00793BC5"/>
    <w:rsid w:val="00793C6A"/>
    <w:rsid w:val="00793E43"/>
    <w:rsid w:val="007945D2"/>
    <w:rsid w:val="007947A1"/>
    <w:rsid w:val="0079595B"/>
    <w:rsid w:val="007969DD"/>
    <w:rsid w:val="00796C00"/>
    <w:rsid w:val="00796D27"/>
    <w:rsid w:val="0079726C"/>
    <w:rsid w:val="00797801"/>
    <w:rsid w:val="00797EA6"/>
    <w:rsid w:val="007A0A26"/>
    <w:rsid w:val="007A0AA3"/>
    <w:rsid w:val="007A100F"/>
    <w:rsid w:val="007A13EC"/>
    <w:rsid w:val="007A144C"/>
    <w:rsid w:val="007A154C"/>
    <w:rsid w:val="007A158B"/>
    <w:rsid w:val="007A1E1A"/>
    <w:rsid w:val="007A1E95"/>
    <w:rsid w:val="007A2419"/>
    <w:rsid w:val="007A2713"/>
    <w:rsid w:val="007A2FF6"/>
    <w:rsid w:val="007A3D68"/>
    <w:rsid w:val="007A3E2A"/>
    <w:rsid w:val="007A4171"/>
    <w:rsid w:val="007A443D"/>
    <w:rsid w:val="007A5134"/>
    <w:rsid w:val="007A57F0"/>
    <w:rsid w:val="007A6544"/>
    <w:rsid w:val="007A7647"/>
    <w:rsid w:val="007B07DA"/>
    <w:rsid w:val="007B08F8"/>
    <w:rsid w:val="007B0941"/>
    <w:rsid w:val="007B0A7A"/>
    <w:rsid w:val="007B0E14"/>
    <w:rsid w:val="007B1460"/>
    <w:rsid w:val="007B184A"/>
    <w:rsid w:val="007B2DAE"/>
    <w:rsid w:val="007B35A3"/>
    <w:rsid w:val="007B3FDB"/>
    <w:rsid w:val="007B4D80"/>
    <w:rsid w:val="007B5327"/>
    <w:rsid w:val="007B556B"/>
    <w:rsid w:val="007B5EAF"/>
    <w:rsid w:val="007B6142"/>
    <w:rsid w:val="007B6271"/>
    <w:rsid w:val="007C0557"/>
    <w:rsid w:val="007C06FF"/>
    <w:rsid w:val="007C0C9C"/>
    <w:rsid w:val="007C0E06"/>
    <w:rsid w:val="007C13D7"/>
    <w:rsid w:val="007C16A4"/>
    <w:rsid w:val="007C1705"/>
    <w:rsid w:val="007C17B0"/>
    <w:rsid w:val="007C1837"/>
    <w:rsid w:val="007C2194"/>
    <w:rsid w:val="007C22F8"/>
    <w:rsid w:val="007C2896"/>
    <w:rsid w:val="007C3069"/>
    <w:rsid w:val="007C357C"/>
    <w:rsid w:val="007C37ED"/>
    <w:rsid w:val="007C403C"/>
    <w:rsid w:val="007C422C"/>
    <w:rsid w:val="007C6D17"/>
    <w:rsid w:val="007C6D4D"/>
    <w:rsid w:val="007C7051"/>
    <w:rsid w:val="007C76CD"/>
    <w:rsid w:val="007C7EF0"/>
    <w:rsid w:val="007D05BE"/>
    <w:rsid w:val="007D1EF7"/>
    <w:rsid w:val="007D2112"/>
    <w:rsid w:val="007D2728"/>
    <w:rsid w:val="007D3447"/>
    <w:rsid w:val="007D38E5"/>
    <w:rsid w:val="007D4250"/>
    <w:rsid w:val="007D4B1F"/>
    <w:rsid w:val="007D4D68"/>
    <w:rsid w:val="007D5D62"/>
    <w:rsid w:val="007D70D8"/>
    <w:rsid w:val="007D7C12"/>
    <w:rsid w:val="007E145A"/>
    <w:rsid w:val="007E1503"/>
    <w:rsid w:val="007E1E15"/>
    <w:rsid w:val="007E24C7"/>
    <w:rsid w:val="007E2BC5"/>
    <w:rsid w:val="007E42D3"/>
    <w:rsid w:val="007E483F"/>
    <w:rsid w:val="007E4F31"/>
    <w:rsid w:val="007E5392"/>
    <w:rsid w:val="007E65D1"/>
    <w:rsid w:val="007E7756"/>
    <w:rsid w:val="007E7BFA"/>
    <w:rsid w:val="007F045C"/>
    <w:rsid w:val="007F0EB6"/>
    <w:rsid w:val="007F107B"/>
    <w:rsid w:val="007F16CF"/>
    <w:rsid w:val="007F2268"/>
    <w:rsid w:val="007F3265"/>
    <w:rsid w:val="007F3621"/>
    <w:rsid w:val="007F4B93"/>
    <w:rsid w:val="007F4FE0"/>
    <w:rsid w:val="007F52FB"/>
    <w:rsid w:val="007F680E"/>
    <w:rsid w:val="007F6D7C"/>
    <w:rsid w:val="007F7A76"/>
    <w:rsid w:val="00800E1B"/>
    <w:rsid w:val="00800FFA"/>
    <w:rsid w:val="00801A04"/>
    <w:rsid w:val="00803C31"/>
    <w:rsid w:val="00803E21"/>
    <w:rsid w:val="0080409D"/>
    <w:rsid w:val="0080466F"/>
    <w:rsid w:val="008051C9"/>
    <w:rsid w:val="00805597"/>
    <w:rsid w:val="00805652"/>
    <w:rsid w:val="0080663A"/>
    <w:rsid w:val="008067BE"/>
    <w:rsid w:val="00806A61"/>
    <w:rsid w:val="00807B9F"/>
    <w:rsid w:val="00807BC3"/>
    <w:rsid w:val="00810CBC"/>
    <w:rsid w:val="00811056"/>
    <w:rsid w:val="00812155"/>
    <w:rsid w:val="00812293"/>
    <w:rsid w:val="00812D5F"/>
    <w:rsid w:val="008131BB"/>
    <w:rsid w:val="0081360E"/>
    <w:rsid w:val="00813806"/>
    <w:rsid w:val="00813A86"/>
    <w:rsid w:val="00813F87"/>
    <w:rsid w:val="008143BF"/>
    <w:rsid w:val="008149AC"/>
    <w:rsid w:val="00814F64"/>
    <w:rsid w:val="00815261"/>
    <w:rsid w:val="00815866"/>
    <w:rsid w:val="00815AE3"/>
    <w:rsid w:val="00816130"/>
    <w:rsid w:val="008167C0"/>
    <w:rsid w:val="008169F4"/>
    <w:rsid w:val="008177A7"/>
    <w:rsid w:val="00817B00"/>
    <w:rsid w:val="00817D78"/>
    <w:rsid w:val="008205B8"/>
    <w:rsid w:val="00820D91"/>
    <w:rsid w:val="00820DA0"/>
    <w:rsid w:val="008213CE"/>
    <w:rsid w:val="008215C7"/>
    <w:rsid w:val="008219F3"/>
    <w:rsid w:val="00821D25"/>
    <w:rsid w:val="00822429"/>
    <w:rsid w:val="008229F9"/>
    <w:rsid w:val="00822BAB"/>
    <w:rsid w:val="00822D16"/>
    <w:rsid w:val="00824806"/>
    <w:rsid w:val="00824D57"/>
    <w:rsid w:val="00824DA6"/>
    <w:rsid w:val="00824FFB"/>
    <w:rsid w:val="00825655"/>
    <w:rsid w:val="00826152"/>
    <w:rsid w:val="00826208"/>
    <w:rsid w:val="00826E91"/>
    <w:rsid w:val="00827509"/>
    <w:rsid w:val="00827CEF"/>
    <w:rsid w:val="00827DDC"/>
    <w:rsid w:val="0083070E"/>
    <w:rsid w:val="00830B98"/>
    <w:rsid w:val="00831027"/>
    <w:rsid w:val="008318E8"/>
    <w:rsid w:val="00831FA9"/>
    <w:rsid w:val="00831FC8"/>
    <w:rsid w:val="00832211"/>
    <w:rsid w:val="00832F95"/>
    <w:rsid w:val="00833F73"/>
    <w:rsid w:val="0083441B"/>
    <w:rsid w:val="00834510"/>
    <w:rsid w:val="008345E3"/>
    <w:rsid w:val="0083596D"/>
    <w:rsid w:val="00835B57"/>
    <w:rsid w:val="00835DD3"/>
    <w:rsid w:val="0083622A"/>
    <w:rsid w:val="0083655F"/>
    <w:rsid w:val="008378D6"/>
    <w:rsid w:val="008404C4"/>
    <w:rsid w:val="00840775"/>
    <w:rsid w:val="008409E9"/>
    <w:rsid w:val="00840CF6"/>
    <w:rsid w:val="00841148"/>
    <w:rsid w:val="0084130D"/>
    <w:rsid w:val="00841B95"/>
    <w:rsid w:val="00841E7A"/>
    <w:rsid w:val="00841FFC"/>
    <w:rsid w:val="00842272"/>
    <w:rsid w:val="0084232B"/>
    <w:rsid w:val="00842648"/>
    <w:rsid w:val="00842D6E"/>
    <w:rsid w:val="00843AAD"/>
    <w:rsid w:val="00843EA1"/>
    <w:rsid w:val="0084488F"/>
    <w:rsid w:val="00844A9B"/>
    <w:rsid w:val="008454EC"/>
    <w:rsid w:val="008455E6"/>
    <w:rsid w:val="00845666"/>
    <w:rsid w:val="00845F58"/>
    <w:rsid w:val="0084736F"/>
    <w:rsid w:val="00850446"/>
    <w:rsid w:val="00850CA7"/>
    <w:rsid w:val="00850E8E"/>
    <w:rsid w:val="00852498"/>
    <w:rsid w:val="00852B19"/>
    <w:rsid w:val="0085323C"/>
    <w:rsid w:val="008532A3"/>
    <w:rsid w:val="0085345B"/>
    <w:rsid w:val="00853C64"/>
    <w:rsid w:val="00854A32"/>
    <w:rsid w:val="00854BCD"/>
    <w:rsid w:val="00854FB7"/>
    <w:rsid w:val="00855A67"/>
    <w:rsid w:val="0085603A"/>
    <w:rsid w:val="00856117"/>
    <w:rsid w:val="0085627F"/>
    <w:rsid w:val="008569D4"/>
    <w:rsid w:val="00856DDE"/>
    <w:rsid w:val="008571F5"/>
    <w:rsid w:val="008572E5"/>
    <w:rsid w:val="008575E6"/>
    <w:rsid w:val="00860575"/>
    <w:rsid w:val="008609B5"/>
    <w:rsid w:val="008611B7"/>
    <w:rsid w:val="00861DB2"/>
    <w:rsid w:val="00861ECB"/>
    <w:rsid w:val="0086201B"/>
    <w:rsid w:val="008629D6"/>
    <w:rsid w:val="008629E7"/>
    <w:rsid w:val="0086312B"/>
    <w:rsid w:val="00863B0E"/>
    <w:rsid w:val="0086457E"/>
    <w:rsid w:val="00864BCD"/>
    <w:rsid w:val="00865585"/>
    <w:rsid w:val="008657DB"/>
    <w:rsid w:val="00865B29"/>
    <w:rsid w:val="00865E6B"/>
    <w:rsid w:val="00866A12"/>
    <w:rsid w:val="00867024"/>
    <w:rsid w:val="008671B9"/>
    <w:rsid w:val="00867368"/>
    <w:rsid w:val="00867671"/>
    <w:rsid w:val="0086774D"/>
    <w:rsid w:val="00870B8A"/>
    <w:rsid w:val="00870EF2"/>
    <w:rsid w:val="00871489"/>
    <w:rsid w:val="008715DB"/>
    <w:rsid w:val="00871DAD"/>
    <w:rsid w:val="00872849"/>
    <w:rsid w:val="00873AD8"/>
    <w:rsid w:val="0087410E"/>
    <w:rsid w:val="00874747"/>
    <w:rsid w:val="0087483B"/>
    <w:rsid w:val="008761A1"/>
    <w:rsid w:val="008762B9"/>
    <w:rsid w:val="00876675"/>
    <w:rsid w:val="0087671A"/>
    <w:rsid w:val="00877250"/>
    <w:rsid w:val="008804FB"/>
    <w:rsid w:val="00880CB9"/>
    <w:rsid w:val="00881800"/>
    <w:rsid w:val="00881971"/>
    <w:rsid w:val="00882F3D"/>
    <w:rsid w:val="00883098"/>
    <w:rsid w:val="00884390"/>
    <w:rsid w:val="008851AD"/>
    <w:rsid w:val="00885E7F"/>
    <w:rsid w:val="008862C3"/>
    <w:rsid w:val="0088718E"/>
    <w:rsid w:val="00887D3E"/>
    <w:rsid w:val="008907B7"/>
    <w:rsid w:val="008909BA"/>
    <w:rsid w:val="00890C3D"/>
    <w:rsid w:val="00890CB4"/>
    <w:rsid w:val="00890D5B"/>
    <w:rsid w:val="0089106A"/>
    <w:rsid w:val="008910CB"/>
    <w:rsid w:val="008914C5"/>
    <w:rsid w:val="00891506"/>
    <w:rsid w:val="00891985"/>
    <w:rsid w:val="00891BCC"/>
    <w:rsid w:val="008922BE"/>
    <w:rsid w:val="008929B9"/>
    <w:rsid w:val="00892BB0"/>
    <w:rsid w:val="008930D9"/>
    <w:rsid w:val="00893905"/>
    <w:rsid w:val="00893A11"/>
    <w:rsid w:val="0089405E"/>
    <w:rsid w:val="00894986"/>
    <w:rsid w:val="008949E5"/>
    <w:rsid w:val="00894C09"/>
    <w:rsid w:val="00895688"/>
    <w:rsid w:val="00895FB1"/>
    <w:rsid w:val="00896C1A"/>
    <w:rsid w:val="00897768"/>
    <w:rsid w:val="008978C9"/>
    <w:rsid w:val="00897C77"/>
    <w:rsid w:val="008A0BFB"/>
    <w:rsid w:val="008A112E"/>
    <w:rsid w:val="008A1D24"/>
    <w:rsid w:val="008A2150"/>
    <w:rsid w:val="008A2BA9"/>
    <w:rsid w:val="008A2D64"/>
    <w:rsid w:val="008A33B1"/>
    <w:rsid w:val="008A3984"/>
    <w:rsid w:val="008A3998"/>
    <w:rsid w:val="008A4AE6"/>
    <w:rsid w:val="008A4CCC"/>
    <w:rsid w:val="008A4ECD"/>
    <w:rsid w:val="008A589D"/>
    <w:rsid w:val="008A74BF"/>
    <w:rsid w:val="008A7727"/>
    <w:rsid w:val="008A7BCC"/>
    <w:rsid w:val="008A7D29"/>
    <w:rsid w:val="008B0F20"/>
    <w:rsid w:val="008B1A96"/>
    <w:rsid w:val="008B25B5"/>
    <w:rsid w:val="008B2635"/>
    <w:rsid w:val="008B2AA9"/>
    <w:rsid w:val="008B3C38"/>
    <w:rsid w:val="008B42E4"/>
    <w:rsid w:val="008B4426"/>
    <w:rsid w:val="008B4B60"/>
    <w:rsid w:val="008B4C50"/>
    <w:rsid w:val="008B576C"/>
    <w:rsid w:val="008B5876"/>
    <w:rsid w:val="008B5DB7"/>
    <w:rsid w:val="008B6118"/>
    <w:rsid w:val="008B6441"/>
    <w:rsid w:val="008B6F23"/>
    <w:rsid w:val="008B730F"/>
    <w:rsid w:val="008B7939"/>
    <w:rsid w:val="008B7ACF"/>
    <w:rsid w:val="008B7F88"/>
    <w:rsid w:val="008C009A"/>
    <w:rsid w:val="008C0393"/>
    <w:rsid w:val="008C123C"/>
    <w:rsid w:val="008C1F61"/>
    <w:rsid w:val="008C1F70"/>
    <w:rsid w:val="008C1F89"/>
    <w:rsid w:val="008C2858"/>
    <w:rsid w:val="008C2C2D"/>
    <w:rsid w:val="008C2CEE"/>
    <w:rsid w:val="008C31B6"/>
    <w:rsid w:val="008C329C"/>
    <w:rsid w:val="008C35A5"/>
    <w:rsid w:val="008C36B9"/>
    <w:rsid w:val="008C4104"/>
    <w:rsid w:val="008C425B"/>
    <w:rsid w:val="008C4694"/>
    <w:rsid w:val="008C5F33"/>
    <w:rsid w:val="008C6732"/>
    <w:rsid w:val="008C6F62"/>
    <w:rsid w:val="008C7190"/>
    <w:rsid w:val="008C729D"/>
    <w:rsid w:val="008C7CAB"/>
    <w:rsid w:val="008C7FBA"/>
    <w:rsid w:val="008C7FEF"/>
    <w:rsid w:val="008D028F"/>
    <w:rsid w:val="008D052A"/>
    <w:rsid w:val="008D0EE8"/>
    <w:rsid w:val="008D17BF"/>
    <w:rsid w:val="008D19DB"/>
    <w:rsid w:val="008D1CC7"/>
    <w:rsid w:val="008D24BA"/>
    <w:rsid w:val="008D298B"/>
    <w:rsid w:val="008D3089"/>
    <w:rsid w:val="008D316B"/>
    <w:rsid w:val="008D3E30"/>
    <w:rsid w:val="008D420E"/>
    <w:rsid w:val="008D4359"/>
    <w:rsid w:val="008D4A7E"/>
    <w:rsid w:val="008D5DA1"/>
    <w:rsid w:val="008D6305"/>
    <w:rsid w:val="008D6459"/>
    <w:rsid w:val="008D760F"/>
    <w:rsid w:val="008D7BA5"/>
    <w:rsid w:val="008D7CA7"/>
    <w:rsid w:val="008E07A2"/>
    <w:rsid w:val="008E1610"/>
    <w:rsid w:val="008E1763"/>
    <w:rsid w:val="008E1DEF"/>
    <w:rsid w:val="008E1F32"/>
    <w:rsid w:val="008E1F92"/>
    <w:rsid w:val="008E2B9D"/>
    <w:rsid w:val="008E2F24"/>
    <w:rsid w:val="008E4A03"/>
    <w:rsid w:val="008E4E1F"/>
    <w:rsid w:val="008E56ED"/>
    <w:rsid w:val="008E5A8A"/>
    <w:rsid w:val="008E65AD"/>
    <w:rsid w:val="008E6853"/>
    <w:rsid w:val="008E6C06"/>
    <w:rsid w:val="008E7531"/>
    <w:rsid w:val="008F0121"/>
    <w:rsid w:val="008F1119"/>
    <w:rsid w:val="008F134D"/>
    <w:rsid w:val="008F1896"/>
    <w:rsid w:val="008F18BF"/>
    <w:rsid w:val="008F37BF"/>
    <w:rsid w:val="008F3C91"/>
    <w:rsid w:val="008F4C39"/>
    <w:rsid w:val="008F4F12"/>
    <w:rsid w:val="008F5421"/>
    <w:rsid w:val="008F5E45"/>
    <w:rsid w:val="008F637F"/>
    <w:rsid w:val="008F71F5"/>
    <w:rsid w:val="008F76F7"/>
    <w:rsid w:val="008F7A22"/>
    <w:rsid w:val="008F7D89"/>
    <w:rsid w:val="009000F4"/>
    <w:rsid w:val="0090025F"/>
    <w:rsid w:val="00900967"/>
    <w:rsid w:val="00900E3A"/>
    <w:rsid w:val="0090126D"/>
    <w:rsid w:val="009014B2"/>
    <w:rsid w:val="009023B6"/>
    <w:rsid w:val="0090252C"/>
    <w:rsid w:val="00903027"/>
    <w:rsid w:val="00903174"/>
    <w:rsid w:val="0090361F"/>
    <w:rsid w:val="00903904"/>
    <w:rsid w:val="00903E4C"/>
    <w:rsid w:val="009042CA"/>
    <w:rsid w:val="0090452A"/>
    <w:rsid w:val="009049BD"/>
    <w:rsid w:val="00905960"/>
    <w:rsid w:val="00905AB2"/>
    <w:rsid w:val="00906054"/>
    <w:rsid w:val="009063E2"/>
    <w:rsid w:val="00906985"/>
    <w:rsid w:val="00906A8B"/>
    <w:rsid w:val="009071EF"/>
    <w:rsid w:val="009073E4"/>
    <w:rsid w:val="00907B55"/>
    <w:rsid w:val="009101FA"/>
    <w:rsid w:val="00910457"/>
    <w:rsid w:val="0091055F"/>
    <w:rsid w:val="00911D57"/>
    <w:rsid w:val="00913421"/>
    <w:rsid w:val="009139E7"/>
    <w:rsid w:val="00914176"/>
    <w:rsid w:val="009144CA"/>
    <w:rsid w:val="00915356"/>
    <w:rsid w:val="0091542C"/>
    <w:rsid w:val="00916AA9"/>
    <w:rsid w:val="00916C4F"/>
    <w:rsid w:val="009177EA"/>
    <w:rsid w:val="00917C29"/>
    <w:rsid w:val="00917C6F"/>
    <w:rsid w:val="00920324"/>
    <w:rsid w:val="00920BDB"/>
    <w:rsid w:val="00920C37"/>
    <w:rsid w:val="009219C3"/>
    <w:rsid w:val="009220D1"/>
    <w:rsid w:val="00922D7B"/>
    <w:rsid w:val="009230FE"/>
    <w:rsid w:val="009237AD"/>
    <w:rsid w:val="0092394B"/>
    <w:rsid w:val="00923A3A"/>
    <w:rsid w:val="00924356"/>
    <w:rsid w:val="00925325"/>
    <w:rsid w:val="00926261"/>
    <w:rsid w:val="009272A9"/>
    <w:rsid w:val="0092781D"/>
    <w:rsid w:val="009279FD"/>
    <w:rsid w:val="00927A2E"/>
    <w:rsid w:val="00927E91"/>
    <w:rsid w:val="00930090"/>
    <w:rsid w:val="009301B5"/>
    <w:rsid w:val="009303EF"/>
    <w:rsid w:val="00930A2E"/>
    <w:rsid w:val="009316D5"/>
    <w:rsid w:val="00931B29"/>
    <w:rsid w:val="009321B5"/>
    <w:rsid w:val="00932638"/>
    <w:rsid w:val="00932883"/>
    <w:rsid w:val="009329A0"/>
    <w:rsid w:val="00932D18"/>
    <w:rsid w:val="0093341E"/>
    <w:rsid w:val="0093349D"/>
    <w:rsid w:val="00933515"/>
    <w:rsid w:val="00933760"/>
    <w:rsid w:val="009342EF"/>
    <w:rsid w:val="0093456A"/>
    <w:rsid w:val="00934D67"/>
    <w:rsid w:val="00934EB5"/>
    <w:rsid w:val="00934F5D"/>
    <w:rsid w:val="00935197"/>
    <w:rsid w:val="0093542A"/>
    <w:rsid w:val="009357B6"/>
    <w:rsid w:val="00935C57"/>
    <w:rsid w:val="00937245"/>
    <w:rsid w:val="00937673"/>
    <w:rsid w:val="0093787E"/>
    <w:rsid w:val="00937B9B"/>
    <w:rsid w:val="00941738"/>
    <w:rsid w:val="00941A03"/>
    <w:rsid w:val="00941AB7"/>
    <w:rsid w:val="00941ECF"/>
    <w:rsid w:val="00942F4D"/>
    <w:rsid w:val="009433D0"/>
    <w:rsid w:val="009439AB"/>
    <w:rsid w:val="00944AC2"/>
    <w:rsid w:val="00944AEA"/>
    <w:rsid w:val="00944D25"/>
    <w:rsid w:val="0094582E"/>
    <w:rsid w:val="009460C9"/>
    <w:rsid w:val="00946E31"/>
    <w:rsid w:val="00946F3D"/>
    <w:rsid w:val="00946F5E"/>
    <w:rsid w:val="009474B8"/>
    <w:rsid w:val="00947E01"/>
    <w:rsid w:val="00947EA5"/>
    <w:rsid w:val="009500F9"/>
    <w:rsid w:val="00950A99"/>
    <w:rsid w:val="00950FF5"/>
    <w:rsid w:val="00951108"/>
    <w:rsid w:val="00951129"/>
    <w:rsid w:val="00951771"/>
    <w:rsid w:val="00952623"/>
    <w:rsid w:val="0095264A"/>
    <w:rsid w:val="0095280D"/>
    <w:rsid w:val="00952847"/>
    <w:rsid w:val="0095307C"/>
    <w:rsid w:val="00953264"/>
    <w:rsid w:val="00953C59"/>
    <w:rsid w:val="00954155"/>
    <w:rsid w:val="009542C5"/>
    <w:rsid w:val="00954732"/>
    <w:rsid w:val="009549B7"/>
    <w:rsid w:val="00955382"/>
    <w:rsid w:val="009553F8"/>
    <w:rsid w:val="009554F1"/>
    <w:rsid w:val="009556CE"/>
    <w:rsid w:val="0095587D"/>
    <w:rsid w:val="0095690F"/>
    <w:rsid w:val="00956AB1"/>
    <w:rsid w:val="00957473"/>
    <w:rsid w:val="00957BF0"/>
    <w:rsid w:val="00960432"/>
    <w:rsid w:val="0096047F"/>
    <w:rsid w:val="009609F9"/>
    <w:rsid w:val="00960C1D"/>
    <w:rsid w:val="00960FC1"/>
    <w:rsid w:val="009613F0"/>
    <w:rsid w:val="0096141E"/>
    <w:rsid w:val="0096147F"/>
    <w:rsid w:val="00961772"/>
    <w:rsid w:val="00961784"/>
    <w:rsid w:val="00961879"/>
    <w:rsid w:val="00961D24"/>
    <w:rsid w:val="0096240C"/>
    <w:rsid w:val="00962707"/>
    <w:rsid w:val="00962F12"/>
    <w:rsid w:val="009630CB"/>
    <w:rsid w:val="009636B1"/>
    <w:rsid w:val="00963938"/>
    <w:rsid w:val="00963A43"/>
    <w:rsid w:val="0096403B"/>
    <w:rsid w:val="009645D1"/>
    <w:rsid w:val="00964D73"/>
    <w:rsid w:val="0096533C"/>
    <w:rsid w:val="00966509"/>
    <w:rsid w:val="00967561"/>
    <w:rsid w:val="00967566"/>
    <w:rsid w:val="00967D74"/>
    <w:rsid w:val="00970480"/>
    <w:rsid w:val="00970D54"/>
    <w:rsid w:val="00971086"/>
    <w:rsid w:val="00971329"/>
    <w:rsid w:val="00972637"/>
    <w:rsid w:val="00972A87"/>
    <w:rsid w:val="00972AA2"/>
    <w:rsid w:val="00973660"/>
    <w:rsid w:val="0097384C"/>
    <w:rsid w:val="00974640"/>
    <w:rsid w:val="00974BFF"/>
    <w:rsid w:val="009751CE"/>
    <w:rsid w:val="009755CF"/>
    <w:rsid w:val="00975BB5"/>
    <w:rsid w:val="00975F40"/>
    <w:rsid w:val="0097683C"/>
    <w:rsid w:val="00976E37"/>
    <w:rsid w:val="009770EE"/>
    <w:rsid w:val="00977475"/>
    <w:rsid w:val="00977B56"/>
    <w:rsid w:val="00980148"/>
    <w:rsid w:val="00980166"/>
    <w:rsid w:val="009801F8"/>
    <w:rsid w:val="009807F1"/>
    <w:rsid w:val="00981AE7"/>
    <w:rsid w:val="00982291"/>
    <w:rsid w:val="00982524"/>
    <w:rsid w:val="00983210"/>
    <w:rsid w:val="009837F6"/>
    <w:rsid w:val="00984465"/>
    <w:rsid w:val="00984528"/>
    <w:rsid w:val="00984C64"/>
    <w:rsid w:val="00985DE4"/>
    <w:rsid w:val="009863DD"/>
    <w:rsid w:val="00986909"/>
    <w:rsid w:val="00986B09"/>
    <w:rsid w:val="00987B0A"/>
    <w:rsid w:val="0099083E"/>
    <w:rsid w:val="0099085D"/>
    <w:rsid w:val="009908AF"/>
    <w:rsid w:val="009923DF"/>
    <w:rsid w:val="00993135"/>
    <w:rsid w:val="009935FE"/>
    <w:rsid w:val="00993B64"/>
    <w:rsid w:val="00993C2C"/>
    <w:rsid w:val="00994936"/>
    <w:rsid w:val="00994D09"/>
    <w:rsid w:val="00995135"/>
    <w:rsid w:val="0099568E"/>
    <w:rsid w:val="00995C4A"/>
    <w:rsid w:val="00995CB5"/>
    <w:rsid w:val="009960BD"/>
    <w:rsid w:val="009965D4"/>
    <w:rsid w:val="0099692E"/>
    <w:rsid w:val="009969EA"/>
    <w:rsid w:val="00997056"/>
    <w:rsid w:val="00997479"/>
    <w:rsid w:val="0099779F"/>
    <w:rsid w:val="009A06F1"/>
    <w:rsid w:val="009A1485"/>
    <w:rsid w:val="009A1F73"/>
    <w:rsid w:val="009A2A36"/>
    <w:rsid w:val="009A2EE8"/>
    <w:rsid w:val="009A32BB"/>
    <w:rsid w:val="009A32C3"/>
    <w:rsid w:val="009A389B"/>
    <w:rsid w:val="009A4102"/>
    <w:rsid w:val="009A4148"/>
    <w:rsid w:val="009A430B"/>
    <w:rsid w:val="009A43FF"/>
    <w:rsid w:val="009A4605"/>
    <w:rsid w:val="009A513D"/>
    <w:rsid w:val="009A5415"/>
    <w:rsid w:val="009A69D2"/>
    <w:rsid w:val="009A7007"/>
    <w:rsid w:val="009A7688"/>
    <w:rsid w:val="009A77D4"/>
    <w:rsid w:val="009A7DF3"/>
    <w:rsid w:val="009B0965"/>
    <w:rsid w:val="009B18C3"/>
    <w:rsid w:val="009B2DE6"/>
    <w:rsid w:val="009B338F"/>
    <w:rsid w:val="009B3601"/>
    <w:rsid w:val="009B3867"/>
    <w:rsid w:val="009B3893"/>
    <w:rsid w:val="009B3FAD"/>
    <w:rsid w:val="009B54F4"/>
    <w:rsid w:val="009B580B"/>
    <w:rsid w:val="009B593D"/>
    <w:rsid w:val="009B5B9C"/>
    <w:rsid w:val="009B5FD4"/>
    <w:rsid w:val="009B66DF"/>
    <w:rsid w:val="009B67E6"/>
    <w:rsid w:val="009B6D63"/>
    <w:rsid w:val="009B722D"/>
    <w:rsid w:val="009B72FD"/>
    <w:rsid w:val="009C0400"/>
    <w:rsid w:val="009C0D60"/>
    <w:rsid w:val="009C0D68"/>
    <w:rsid w:val="009C0EBF"/>
    <w:rsid w:val="009C106D"/>
    <w:rsid w:val="009C1187"/>
    <w:rsid w:val="009C210E"/>
    <w:rsid w:val="009C268D"/>
    <w:rsid w:val="009C2962"/>
    <w:rsid w:val="009C299F"/>
    <w:rsid w:val="009C2B59"/>
    <w:rsid w:val="009C372C"/>
    <w:rsid w:val="009C39B0"/>
    <w:rsid w:val="009C3B07"/>
    <w:rsid w:val="009C3E03"/>
    <w:rsid w:val="009C3EE4"/>
    <w:rsid w:val="009C41EB"/>
    <w:rsid w:val="009C4457"/>
    <w:rsid w:val="009C4776"/>
    <w:rsid w:val="009C4791"/>
    <w:rsid w:val="009C4B47"/>
    <w:rsid w:val="009C53DA"/>
    <w:rsid w:val="009C5AE7"/>
    <w:rsid w:val="009C5D95"/>
    <w:rsid w:val="009C6AFC"/>
    <w:rsid w:val="009C6DB6"/>
    <w:rsid w:val="009C74EA"/>
    <w:rsid w:val="009C7D4E"/>
    <w:rsid w:val="009D00AF"/>
    <w:rsid w:val="009D02B6"/>
    <w:rsid w:val="009D10CB"/>
    <w:rsid w:val="009D1561"/>
    <w:rsid w:val="009D18B4"/>
    <w:rsid w:val="009D2621"/>
    <w:rsid w:val="009D2725"/>
    <w:rsid w:val="009D326C"/>
    <w:rsid w:val="009D3431"/>
    <w:rsid w:val="009D3ADF"/>
    <w:rsid w:val="009D482F"/>
    <w:rsid w:val="009D4E70"/>
    <w:rsid w:val="009D4ED7"/>
    <w:rsid w:val="009D5FA8"/>
    <w:rsid w:val="009D6301"/>
    <w:rsid w:val="009D6827"/>
    <w:rsid w:val="009D6B1E"/>
    <w:rsid w:val="009D6F3B"/>
    <w:rsid w:val="009D7D0B"/>
    <w:rsid w:val="009D7DC0"/>
    <w:rsid w:val="009D7FD0"/>
    <w:rsid w:val="009E08D9"/>
    <w:rsid w:val="009E0CC8"/>
    <w:rsid w:val="009E1DE0"/>
    <w:rsid w:val="009E2174"/>
    <w:rsid w:val="009E314E"/>
    <w:rsid w:val="009E390B"/>
    <w:rsid w:val="009E3AF1"/>
    <w:rsid w:val="009E4449"/>
    <w:rsid w:val="009E4809"/>
    <w:rsid w:val="009E49AB"/>
    <w:rsid w:val="009E4C2B"/>
    <w:rsid w:val="009E56FA"/>
    <w:rsid w:val="009E5CF5"/>
    <w:rsid w:val="009E6AF9"/>
    <w:rsid w:val="009E7A2B"/>
    <w:rsid w:val="009F0966"/>
    <w:rsid w:val="009F0DF8"/>
    <w:rsid w:val="009F2029"/>
    <w:rsid w:val="009F20D9"/>
    <w:rsid w:val="009F2C3D"/>
    <w:rsid w:val="009F31F6"/>
    <w:rsid w:val="009F3439"/>
    <w:rsid w:val="009F4334"/>
    <w:rsid w:val="009F46AA"/>
    <w:rsid w:val="009F4FDD"/>
    <w:rsid w:val="009F563F"/>
    <w:rsid w:val="009F6176"/>
    <w:rsid w:val="009F619B"/>
    <w:rsid w:val="009F68E6"/>
    <w:rsid w:val="009F6F43"/>
    <w:rsid w:val="009F71DB"/>
    <w:rsid w:val="009F740D"/>
    <w:rsid w:val="009F7D38"/>
    <w:rsid w:val="00A00211"/>
    <w:rsid w:val="00A007E2"/>
    <w:rsid w:val="00A00C29"/>
    <w:rsid w:val="00A01CE8"/>
    <w:rsid w:val="00A01F4A"/>
    <w:rsid w:val="00A02DDC"/>
    <w:rsid w:val="00A0394E"/>
    <w:rsid w:val="00A03CB2"/>
    <w:rsid w:val="00A03CD7"/>
    <w:rsid w:val="00A041D8"/>
    <w:rsid w:val="00A044F2"/>
    <w:rsid w:val="00A045CD"/>
    <w:rsid w:val="00A046CE"/>
    <w:rsid w:val="00A047D0"/>
    <w:rsid w:val="00A05EF7"/>
    <w:rsid w:val="00A060A7"/>
    <w:rsid w:val="00A06226"/>
    <w:rsid w:val="00A0683F"/>
    <w:rsid w:val="00A06B40"/>
    <w:rsid w:val="00A07900"/>
    <w:rsid w:val="00A079FD"/>
    <w:rsid w:val="00A10438"/>
    <w:rsid w:val="00A109B9"/>
    <w:rsid w:val="00A10F9B"/>
    <w:rsid w:val="00A11196"/>
    <w:rsid w:val="00A11C75"/>
    <w:rsid w:val="00A130B8"/>
    <w:rsid w:val="00A1334C"/>
    <w:rsid w:val="00A13425"/>
    <w:rsid w:val="00A136EF"/>
    <w:rsid w:val="00A139E0"/>
    <w:rsid w:val="00A13D4D"/>
    <w:rsid w:val="00A13D82"/>
    <w:rsid w:val="00A13F39"/>
    <w:rsid w:val="00A15309"/>
    <w:rsid w:val="00A154BF"/>
    <w:rsid w:val="00A16866"/>
    <w:rsid w:val="00A20C57"/>
    <w:rsid w:val="00A21104"/>
    <w:rsid w:val="00A216EF"/>
    <w:rsid w:val="00A220FF"/>
    <w:rsid w:val="00A2286E"/>
    <w:rsid w:val="00A236BB"/>
    <w:rsid w:val="00A2472F"/>
    <w:rsid w:val="00A24FA1"/>
    <w:rsid w:val="00A25160"/>
    <w:rsid w:val="00A2571C"/>
    <w:rsid w:val="00A25B7E"/>
    <w:rsid w:val="00A260F7"/>
    <w:rsid w:val="00A26FE5"/>
    <w:rsid w:val="00A27115"/>
    <w:rsid w:val="00A27548"/>
    <w:rsid w:val="00A27658"/>
    <w:rsid w:val="00A2774A"/>
    <w:rsid w:val="00A27AFF"/>
    <w:rsid w:val="00A30AAF"/>
    <w:rsid w:val="00A30B86"/>
    <w:rsid w:val="00A31C04"/>
    <w:rsid w:val="00A327CB"/>
    <w:rsid w:val="00A32E81"/>
    <w:rsid w:val="00A33054"/>
    <w:rsid w:val="00A33BCE"/>
    <w:rsid w:val="00A33FC8"/>
    <w:rsid w:val="00A34296"/>
    <w:rsid w:val="00A34979"/>
    <w:rsid w:val="00A351E3"/>
    <w:rsid w:val="00A364BD"/>
    <w:rsid w:val="00A366DC"/>
    <w:rsid w:val="00A36713"/>
    <w:rsid w:val="00A36C1A"/>
    <w:rsid w:val="00A36DC2"/>
    <w:rsid w:val="00A37663"/>
    <w:rsid w:val="00A378B7"/>
    <w:rsid w:val="00A37909"/>
    <w:rsid w:val="00A40BFE"/>
    <w:rsid w:val="00A40CBB"/>
    <w:rsid w:val="00A40D1A"/>
    <w:rsid w:val="00A40E89"/>
    <w:rsid w:val="00A4124E"/>
    <w:rsid w:val="00A41818"/>
    <w:rsid w:val="00A41E0A"/>
    <w:rsid w:val="00A4417B"/>
    <w:rsid w:val="00A447FA"/>
    <w:rsid w:val="00A461B1"/>
    <w:rsid w:val="00A463A9"/>
    <w:rsid w:val="00A471C7"/>
    <w:rsid w:val="00A472FB"/>
    <w:rsid w:val="00A501F0"/>
    <w:rsid w:val="00A504EE"/>
    <w:rsid w:val="00A506AD"/>
    <w:rsid w:val="00A5092C"/>
    <w:rsid w:val="00A509B0"/>
    <w:rsid w:val="00A50D67"/>
    <w:rsid w:val="00A50DEB"/>
    <w:rsid w:val="00A50E66"/>
    <w:rsid w:val="00A50FDD"/>
    <w:rsid w:val="00A5104F"/>
    <w:rsid w:val="00A511F4"/>
    <w:rsid w:val="00A520FA"/>
    <w:rsid w:val="00A527A6"/>
    <w:rsid w:val="00A52B5B"/>
    <w:rsid w:val="00A52DBE"/>
    <w:rsid w:val="00A5319A"/>
    <w:rsid w:val="00A53456"/>
    <w:rsid w:val="00A5353C"/>
    <w:rsid w:val="00A53920"/>
    <w:rsid w:val="00A53EFB"/>
    <w:rsid w:val="00A53FC7"/>
    <w:rsid w:val="00A54236"/>
    <w:rsid w:val="00A54AEC"/>
    <w:rsid w:val="00A54B90"/>
    <w:rsid w:val="00A55569"/>
    <w:rsid w:val="00A55739"/>
    <w:rsid w:val="00A5582F"/>
    <w:rsid w:val="00A55C66"/>
    <w:rsid w:val="00A563FB"/>
    <w:rsid w:val="00A56734"/>
    <w:rsid w:val="00A569C3"/>
    <w:rsid w:val="00A572FE"/>
    <w:rsid w:val="00A578A4"/>
    <w:rsid w:val="00A60376"/>
    <w:rsid w:val="00A6039F"/>
    <w:rsid w:val="00A60956"/>
    <w:rsid w:val="00A61CFC"/>
    <w:rsid w:val="00A62589"/>
    <w:rsid w:val="00A62DB8"/>
    <w:rsid w:val="00A63ADA"/>
    <w:rsid w:val="00A63D6F"/>
    <w:rsid w:val="00A64222"/>
    <w:rsid w:val="00A6477A"/>
    <w:rsid w:val="00A649B1"/>
    <w:rsid w:val="00A64E79"/>
    <w:rsid w:val="00A64EB6"/>
    <w:rsid w:val="00A64F7E"/>
    <w:rsid w:val="00A65110"/>
    <w:rsid w:val="00A65131"/>
    <w:rsid w:val="00A6543D"/>
    <w:rsid w:val="00A6651B"/>
    <w:rsid w:val="00A667B7"/>
    <w:rsid w:val="00A671D9"/>
    <w:rsid w:val="00A67559"/>
    <w:rsid w:val="00A67A25"/>
    <w:rsid w:val="00A67CAA"/>
    <w:rsid w:val="00A70203"/>
    <w:rsid w:val="00A7084A"/>
    <w:rsid w:val="00A70EBD"/>
    <w:rsid w:val="00A711FC"/>
    <w:rsid w:val="00A71A6C"/>
    <w:rsid w:val="00A71F64"/>
    <w:rsid w:val="00A72249"/>
    <w:rsid w:val="00A725BE"/>
    <w:rsid w:val="00A72D9F"/>
    <w:rsid w:val="00A7367E"/>
    <w:rsid w:val="00A73ABC"/>
    <w:rsid w:val="00A73C67"/>
    <w:rsid w:val="00A74AB7"/>
    <w:rsid w:val="00A74ADC"/>
    <w:rsid w:val="00A74C42"/>
    <w:rsid w:val="00A754D8"/>
    <w:rsid w:val="00A755B8"/>
    <w:rsid w:val="00A75B4F"/>
    <w:rsid w:val="00A75C08"/>
    <w:rsid w:val="00A766F0"/>
    <w:rsid w:val="00A76B9B"/>
    <w:rsid w:val="00A76F13"/>
    <w:rsid w:val="00A77362"/>
    <w:rsid w:val="00A77879"/>
    <w:rsid w:val="00A779D9"/>
    <w:rsid w:val="00A808F7"/>
    <w:rsid w:val="00A80CC0"/>
    <w:rsid w:val="00A818C5"/>
    <w:rsid w:val="00A826F6"/>
    <w:rsid w:val="00A827EC"/>
    <w:rsid w:val="00A8284E"/>
    <w:rsid w:val="00A8330A"/>
    <w:rsid w:val="00A83C40"/>
    <w:rsid w:val="00A83FD3"/>
    <w:rsid w:val="00A84F2A"/>
    <w:rsid w:val="00A84F75"/>
    <w:rsid w:val="00A850C2"/>
    <w:rsid w:val="00A85FFA"/>
    <w:rsid w:val="00A86FA1"/>
    <w:rsid w:val="00A870F0"/>
    <w:rsid w:val="00A87130"/>
    <w:rsid w:val="00A87174"/>
    <w:rsid w:val="00A875A7"/>
    <w:rsid w:val="00A87D11"/>
    <w:rsid w:val="00A87E5B"/>
    <w:rsid w:val="00A9051F"/>
    <w:rsid w:val="00A90AFC"/>
    <w:rsid w:val="00A91B28"/>
    <w:rsid w:val="00A920D3"/>
    <w:rsid w:val="00A9221F"/>
    <w:rsid w:val="00A9226B"/>
    <w:rsid w:val="00A9274A"/>
    <w:rsid w:val="00A92CB0"/>
    <w:rsid w:val="00A93274"/>
    <w:rsid w:val="00A9332E"/>
    <w:rsid w:val="00A93C92"/>
    <w:rsid w:val="00A94192"/>
    <w:rsid w:val="00A95373"/>
    <w:rsid w:val="00A957AA"/>
    <w:rsid w:val="00A95810"/>
    <w:rsid w:val="00A95E3A"/>
    <w:rsid w:val="00A95F25"/>
    <w:rsid w:val="00A961D1"/>
    <w:rsid w:val="00A962A6"/>
    <w:rsid w:val="00A97163"/>
    <w:rsid w:val="00A97222"/>
    <w:rsid w:val="00A97359"/>
    <w:rsid w:val="00A978FB"/>
    <w:rsid w:val="00A97E5C"/>
    <w:rsid w:val="00AA070B"/>
    <w:rsid w:val="00AA0DC8"/>
    <w:rsid w:val="00AA18CD"/>
    <w:rsid w:val="00AA1AEC"/>
    <w:rsid w:val="00AA2265"/>
    <w:rsid w:val="00AA35AA"/>
    <w:rsid w:val="00AA400B"/>
    <w:rsid w:val="00AA425A"/>
    <w:rsid w:val="00AA491C"/>
    <w:rsid w:val="00AA49AE"/>
    <w:rsid w:val="00AA5320"/>
    <w:rsid w:val="00AA639A"/>
    <w:rsid w:val="00AA6DBF"/>
    <w:rsid w:val="00AA6DF4"/>
    <w:rsid w:val="00AA719B"/>
    <w:rsid w:val="00AA7F4E"/>
    <w:rsid w:val="00AB00F6"/>
    <w:rsid w:val="00AB028D"/>
    <w:rsid w:val="00AB0395"/>
    <w:rsid w:val="00AB0AF8"/>
    <w:rsid w:val="00AB11F3"/>
    <w:rsid w:val="00AB1A1C"/>
    <w:rsid w:val="00AB1B7A"/>
    <w:rsid w:val="00AB1F75"/>
    <w:rsid w:val="00AB2724"/>
    <w:rsid w:val="00AB276D"/>
    <w:rsid w:val="00AB2A69"/>
    <w:rsid w:val="00AB2BD8"/>
    <w:rsid w:val="00AB3306"/>
    <w:rsid w:val="00AB38C8"/>
    <w:rsid w:val="00AB3BD1"/>
    <w:rsid w:val="00AB3D42"/>
    <w:rsid w:val="00AB3E77"/>
    <w:rsid w:val="00AB4747"/>
    <w:rsid w:val="00AB631D"/>
    <w:rsid w:val="00AB6877"/>
    <w:rsid w:val="00AB6F20"/>
    <w:rsid w:val="00AB793C"/>
    <w:rsid w:val="00AB7AD9"/>
    <w:rsid w:val="00AC05C5"/>
    <w:rsid w:val="00AC07AA"/>
    <w:rsid w:val="00AC0D7A"/>
    <w:rsid w:val="00AC0F64"/>
    <w:rsid w:val="00AC1BDA"/>
    <w:rsid w:val="00AC2113"/>
    <w:rsid w:val="00AC2B0B"/>
    <w:rsid w:val="00AC3509"/>
    <w:rsid w:val="00AC3997"/>
    <w:rsid w:val="00AC3D98"/>
    <w:rsid w:val="00AC3EFA"/>
    <w:rsid w:val="00AC604A"/>
    <w:rsid w:val="00AC625F"/>
    <w:rsid w:val="00AC6419"/>
    <w:rsid w:val="00AC6836"/>
    <w:rsid w:val="00AC6F20"/>
    <w:rsid w:val="00AC77A7"/>
    <w:rsid w:val="00AC7C07"/>
    <w:rsid w:val="00AD02F6"/>
    <w:rsid w:val="00AD089D"/>
    <w:rsid w:val="00AD2DED"/>
    <w:rsid w:val="00AD33A5"/>
    <w:rsid w:val="00AD349F"/>
    <w:rsid w:val="00AD3609"/>
    <w:rsid w:val="00AD3C0C"/>
    <w:rsid w:val="00AD475C"/>
    <w:rsid w:val="00AD49B7"/>
    <w:rsid w:val="00AD50D8"/>
    <w:rsid w:val="00AD54BB"/>
    <w:rsid w:val="00AD60AB"/>
    <w:rsid w:val="00AD6242"/>
    <w:rsid w:val="00AD6577"/>
    <w:rsid w:val="00AD6D42"/>
    <w:rsid w:val="00AD7B2D"/>
    <w:rsid w:val="00AD7E39"/>
    <w:rsid w:val="00AE0451"/>
    <w:rsid w:val="00AE1978"/>
    <w:rsid w:val="00AE1BCA"/>
    <w:rsid w:val="00AE1C1F"/>
    <w:rsid w:val="00AE25D2"/>
    <w:rsid w:val="00AE2841"/>
    <w:rsid w:val="00AE2BA4"/>
    <w:rsid w:val="00AE386C"/>
    <w:rsid w:val="00AE3D62"/>
    <w:rsid w:val="00AE42CD"/>
    <w:rsid w:val="00AE4ECF"/>
    <w:rsid w:val="00AE56A9"/>
    <w:rsid w:val="00AE62F4"/>
    <w:rsid w:val="00AE64B3"/>
    <w:rsid w:val="00AE6AD4"/>
    <w:rsid w:val="00AE790F"/>
    <w:rsid w:val="00AF0003"/>
    <w:rsid w:val="00AF0987"/>
    <w:rsid w:val="00AF1412"/>
    <w:rsid w:val="00AF1FBA"/>
    <w:rsid w:val="00AF23E0"/>
    <w:rsid w:val="00AF2B63"/>
    <w:rsid w:val="00AF3A7D"/>
    <w:rsid w:val="00AF3D0B"/>
    <w:rsid w:val="00AF3F71"/>
    <w:rsid w:val="00AF4C79"/>
    <w:rsid w:val="00AF4CA4"/>
    <w:rsid w:val="00AF4F1B"/>
    <w:rsid w:val="00AF5090"/>
    <w:rsid w:val="00AF51D3"/>
    <w:rsid w:val="00AF53E1"/>
    <w:rsid w:val="00AF55B4"/>
    <w:rsid w:val="00AF6E97"/>
    <w:rsid w:val="00AF70E4"/>
    <w:rsid w:val="00AF738A"/>
    <w:rsid w:val="00AF7C38"/>
    <w:rsid w:val="00B003C2"/>
    <w:rsid w:val="00B00C5F"/>
    <w:rsid w:val="00B01E6A"/>
    <w:rsid w:val="00B01EF5"/>
    <w:rsid w:val="00B01F32"/>
    <w:rsid w:val="00B02337"/>
    <w:rsid w:val="00B02481"/>
    <w:rsid w:val="00B0249E"/>
    <w:rsid w:val="00B038E4"/>
    <w:rsid w:val="00B03D23"/>
    <w:rsid w:val="00B04A4F"/>
    <w:rsid w:val="00B04A6B"/>
    <w:rsid w:val="00B04A83"/>
    <w:rsid w:val="00B04BEE"/>
    <w:rsid w:val="00B04F6C"/>
    <w:rsid w:val="00B056FB"/>
    <w:rsid w:val="00B05742"/>
    <w:rsid w:val="00B05A1B"/>
    <w:rsid w:val="00B0624E"/>
    <w:rsid w:val="00B065FD"/>
    <w:rsid w:val="00B06DF2"/>
    <w:rsid w:val="00B06EA6"/>
    <w:rsid w:val="00B07E10"/>
    <w:rsid w:val="00B108C7"/>
    <w:rsid w:val="00B111C4"/>
    <w:rsid w:val="00B111DC"/>
    <w:rsid w:val="00B114A6"/>
    <w:rsid w:val="00B12A06"/>
    <w:rsid w:val="00B12D4B"/>
    <w:rsid w:val="00B12EA2"/>
    <w:rsid w:val="00B12F28"/>
    <w:rsid w:val="00B1317B"/>
    <w:rsid w:val="00B1328A"/>
    <w:rsid w:val="00B1384E"/>
    <w:rsid w:val="00B13DCD"/>
    <w:rsid w:val="00B141E9"/>
    <w:rsid w:val="00B141F2"/>
    <w:rsid w:val="00B14BA7"/>
    <w:rsid w:val="00B14E9C"/>
    <w:rsid w:val="00B14EB5"/>
    <w:rsid w:val="00B157D5"/>
    <w:rsid w:val="00B15DE8"/>
    <w:rsid w:val="00B161B1"/>
    <w:rsid w:val="00B169A9"/>
    <w:rsid w:val="00B16FAC"/>
    <w:rsid w:val="00B17016"/>
    <w:rsid w:val="00B200C4"/>
    <w:rsid w:val="00B202A6"/>
    <w:rsid w:val="00B211B9"/>
    <w:rsid w:val="00B215FA"/>
    <w:rsid w:val="00B22C91"/>
    <w:rsid w:val="00B23263"/>
    <w:rsid w:val="00B2362E"/>
    <w:rsid w:val="00B23AFE"/>
    <w:rsid w:val="00B23B30"/>
    <w:rsid w:val="00B23C62"/>
    <w:rsid w:val="00B247CB"/>
    <w:rsid w:val="00B24967"/>
    <w:rsid w:val="00B24DF8"/>
    <w:rsid w:val="00B26140"/>
    <w:rsid w:val="00B2616A"/>
    <w:rsid w:val="00B26D34"/>
    <w:rsid w:val="00B26DE3"/>
    <w:rsid w:val="00B2783E"/>
    <w:rsid w:val="00B3111F"/>
    <w:rsid w:val="00B31A11"/>
    <w:rsid w:val="00B31C6F"/>
    <w:rsid w:val="00B31E5E"/>
    <w:rsid w:val="00B320AB"/>
    <w:rsid w:val="00B3223C"/>
    <w:rsid w:val="00B32ACD"/>
    <w:rsid w:val="00B32D33"/>
    <w:rsid w:val="00B333F0"/>
    <w:rsid w:val="00B3353E"/>
    <w:rsid w:val="00B33682"/>
    <w:rsid w:val="00B33785"/>
    <w:rsid w:val="00B3421F"/>
    <w:rsid w:val="00B34595"/>
    <w:rsid w:val="00B34906"/>
    <w:rsid w:val="00B34991"/>
    <w:rsid w:val="00B34B00"/>
    <w:rsid w:val="00B34BAD"/>
    <w:rsid w:val="00B3553E"/>
    <w:rsid w:val="00B35952"/>
    <w:rsid w:val="00B35B64"/>
    <w:rsid w:val="00B35EEA"/>
    <w:rsid w:val="00B360AC"/>
    <w:rsid w:val="00B36412"/>
    <w:rsid w:val="00B364F2"/>
    <w:rsid w:val="00B36BF8"/>
    <w:rsid w:val="00B3791A"/>
    <w:rsid w:val="00B37AFD"/>
    <w:rsid w:val="00B40535"/>
    <w:rsid w:val="00B406B9"/>
    <w:rsid w:val="00B40816"/>
    <w:rsid w:val="00B40907"/>
    <w:rsid w:val="00B40B0B"/>
    <w:rsid w:val="00B4119C"/>
    <w:rsid w:val="00B4239B"/>
    <w:rsid w:val="00B42467"/>
    <w:rsid w:val="00B42EFD"/>
    <w:rsid w:val="00B43917"/>
    <w:rsid w:val="00B444A4"/>
    <w:rsid w:val="00B44C7D"/>
    <w:rsid w:val="00B44E48"/>
    <w:rsid w:val="00B452A9"/>
    <w:rsid w:val="00B45670"/>
    <w:rsid w:val="00B45851"/>
    <w:rsid w:val="00B45B13"/>
    <w:rsid w:val="00B45D27"/>
    <w:rsid w:val="00B45EBE"/>
    <w:rsid w:val="00B46257"/>
    <w:rsid w:val="00B46D45"/>
    <w:rsid w:val="00B47A48"/>
    <w:rsid w:val="00B50CAB"/>
    <w:rsid w:val="00B5125C"/>
    <w:rsid w:val="00B514EE"/>
    <w:rsid w:val="00B52CC4"/>
    <w:rsid w:val="00B5343D"/>
    <w:rsid w:val="00B53D6E"/>
    <w:rsid w:val="00B53D85"/>
    <w:rsid w:val="00B54704"/>
    <w:rsid w:val="00B54AF4"/>
    <w:rsid w:val="00B5593F"/>
    <w:rsid w:val="00B55F83"/>
    <w:rsid w:val="00B56686"/>
    <w:rsid w:val="00B5677C"/>
    <w:rsid w:val="00B5684B"/>
    <w:rsid w:val="00B56B24"/>
    <w:rsid w:val="00B5737F"/>
    <w:rsid w:val="00B57FB0"/>
    <w:rsid w:val="00B610EC"/>
    <w:rsid w:val="00B613BA"/>
    <w:rsid w:val="00B614BC"/>
    <w:rsid w:val="00B61799"/>
    <w:rsid w:val="00B617A3"/>
    <w:rsid w:val="00B61A7A"/>
    <w:rsid w:val="00B6209D"/>
    <w:rsid w:val="00B621D7"/>
    <w:rsid w:val="00B62E1D"/>
    <w:rsid w:val="00B63A5F"/>
    <w:rsid w:val="00B641F7"/>
    <w:rsid w:val="00B6468A"/>
    <w:rsid w:val="00B646FF"/>
    <w:rsid w:val="00B64ADA"/>
    <w:rsid w:val="00B64F84"/>
    <w:rsid w:val="00B6751B"/>
    <w:rsid w:val="00B67D3C"/>
    <w:rsid w:val="00B700EB"/>
    <w:rsid w:val="00B7138E"/>
    <w:rsid w:val="00B71AB1"/>
    <w:rsid w:val="00B724A7"/>
    <w:rsid w:val="00B7275F"/>
    <w:rsid w:val="00B72DE7"/>
    <w:rsid w:val="00B746BA"/>
    <w:rsid w:val="00B75550"/>
    <w:rsid w:val="00B75708"/>
    <w:rsid w:val="00B75C4B"/>
    <w:rsid w:val="00B75D2C"/>
    <w:rsid w:val="00B7631F"/>
    <w:rsid w:val="00B76DE4"/>
    <w:rsid w:val="00B77791"/>
    <w:rsid w:val="00B808AA"/>
    <w:rsid w:val="00B809F1"/>
    <w:rsid w:val="00B8100D"/>
    <w:rsid w:val="00B815A4"/>
    <w:rsid w:val="00B81798"/>
    <w:rsid w:val="00B81C2C"/>
    <w:rsid w:val="00B81E92"/>
    <w:rsid w:val="00B8219D"/>
    <w:rsid w:val="00B8243D"/>
    <w:rsid w:val="00B82C50"/>
    <w:rsid w:val="00B83BBF"/>
    <w:rsid w:val="00B83E74"/>
    <w:rsid w:val="00B8435D"/>
    <w:rsid w:val="00B8443C"/>
    <w:rsid w:val="00B84892"/>
    <w:rsid w:val="00B850F8"/>
    <w:rsid w:val="00B85465"/>
    <w:rsid w:val="00B85D4E"/>
    <w:rsid w:val="00B863E5"/>
    <w:rsid w:val="00B86531"/>
    <w:rsid w:val="00B8721D"/>
    <w:rsid w:val="00B872A7"/>
    <w:rsid w:val="00B876CC"/>
    <w:rsid w:val="00B8774C"/>
    <w:rsid w:val="00B87C1D"/>
    <w:rsid w:val="00B87DDF"/>
    <w:rsid w:val="00B9029B"/>
    <w:rsid w:val="00B908EC"/>
    <w:rsid w:val="00B91C63"/>
    <w:rsid w:val="00B91D27"/>
    <w:rsid w:val="00B92C9A"/>
    <w:rsid w:val="00B92CDA"/>
    <w:rsid w:val="00B9346C"/>
    <w:rsid w:val="00B9363A"/>
    <w:rsid w:val="00B94444"/>
    <w:rsid w:val="00B9457A"/>
    <w:rsid w:val="00B94E5E"/>
    <w:rsid w:val="00B94F07"/>
    <w:rsid w:val="00B9564F"/>
    <w:rsid w:val="00B95727"/>
    <w:rsid w:val="00B95BF5"/>
    <w:rsid w:val="00B95C3E"/>
    <w:rsid w:val="00B95D1A"/>
    <w:rsid w:val="00B95D54"/>
    <w:rsid w:val="00B95DC4"/>
    <w:rsid w:val="00B96A8F"/>
    <w:rsid w:val="00B97FC6"/>
    <w:rsid w:val="00BA015D"/>
    <w:rsid w:val="00BA0A54"/>
    <w:rsid w:val="00BA0BFA"/>
    <w:rsid w:val="00BA13E0"/>
    <w:rsid w:val="00BA14A9"/>
    <w:rsid w:val="00BA1A90"/>
    <w:rsid w:val="00BA1EF5"/>
    <w:rsid w:val="00BA2221"/>
    <w:rsid w:val="00BA3441"/>
    <w:rsid w:val="00BA3C06"/>
    <w:rsid w:val="00BA3D5D"/>
    <w:rsid w:val="00BA41AA"/>
    <w:rsid w:val="00BA4C79"/>
    <w:rsid w:val="00BA5805"/>
    <w:rsid w:val="00BA595D"/>
    <w:rsid w:val="00BA5D8C"/>
    <w:rsid w:val="00BA5ED7"/>
    <w:rsid w:val="00BA6558"/>
    <w:rsid w:val="00BA6638"/>
    <w:rsid w:val="00BA7BC0"/>
    <w:rsid w:val="00BB0BC0"/>
    <w:rsid w:val="00BB126C"/>
    <w:rsid w:val="00BB1770"/>
    <w:rsid w:val="00BB24ED"/>
    <w:rsid w:val="00BB2AB7"/>
    <w:rsid w:val="00BB349E"/>
    <w:rsid w:val="00BB35C0"/>
    <w:rsid w:val="00BB452F"/>
    <w:rsid w:val="00BB487C"/>
    <w:rsid w:val="00BB501C"/>
    <w:rsid w:val="00BB5319"/>
    <w:rsid w:val="00BB6A38"/>
    <w:rsid w:val="00BB6A92"/>
    <w:rsid w:val="00BB6BE1"/>
    <w:rsid w:val="00BB6E61"/>
    <w:rsid w:val="00BB6F9B"/>
    <w:rsid w:val="00BB7072"/>
    <w:rsid w:val="00BB7275"/>
    <w:rsid w:val="00BB72DB"/>
    <w:rsid w:val="00BB7D20"/>
    <w:rsid w:val="00BC0AA3"/>
    <w:rsid w:val="00BC19C0"/>
    <w:rsid w:val="00BC1DAE"/>
    <w:rsid w:val="00BC2896"/>
    <w:rsid w:val="00BC29A0"/>
    <w:rsid w:val="00BC305F"/>
    <w:rsid w:val="00BC3502"/>
    <w:rsid w:val="00BC4410"/>
    <w:rsid w:val="00BC44F1"/>
    <w:rsid w:val="00BC51FA"/>
    <w:rsid w:val="00BC5D23"/>
    <w:rsid w:val="00BC5EB4"/>
    <w:rsid w:val="00BC7F2D"/>
    <w:rsid w:val="00BD0008"/>
    <w:rsid w:val="00BD0344"/>
    <w:rsid w:val="00BD1E0D"/>
    <w:rsid w:val="00BD2A24"/>
    <w:rsid w:val="00BD2A8B"/>
    <w:rsid w:val="00BD3140"/>
    <w:rsid w:val="00BD32AF"/>
    <w:rsid w:val="00BD44CC"/>
    <w:rsid w:val="00BD508F"/>
    <w:rsid w:val="00BD580F"/>
    <w:rsid w:val="00BD59DF"/>
    <w:rsid w:val="00BD68C8"/>
    <w:rsid w:val="00BD7B87"/>
    <w:rsid w:val="00BD7DEC"/>
    <w:rsid w:val="00BE0833"/>
    <w:rsid w:val="00BE0B38"/>
    <w:rsid w:val="00BE0FD4"/>
    <w:rsid w:val="00BE198D"/>
    <w:rsid w:val="00BE2068"/>
    <w:rsid w:val="00BE2746"/>
    <w:rsid w:val="00BE30F0"/>
    <w:rsid w:val="00BE32A0"/>
    <w:rsid w:val="00BE4E1D"/>
    <w:rsid w:val="00BE5936"/>
    <w:rsid w:val="00BE672B"/>
    <w:rsid w:val="00BF038D"/>
    <w:rsid w:val="00BF0511"/>
    <w:rsid w:val="00BF0E8E"/>
    <w:rsid w:val="00BF0F04"/>
    <w:rsid w:val="00BF0F90"/>
    <w:rsid w:val="00BF2ECB"/>
    <w:rsid w:val="00BF2FAD"/>
    <w:rsid w:val="00BF4238"/>
    <w:rsid w:val="00BF42AF"/>
    <w:rsid w:val="00BF44E0"/>
    <w:rsid w:val="00BF4BA1"/>
    <w:rsid w:val="00BF5153"/>
    <w:rsid w:val="00BF5322"/>
    <w:rsid w:val="00BF6D77"/>
    <w:rsid w:val="00BF6F2B"/>
    <w:rsid w:val="00BF7882"/>
    <w:rsid w:val="00BF7C08"/>
    <w:rsid w:val="00C00BD7"/>
    <w:rsid w:val="00C00F4B"/>
    <w:rsid w:val="00C0133F"/>
    <w:rsid w:val="00C01CBD"/>
    <w:rsid w:val="00C025E7"/>
    <w:rsid w:val="00C027A8"/>
    <w:rsid w:val="00C02B00"/>
    <w:rsid w:val="00C046A2"/>
    <w:rsid w:val="00C046BA"/>
    <w:rsid w:val="00C047AD"/>
    <w:rsid w:val="00C056A1"/>
    <w:rsid w:val="00C05851"/>
    <w:rsid w:val="00C05C65"/>
    <w:rsid w:val="00C06B51"/>
    <w:rsid w:val="00C06C4B"/>
    <w:rsid w:val="00C06CF3"/>
    <w:rsid w:val="00C07055"/>
    <w:rsid w:val="00C070E5"/>
    <w:rsid w:val="00C07894"/>
    <w:rsid w:val="00C078CC"/>
    <w:rsid w:val="00C1017D"/>
    <w:rsid w:val="00C103DC"/>
    <w:rsid w:val="00C1156E"/>
    <w:rsid w:val="00C129E2"/>
    <w:rsid w:val="00C132CA"/>
    <w:rsid w:val="00C13D08"/>
    <w:rsid w:val="00C14A65"/>
    <w:rsid w:val="00C14CB5"/>
    <w:rsid w:val="00C14D23"/>
    <w:rsid w:val="00C157B5"/>
    <w:rsid w:val="00C157DF"/>
    <w:rsid w:val="00C15A85"/>
    <w:rsid w:val="00C15CEE"/>
    <w:rsid w:val="00C17E91"/>
    <w:rsid w:val="00C20347"/>
    <w:rsid w:val="00C205FF"/>
    <w:rsid w:val="00C2087B"/>
    <w:rsid w:val="00C20BB8"/>
    <w:rsid w:val="00C2105C"/>
    <w:rsid w:val="00C21147"/>
    <w:rsid w:val="00C22652"/>
    <w:rsid w:val="00C23CD8"/>
    <w:rsid w:val="00C243EE"/>
    <w:rsid w:val="00C25251"/>
    <w:rsid w:val="00C2547D"/>
    <w:rsid w:val="00C25EDA"/>
    <w:rsid w:val="00C26084"/>
    <w:rsid w:val="00C26201"/>
    <w:rsid w:val="00C2670C"/>
    <w:rsid w:val="00C26891"/>
    <w:rsid w:val="00C2692E"/>
    <w:rsid w:val="00C26A43"/>
    <w:rsid w:val="00C26F58"/>
    <w:rsid w:val="00C26FB0"/>
    <w:rsid w:val="00C27253"/>
    <w:rsid w:val="00C272F2"/>
    <w:rsid w:val="00C3126F"/>
    <w:rsid w:val="00C3130A"/>
    <w:rsid w:val="00C3131E"/>
    <w:rsid w:val="00C31512"/>
    <w:rsid w:val="00C3166F"/>
    <w:rsid w:val="00C32055"/>
    <w:rsid w:val="00C322B7"/>
    <w:rsid w:val="00C32925"/>
    <w:rsid w:val="00C32C04"/>
    <w:rsid w:val="00C330DE"/>
    <w:rsid w:val="00C33791"/>
    <w:rsid w:val="00C33994"/>
    <w:rsid w:val="00C34811"/>
    <w:rsid w:val="00C348E1"/>
    <w:rsid w:val="00C3497A"/>
    <w:rsid w:val="00C35D0A"/>
    <w:rsid w:val="00C3648E"/>
    <w:rsid w:val="00C36D74"/>
    <w:rsid w:val="00C37341"/>
    <w:rsid w:val="00C377B3"/>
    <w:rsid w:val="00C37843"/>
    <w:rsid w:val="00C379C1"/>
    <w:rsid w:val="00C40012"/>
    <w:rsid w:val="00C413A4"/>
    <w:rsid w:val="00C42190"/>
    <w:rsid w:val="00C42355"/>
    <w:rsid w:val="00C426CB"/>
    <w:rsid w:val="00C43614"/>
    <w:rsid w:val="00C43EBF"/>
    <w:rsid w:val="00C44040"/>
    <w:rsid w:val="00C44754"/>
    <w:rsid w:val="00C44828"/>
    <w:rsid w:val="00C45390"/>
    <w:rsid w:val="00C45DE2"/>
    <w:rsid w:val="00C45FC3"/>
    <w:rsid w:val="00C461FA"/>
    <w:rsid w:val="00C46947"/>
    <w:rsid w:val="00C47258"/>
    <w:rsid w:val="00C47AD0"/>
    <w:rsid w:val="00C5064C"/>
    <w:rsid w:val="00C507A1"/>
    <w:rsid w:val="00C50B42"/>
    <w:rsid w:val="00C50D3A"/>
    <w:rsid w:val="00C50EFA"/>
    <w:rsid w:val="00C528AD"/>
    <w:rsid w:val="00C52E02"/>
    <w:rsid w:val="00C53C38"/>
    <w:rsid w:val="00C53EE5"/>
    <w:rsid w:val="00C54422"/>
    <w:rsid w:val="00C54B83"/>
    <w:rsid w:val="00C5505F"/>
    <w:rsid w:val="00C5512F"/>
    <w:rsid w:val="00C5558D"/>
    <w:rsid w:val="00C564B1"/>
    <w:rsid w:val="00C56A4B"/>
    <w:rsid w:val="00C570D3"/>
    <w:rsid w:val="00C57253"/>
    <w:rsid w:val="00C576C2"/>
    <w:rsid w:val="00C600E1"/>
    <w:rsid w:val="00C603C6"/>
    <w:rsid w:val="00C607A0"/>
    <w:rsid w:val="00C60E6A"/>
    <w:rsid w:val="00C61413"/>
    <w:rsid w:val="00C62184"/>
    <w:rsid w:val="00C6267E"/>
    <w:rsid w:val="00C6297F"/>
    <w:rsid w:val="00C62F34"/>
    <w:rsid w:val="00C63585"/>
    <w:rsid w:val="00C63EFE"/>
    <w:rsid w:val="00C642CE"/>
    <w:rsid w:val="00C64F88"/>
    <w:rsid w:val="00C658E2"/>
    <w:rsid w:val="00C665F1"/>
    <w:rsid w:val="00C666BC"/>
    <w:rsid w:val="00C66A39"/>
    <w:rsid w:val="00C674B1"/>
    <w:rsid w:val="00C6754B"/>
    <w:rsid w:val="00C677A8"/>
    <w:rsid w:val="00C700AD"/>
    <w:rsid w:val="00C70AE3"/>
    <w:rsid w:val="00C71772"/>
    <w:rsid w:val="00C71CF4"/>
    <w:rsid w:val="00C72558"/>
    <w:rsid w:val="00C72D24"/>
    <w:rsid w:val="00C73029"/>
    <w:rsid w:val="00C73E2B"/>
    <w:rsid w:val="00C74702"/>
    <w:rsid w:val="00C7470F"/>
    <w:rsid w:val="00C74835"/>
    <w:rsid w:val="00C755E9"/>
    <w:rsid w:val="00C7618C"/>
    <w:rsid w:val="00C761CB"/>
    <w:rsid w:val="00C7640D"/>
    <w:rsid w:val="00C76556"/>
    <w:rsid w:val="00C76BE0"/>
    <w:rsid w:val="00C774C0"/>
    <w:rsid w:val="00C7765B"/>
    <w:rsid w:val="00C7774E"/>
    <w:rsid w:val="00C77872"/>
    <w:rsid w:val="00C77C8C"/>
    <w:rsid w:val="00C8073C"/>
    <w:rsid w:val="00C81E85"/>
    <w:rsid w:val="00C81F12"/>
    <w:rsid w:val="00C82961"/>
    <w:rsid w:val="00C82DBD"/>
    <w:rsid w:val="00C82F26"/>
    <w:rsid w:val="00C82FC0"/>
    <w:rsid w:val="00C8407E"/>
    <w:rsid w:val="00C84087"/>
    <w:rsid w:val="00C84217"/>
    <w:rsid w:val="00C84433"/>
    <w:rsid w:val="00C84546"/>
    <w:rsid w:val="00C84A68"/>
    <w:rsid w:val="00C84DD7"/>
    <w:rsid w:val="00C84F91"/>
    <w:rsid w:val="00C85022"/>
    <w:rsid w:val="00C855B3"/>
    <w:rsid w:val="00C85723"/>
    <w:rsid w:val="00C8667C"/>
    <w:rsid w:val="00C86992"/>
    <w:rsid w:val="00C86C70"/>
    <w:rsid w:val="00C86ECA"/>
    <w:rsid w:val="00C87F3E"/>
    <w:rsid w:val="00C909A2"/>
    <w:rsid w:val="00C909BF"/>
    <w:rsid w:val="00C90D06"/>
    <w:rsid w:val="00C90D60"/>
    <w:rsid w:val="00C90E7C"/>
    <w:rsid w:val="00C90FD5"/>
    <w:rsid w:val="00C912B4"/>
    <w:rsid w:val="00C91AA4"/>
    <w:rsid w:val="00C91D7B"/>
    <w:rsid w:val="00C92412"/>
    <w:rsid w:val="00C931DB"/>
    <w:rsid w:val="00C933CB"/>
    <w:rsid w:val="00C933F7"/>
    <w:rsid w:val="00C94894"/>
    <w:rsid w:val="00C9507D"/>
    <w:rsid w:val="00C9531F"/>
    <w:rsid w:val="00C96373"/>
    <w:rsid w:val="00C965AE"/>
    <w:rsid w:val="00C970F1"/>
    <w:rsid w:val="00C9710C"/>
    <w:rsid w:val="00C975FA"/>
    <w:rsid w:val="00CA05F8"/>
    <w:rsid w:val="00CA0FED"/>
    <w:rsid w:val="00CA1C51"/>
    <w:rsid w:val="00CA2A3E"/>
    <w:rsid w:val="00CA3191"/>
    <w:rsid w:val="00CA31EA"/>
    <w:rsid w:val="00CA3C18"/>
    <w:rsid w:val="00CA3E15"/>
    <w:rsid w:val="00CA4CEE"/>
    <w:rsid w:val="00CA5116"/>
    <w:rsid w:val="00CA5461"/>
    <w:rsid w:val="00CA57C5"/>
    <w:rsid w:val="00CB0AC8"/>
    <w:rsid w:val="00CB0F8B"/>
    <w:rsid w:val="00CB2229"/>
    <w:rsid w:val="00CB2574"/>
    <w:rsid w:val="00CB266B"/>
    <w:rsid w:val="00CB284B"/>
    <w:rsid w:val="00CB2C3D"/>
    <w:rsid w:val="00CB2D84"/>
    <w:rsid w:val="00CB3E00"/>
    <w:rsid w:val="00CB4055"/>
    <w:rsid w:val="00CB43EA"/>
    <w:rsid w:val="00CB466A"/>
    <w:rsid w:val="00CB486F"/>
    <w:rsid w:val="00CB5999"/>
    <w:rsid w:val="00CB7556"/>
    <w:rsid w:val="00CB7644"/>
    <w:rsid w:val="00CC0804"/>
    <w:rsid w:val="00CC0D38"/>
    <w:rsid w:val="00CC0F38"/>
    <w:rsid w:val="00CC0F99"/>
    <w:rsid w:val="00CC1982"/>
    <w:rsid w:val="00CC2FC3"/>
    <w:rsid w:val="00CC3117"/>
    <w:rsid w:val="00CC3933"/>
    <w:rsid w:val="00CC398E"/>
    <w:rsid w:val="00CC3B9B"/>
    <w:rsid w:val="00CC433E"/>
    <w:rsid w:val="00CC6369"/>
    <w:rsid w:val="00CC6A4A"/>
    <w:rsid w:val="00CC6AB6"/>
    <w:rsid w:val="00CC74D6"/>
    <w:rsid w:val="00CC7E44"/>
    <w:rsid w:val="00CC7F6B"/>
    <w:rsid w:val="00CD004E"/>
    <w:rsid w:val="00CD0838"/>
    <w:rsid w:val="00CD0DEB"/>
    <w:rsid w:val="00CD0E63"/>
    <w:rsid w:val="00CD11EF"/>
    <w:rsid w:val="00CD140A"/>
    <w:rsid w:val="00CD28F2"/>
    <w:rsid w:val="00CD2D39"/>
    <w:rsid w:val="00CD339E"/>
    <w:rsid w:val="00CD3C31"/>
    <w:rsid w:val="00CD43FA"/>
    <w:rsid w:val="00CD48F9"/>
    <w:rsid w:val="00CD4A85"/>
    <w:rsid w:val="00CD5465"/>
    <w:rsid w:val="00CD611B"/>
    <w:rsid w:val="00CD6321"/>
    <w:rsid w:val="00CD67E2"/>
    <w:rsid w:val="00CD73B2"/>
    <w:rsid w:val="00CD758A"/>
    <w:rsid w:val="00CD7871"/>
    <w:rsid w:val="00CD7CBB"/>
    <w:rsid w:val="00CE024E"/>
    <w:rsid w:val="00CE0269"/>
    <w:rsid w:val="00CE0855"/>
    <w:rsid w:val="00CE0885"/>
    <w:rsid w:val="00CE0BB7"/>
    <w:rsid w:val="00CE1153"/>
    <w:rsid w:val="00CE1963"/>
    <w:rsid w:val="00CE1BF6"/>
    <w:rsid w:val="00CE1E9D"/>
    <w:rsid w:val="00CE2EE6"/>
    <w:rsid w:val="00CE3E53"/>
    <w:rsid w:val="00CE4244"/>
    <w:rsid w:val="00CE459E"/>
    <w:rsid w:val="00CE509D"/>
    <w:rsid w:val="00CE5B15"/>
    <w:rsid w:val="00CE5BD3"/>
    <w:rsid w:val="00CE5C0C"/>
    <w:rsid w:val="00CE60BC"/>
    <w:rsid w:val="00CE6408"/>
    <w:rsid w:val="00CE6474"/>
    <w:rsid w:val="00CE6518"/>
    <w:rsid w:val="00CE72CF"/>
    <w:rsid w:val="00CE7F70"/>
    <w:rsid w:val="00CF0575"/>
    <w:rsid w:val="00CF0619"/>
    <w:rsid w:val="00CF18D7"/>
    <w:rsid w:val="00CF209F"/>
    <w:rsid w:val="00CF2428"/>
    <w:rsid w:val="00CF3733"/>
    <w:rsid w:val="00CF43C7"/>
    <w:rsid w:val="00CF441D"/>
    <w:rsid w:val="00CF4439"/>
    <w:rsid w:val="00CF5334"/>
    <w:rsid w:val="00CF63A1"/>
    <w:rsid w:val="00CF6502"/>
    <w:rsid w:val="00CF67E8"/>
    <w:rsid w:val="00CF7868"/>
    <w:rsid w:val="00CF79F1"/>
    <w:rsid w:val="00D00419"/>
    <w:rsid w:val="00D0068D"/>
    <w:rsid w:val="00D00F3A"/>
    <w:rsid w:val="00D01985"/>
    <w:rsid w:val="00D01C7D"/>
    <w:rsid w:val="00D01E7E"/>
    <w:rsid w:val="00D01F77"/>
    <w:rsid w:val="00D0202E"/>
    <w:rsid w:val="00D023FA"/>
    <w:rsid w:val="00D026B9"/>
    <w:rsid w:val="00D02C68"/>
    <w:rsid w:val="00D033BD"/>
    <w:rsid w:val="00D0357D"/>
    <w:rsid w:val="00D035F2"/>
    <w:rsid w:val="00D03A56"/>
    <w:rsid w:val="00D03BFD"/>
    <w:rsid w:val="00D03C18"/>
    <w:rsid w:val="00D03C1E"/>
    <w:rsid w:val="00D041C1"/>
    <w:rsid w:val="00D04591"/>
    <w:rsid w:val="00D0576B"/>
    <w:rsid w:val="00D0582B"/>
    <w:rsid w:val="00D05889"/>
    <w:rsid w:val="00D0591E"/>
    <w:rsid w:val="00D061C2"/>
    <w:rsid w:val="00D06657"/>
    <w:rsid w:val="00D06701"/>
    <w:rsid w:val="00D06FC7"/>
    <w:rsid w:val="00D07174"/>
    <w:rsid w:val="00D0738F"/>
    <w:rsid w:val="00D0743A"/>
    <w:rsid w:val="00D07DC6"/>
    <w:rsid w:val="00D1098D"/>
    <w:rsid w:val="00D109B9"/>
    <w:rsid w:val="00D110F1"/>
    <w:rsid w:val="00D112F0"/>
    <w:rsid w:val="00D1146F"/>
    <w:rsid w:val="00D116ED"/>
    <w:rsid w:val="00D11C5B"/>
    <w:rsid w:val="00D125BC"/>
    <w:rsid w:val="00D12751"/>
    <w:rsid w:val="00D12D1E"/>
    <w:rsid w:val="00D13148"/>
    <w:rsid w:val="00D133E1"/>
    <w:rsid w:val="00D133F7"/>
    <w:rsid w:val="00D137A8"/>
    <w:rsid w:val="00D144EE"/>
    <w:rsid w:val="00D1453A"/>
    <w:rsid w:val="00D147B3"/>
    <w:rsid w:val="00D14C40"/>
    <w:rsid w:val="00D14F5A"/>
    <w:rsid w:val="00D15D7E"/>
    <w:rsid w:val="00D15D89"/>
    <w:rsid w:val="00D166C9"/>
    <w:rsid w:val="00D167F1"/>
    <w:rsid w:val="00D17043"/>
    <w:rsid w:val="00D17652"/>
    <w:rsid w:val="00D1779D"/>
    <w:rsid w:val="00D2023D"/>
    <w:rsid w:val="00D218C1"/>
    <w:rsid w:val="00D22470"/>
    <w:rsid w:val="00D22588"/>
    <w:rsid w:val="00D231B4"/>
    <w:rsid w:val="00D23348"/>
    <w:rsid w:val="00D235FF"/>
    <w:rsid w:val="00D23629"/>
    <w:rsid w:val="00D24015"/>
    <w:rsid w:val="00D24165"/>
    <w:rsid w:val="00D24DB3"/>
    <w:rsid w:val="00D25270"/>
    <w:rsid w:val="00D252A9"/>
    <w:rsid w:val="00D253BE"/>
    <w:rsid w:val="00D25DBD"/>
    <w:rsid w:val="00D26AEA"/>
    <w:rsid w:val="00D26BA8"/>
    <w:rsid w:val="00D26D3A"/>
    <w:rsid w:val="00D2744D"/>
    <w:rsid w:val="00D27613"/>
    <w:rsid w:val="00D27CD6"/>
    <w:rsid w:val="00D30259"/>
    <w:rsid w:val="00D30A81"/>
    <w:rsid w:val="00D30AFF"/>
    <w:rsid w:val="00D31A9B"/>
    <w:rsid w:val="00D32521"/>
    <w:rsid w:val="00D32A38"/>
    <w:rsid w:val="00D330BE"/>
    <w:rsid w:val="00D3348F"/>
    <w:rsid w:val="00D33C32"/>
    <w:rsid w:val="00D34D0F"/>
    <w:rsid w:val="00D3540E"/>
    <w:rsid w:val="00D35BC4"/>
    <w:rsid w:val="00D35F63"/>
    <w:rsid w:val="00D36956"/>
    <w:rsid w:val="00D36D30"/>
    <w:rsid w:val="00D37074"/>
    <w:rsid w:val="00D3794F"/>
    <w:rsid w:val="00D379D4"/>
    <w:rsid w:val="00D37D47"/>
    <w:rsid w:val="00D40A35"/>
    <w:rsid w:val="00D41308"/>
    <w:rsid w:val="00D41360"/>
    <w:rsid w:val="00D4197E"/>
    <w:rsid w:val="00D42351"/>
    <w:rsid w:val="00D425FE"/>
    <w:rsid w:val="00D434A7"/>
    <w:rsid w:val="00D458F5"/>
    <w:rsid w:val="00D459ED"/>
    <w:rsid w:val="00D465A0"/>
    <w:rsid w:val="00D46D66"/>
    <w:rsid w:val="00D472CE"/>
    <w:rsid w:val="00D47376"/>
    <w:rsid w:val="00D5016C"/>
    <w:rsid w:val="00D504EE"/>
    <w:rsid w:val="00D50702"/>
    <w:rsid w:val="00D50B0A"/>
    <w:rsid w:val="00D519A4"/>
    <w:rsid w:val="00D51FCF"/>
    <w:rsid w:val="00D51FE8"/>
    <w:rsid w:val="00D52CE9"/>
    <w:rsid w:val="00D52F97"/>
    <w:rsid w:val="00D53CE6"/>
    <w:rsid w:val="00D53EBD"/>
    <w:rsid w:val="00D53FB9"/>
    <w:rsid w:val="00D545BB"/>
    <w:rsid w:val="00D54704"/>
    <w:rsid w:val="00D54972"/>
    <w:rsid w:val="00D54AFB"/>
    <w:rsid w:val="00D550D7"/>
    <w:rsid w:val="00D5517C"/>
    <w:rsid w:val="00D55380"/>
    <w:rsid w:val="00D559C8"/>
    <w:rsid w:val="00D563BB"/>
    <w:rsid w:val="00D56C04"/>
    <w:rsid w:val="00D56D03"/>
    <w:rsid w:val="00D56D8E"/>
    <w:rsid w:val="00D570C4"/>
    <w:rsid w:val="00D577AC"/>
    <w:rsid w:val="00D57836"/>
    <w:rsid w:val="00D57A8C"/>
    <w:rsid w:val="00D57D25"/>
    <w:rsid w:val="00D606C0"/>
    <w:rsid w:val="00D607AC"/>
    <w:rsid w:val="00D62FD5"/>
    <w:rsid w:val="00D635C6"/>
    <w:rsid w:val="00D652C8"/>
    <w:rsid w:val="00D656AF"/>
    <w:rsid w:val="00D666C2"/>
    <w:rsid w:val="00D66AFC"/>
    <w:rsid w:val="00D67089"/>
    <w:rsid w:val="00D670B5"/>
    <w:rsid w:val="00D675F2"/>
    <w:rsid w:val="00D67866"/>
    <w:rsid w:val="00D70BE2"/>
    <w:rsid w:val="00D716CC"/>
    <w:rsid w:val="00D71B3C"/>
    <w:rsid w:val="00D71D12"/>
    <w:rsid w:val="00D7278E"/>
    <w:rsid w:val="00D7297B"/>
    <w:rsid w:val="00D72A2D"/>
    <w:rsid w:val="00D72AAA"/>
    <w:rsid w:val="00D72C18"/>
    <w:rsid w:val="00D732BC"/>
    <w:rsid w:val="00D74388"/>
    <w:rsid w:val="00D7530E"/>
    <w:rsid w:val="00D755F7"/>
    <w:rsid w:val="00D75CC7"/>
    <w:rsid w:val="00D75CE7"/>
    <w:rsid w:val="00D75D67"/>
    <w:rsid w:val="00D760CD"/>
    <w:rsid w:val="00D76F23"/>
    <w:rsid w:val="00D8014B"/>
    <w:rsid w:val="00D80226"/>
    <w:rsid w:val="00D8095E"/>
    <w:rsid w:val="00D80A04"/>
    <w:rsid w:val="00D81132"/>
    <w:rsid w:val="00D81471"/>
    <w:rsid w:val="00D8161B"/>
    <w:rsid w:val="00D81805"/>
    <w:rsid w:val="00D8240C"/>
    <w:rsid w:val="00D827A5"/>
    <w:rsid w:val="00D82A28"/>
    <w:rsid w:val="00D8310A"/>
    <w:rsid w:val="00D834BB"/>
    <w:rsid w:val="00D83CC9"/>
    <w:rsid w:val="00D83E69"/>
    <w:rsid w:val="00D8483B"/>
    <w:rsid w:val="00D84C7F"/>
    <w:rsid w:val="00D84EED"/>
    <w:rsid w:val="00D850CB"/>
    <w:rsid w:val="00D8517F"/>
    <w:rsid w:val="00D8528B"/>
    <w:rsid w:val="00D85341"/>
    <w:rsid w:val="00D85A78"/>
    <w:rsid w:val="00D85E79"/>
    <w:rsid w:val="00D85F38"/>
    <w:rsid w:val="00D8712D"/>
    <w:rsid w:val="00D8734E"/>
    <w:rsid w:val="00D90A25"/>
    <w:rsid w:val="00D90BDC"/>
    <w:rsid w:val="00D9137C"/>
    <w:rsid w:val="00D916E7"/>
    <w:rsid w:val="00D9178D"/>
    <w:rsid w:val="00D91E21"/>
    <w:rsid w:val="00D923CD"/>
    <w:rsid w:val="00D925D1"/>
    <w:rsid w:val="00D92BB3"/>
    <w:rsid w:val="00D92CE5"/>
    <w:rsid w:val="00D92E41"/>
    <w:rsid w:val="00D934D5"/>
    <w:rsid w:val="00D939F1"/>
    <w:rsid w:val="00D9418C"/>
    <w:rsid w:val="00D943E0"/>
    <w:rsid w:val="00D94868"/>
    <w:rsid w:val="00D95533"/>
    <w:rsid w:val="00D9566A"/>
    <w:rsid w:val="00D95886"/>
    <w:rsid w:val="00D95EFC"/>
    <w:rsid w:val="00D96424"/>
    <w:rsid w:val="00D968DC"/>
    <w:rsid w:val="00D96DE2"/>
    <w:rsid w:val="00D976F4"/>
    <w:rsid w:val="00DA077D"/>
    <w:rsid w:val="00DA0B7E"/>
    <w:rsid w:val="00DA109F"/>
    <w:rsid w:val="00DA1286"/>
    <w:rsid w:val="00DA2069"/>
    <w:rsid w:val="00DA230C"/>
    <w:rsid w:val="00DA26BB"/>
    <w:rsid w:val="00DA3268"/>
    <w:rsid w:val="00DA39DB"/>
    <w:rsid w:val="00DA3A30"/>
    <w:rsid w:val="00DA3B82"/>
    <w:rsid w:val="00DA3C0B"/>
    <w:rsid w:val="00DA3DC4"/>
    <w:rsid w:val="00DA40BF"/>
    <w:rsid w:val="00DA453A"/>
    <w:rsid w:val="00DA46E7"/>
    <w:rsid w:val="00DA4939"/>
    <w:rsid w:val="00DA58DA"/>
    <w:rsid w:val="00DA5DA3"/>
    <w:rsid w:val="00DA5FD9"/>
    <w:rsid w:val="00DA675B"/>
    <w:rsid w:val="00DA73DA"/>
    <w:rsid w:val="00DA757D"/>
    <w:rsid w:val="00DA7C16"/>
    <w:rsid w:val="00DB0279"/>
    <w:rsid w:val="00DB0C2E"/>
    <w:rsid w:val="00DB11AD"/>
    <w:rsid w:val="00DB1F8D"/>
    <w:rsid w:val="00DB2456"/>
    <w:rsid w:val="00DB28A4"/>
    <w:rsid w:val="00DB2C18"/>
    <w:rsid w:val="00DB2C5A"/>
    <w:rsid w:val="00DB33E1"/>
    <w:rsid w:val="00DB3920"/>
    <w:rsid w:val="00DB3A7C"/>
    <w:rsid w:val="00DB45E7"/>
    <w:rsid w:val="00DB48C6"/>
    <w:rsid w:val="00DB5E02"/>
    <w:rsid w:val="00DB6236"/>
    <w:rsid w:val="00DB6FB7"/>
    <w:rsid w:val="00DB7452"/>
    <w:rsid w:val="00DB7A99"/>
    <w:rsid w:val="00DB7DB6"/>
    <w:rsid w:val="00DC0474"/>
    <w:rsid w:val="00DC0586"/>
    <w:rsid w:val="00DC0CC7"/>
    <w:rsid w:val="00DC19AD"/>
    <w:rsid w:val="00DC1FA3"/>
    <w:rsid w:val="00DC29D7"/>
    <w:rsid w:val="00DC2DAC"/>
    <w:rsid w:val="00DC3806"/>
    <w:rsid w:val="00DC46A4"/>
    <w:rsid w:val="00DC4E86"/>
    <w:rsid w:val="00DC51B4"/>
    <w:rsid w:val="00DC5C1B"/>
    <w:rsid w:val="00DC6B1D"/>
    <w:rsid w:val="00DC6C33"/>
    <w:rsid w:val="00DC6F8D"/>
    <w:rsid w:val="00DC7ADA"/>
    <w:rsid w:val="00DD012E"/>
    <w:rsid w:val="00DD0D36"/>
    <w:rsid w:val="00DD100C"/>
    <w:rsid w:val="00DD121F"/>
    <w:rsid w:val="00DD12C2"/>
    <w:rsid w:val="00DD1B32"/>
    <w:rsid w:val="00DD23A0"/>
    <w:rsid w:val="00DD2544"/>
    <w:rsid w:val="00DD29D4"/>
    <w:rsid w:val="00DD3908"/>
    <w:rsid w:val="00DD420A"/>
    <w:rsid w:val="00DD433C"/>
    <w:rsid w:val="00DD5953"/>
    <w:rsid w:val="00DD61A8"/>
    <w:rsid w:val="00DD6B17"/>
    <w:rsid w:val="00DD728D"/>
    <w:rsid w:val="00DD7843"/>
    <w:rsid w:val="00DD7896"/>
    <w:rsid w:val="00DD7A02"/>
    <w:rsid w:val="00DE02B7"/>
    <w:rsid w:val="00DE0786"/>
    <w:rsid w:val="00DE0C7A"/>
    <w:rsid w:val="00DE0D76"/>
    <w:rsid w:val="00DE155B"/>
    <w:rsid w:val="00DE20D9"/>
    <w:rsid w:val="00DE2A21"/>
    <w:rsid w:val="00DE32F6"/>
    <w:rsid w:val="00DE335B"/>
    <w:rsid w:val="00DE3D71"/>
    <w:rsid w:val="00DE3D77"/>
    <w:rsid w:val="00DE43DC"/>
    <w:rsid w:val="00DE4A03"/>
    <w:rsid w:val="00DE5186"/>
    <w:rsid w:val="00DE53D9"/>
    <w:rsid w:val="00DE680B"/>
    <w:rsid w:val="00DE6E67"/>
    <w:rsid w:val="00DE722C"/>
    <w:rsid w:val="00DE7C90"/>
    <w:rsid w:val="00DF00D1"/>
    <w:rsid w:val="00DF020A"/>
    <w:rsid w:val="00DF0A86"/>
    <w:rsid w:val="00DF136E"/>
    <w:rsid w:val="00DF1661"/>
    <w:rsid w:val="00DF1F0B"/>
    <w:rsid w:val="00DF2408"/>
    <w:rsid w:val="00DF2999"/>
    <w:rsid w:val="00DF310C"/>
    <w:rsid w:val="00DF321E"/>
    <w:rsid w:val="00DF348D"/>
    <w:rsid w:val="00DF37A4"/>
    <w:rsid w:val="00DF4A8E"/>
    <w:rsid w:val="00DF5B3E"/>
    <w:rsid w:val="00DF5BA3"/>
    <w:rsid w:val="00DF5E33"/>
    <w:rsid w:val="00DF5F6E"/>
    <w:rsid w:val="00DF6339"/>
    <w:rsid w:val="00DF6552"/>
    <w:rsid w:val="00DF74D8"/>
    <w:rsid w:val="00E007FE"/>
    <w:rsid w:val="00E01A37"/>
    <w:rsid w:val="00E024AF"/>
    <w:rsid w:val="00E0252E"/>
    <w:rsid w:val="00E025DC"/>
    <w:rsid w:val="00E03B84"/>
    <w:rsid w:val="00E040CC"/>
    <w:rsid w:val="00E04371"/>
    <w:rsid w:val="00E0470A"/>
    <w:rsid w:val="00E04ADA"/>
    <w:rsid w:val="00E059D8"/>
    <w:rsid w:val="00E059E1"/>
    <w:rsid w:val="00E05A4B"/>
    <w:rsid w:val="00E0678C"/>
    <w:rsid w:val="00E07064"/>
    <w:rsid w:val="00E07BBC"/>
    <w:rsid w:val="00E07F27"/>
    <w:rsid w:val="00E109B6"/>
    <w:rsid w:val="00E10CD1"/>
    <w:rsid w:val="00E10DE5"/>
    <w:rsid w:val="00E10ED2"/>
    <w:rsid w:val="00E11184"/>
    <w:rsid w:val="00E118BF"/>
    <w:rsid w:val="00E13BAB"/>
    <w:rsid w:val="00E13EC7"/>
    <w:rsid w:val="00E13F46"/>
    <w:rsid w:val="00E14992"/>
    <w:rsid w:val="00E14FAD"/>
    <w:rsid w:val="00E1529C"/>
    <w:rsid w:val="00E16439"/>
    <w:rsid w:val="00E164AF"/>
    <w:rsid w:val="00E16C2B"/>
    <w:rsid w:val="00E17795"/>
    <w:rsid w:val="00E17899"/>
    <w:rsid w:val="00E2118F"/>
    <w:rsid w:val="00E21A84"/>
    <w:rsid w:val="00E21B2F"/>
    <w:rsid w:val="00E229D6"/>
    <w:rsid w:val="00E23315"/>
    <w:rsid w:val="00E243BC"/>
    <w:rsid w:val="00E24528"/>
    <w:rsid w:val="00E248CD"/>
    <w:rsid w:val="00E25E55"/>
    <w:rsid w:val="00E262A0"/>
    <w:rsid w:val="00E2646F"/>
    <w:rsid w:val="00E26834"/>
    <w:rsid w:val="00E26E1E"/>
    <w:rsid w:val="00E26F58"/>
    <w:rsid w:val="00E300E4"/>
    <w:rsid w:val="00E306E0"/>
    <w:rsid w:val="00E307D2"/>
    <w:rsid w:val="00E30AAE"/>
    <w:rsid w:val="00E30EAF"/>
    <w:rsid w:val="00E32777"/>
    <w:rsid w:val="00E3298A"/>
    <w:rsid w:val="00E32B79"/>
    <w:rsid w:val="00E334B4"/>
    <w:rsid w:val="00E33BE6"/>
    <w:rsid w:val="00E33E64"/>
    <w:rsid w:val="00E341C6"/>
    <w:rsid w:val="00E3543B"/>
    <w:rsid w:val="00E35B81"/>
    <w:rsid w:val="00E35CBE"/>
    <w:rsid w:val="00E3684A"/>
    <w:rsid w:val="00E36CD3"/>
    <w:rsid w:val="00E3734B"/>
    <w:rsid w:val="00E37441"/>
    <w:rsid w:val="00E37503"/>
    <w:rsid w:val="00E37939"/>
    <w:rsid w:val="00E37C32"/>
    <w:rsid w:val="00E40494"/>
    <w:rsid w:val="00E40725"/>
    <w:rsid w:val="00E411CE"/>
    <w:rsid w:val="00E41248"/>
    <w:rsid w:val="00E418FA"/>
    <w:rsid w:val="00E41923"/>
    <w:rsid w:val="00E41CA9"/>
    <w:rsid w:val="00E43020"/>
    <w:rsid w:val="00E431C9"/>
    <w:rsid w:val="00E438DB"/>
    <w:rsid w:val="00E43BAE"/>
    <w:rsid w:val="00E446CD"/>
    <w:rsid w:val="00E446DF"/>
    <w:rsid w:val="00E44BB2"/>
    <w:rsid w:val="00E459F2"/>
    <w:rsid w:val="00E45E0A"/>
    <w:rsid w:val="00E4628A"/>
    <w:rsid w:val="00E46927"/>
    <w:rsid w:val="00E46D2C"/>
    <w:rsid w:val="00E47FD3"/>
    <w:rsid w:val="00E5058B"/>
    <w:rsid w:val="00E50E3F"/>
    <w:rsid w:val="00E516BD"/>
    <w:rsid w:val="00E52CFB"/>
    <w:rsid w:val="00E52D9A"/>
    <w:rsid w:val="00E53C9D"/>
    <w:rsid w:val="00E53F7F"/>
    <w:rsid w:val="00E54645"/>
    <w:rsid w:val="00E549B8"/>
    <w:rsid w:val="00E54F13"/>
    <w:rsid w:val="00E5528C"/>
    <w:rsid w:val="00E5541F"/>
    <w:rsid w:val="00E56554"/>
    <w:rsid w:val="00E5657D"/>
    <w:rsid w:val="00E56D65"/>
    <w:rsid w:val="00E574F8"/>
    <w:rsid w:val="00E60721"/>
    <w:rsid w:val="00E60CB2"/>
    <w:rsid w:val="00E6134A"/>
    <w:rsid w:val="00E61B92"/>
    <w:rsid w:val="00E62287"/>
    <w:rsid w:val="00E626AA"/>
    <w:rsid w:val="00E635B6"/>
    <w:rsid w:val="00E637B3"/>
    <w:rsid w:val="00E63895"/>
    <w:rsid w:val="00E63DE5"/>
    <w:rsid w:val="00E642B7"/>
    <w:rsid w:val="00E64BB7"/>
    <w:rsid w:val="00E64DDE"/>
    <w:rsid w:val="00E64FB9"/>
    <w:rsid w:val="00E66217"/>
    <w:rsid w:val="00E66230"/>
    <w:rsid w:val="00E6735F"/>
    <w:rsid w:val="00E67469"/>
    <w:rsid w:val="00E677A1"/>
    <w:rsid w:val="00E70486"/>
    <w:rsid w:val="00E70A28"/>
    <w:rsid w:val="00E71B40"/>
    <w:rsid w:val="00E721DE"/>
    <w:rsid w:val="00E728AC"/>
    <w:rsid w:val="00E72D2C"/>
    <w:rsid w:val="00E7323F"/>
    <w:rsid w:val="00E73501"/>
    <w:rsid w:val="00E735C9"/>
    <w:rsid w:val="00E73E7E"/>
    <w:rsid w:val="00E74F41"/>
    <w:rsid w:val="00E75025"/>
    <w:rsid w:val="00E75E74"/>
    <w:rsid w:val="00E75F0E"/>
    <w:rsid w:val="00E76192"/>
    <w:rsid w:val="00E76D11"/>
    <w:rsid w:val="00E76EB4"/>
    <w:rsid w:val="00E771B7"/>
    <w:rsid w:val="00E77BA6"/>
    <w:rsid w:val="00E8079B"/>
    <w:rsid w:val="00E80F64"/>
    <w:rsid w:val="00E81776"/>
    <w:rsid w:val="00E818F4"/>
    <w:rsid w:val="00E81937"/>
    <w:rsid w:val="00E81B39"/>
    <w:rsid w:val="00E81C31"/>
    <w:rsid w:val="00E827A5"/>
    <w:rsid w:val="00E829B5"/>
    <w:rsid w:val="00E83304"/>
    <w:rsid w:val="00E8425A"/>
    <w:rsid w:val="00E84DCC"/>
    <w:rsid w:val="00E85241"/>
    <w:rsid w:val="00E85492"/>
    <w:rsid w:val="00E85CA9"/>
    <w:rsid w:val="00E85D54"/>
    <w:rsid w:val="00E860E5"/>
    <w:rsid w:val="00E86414"/>
    <w:rsid w:val="00E865D2"/>
    <w:rsid w:val="00E86AF4"/>
    <w:rsid w:val="00E86ED0"/>
    <w:rsid w:val="00E87586"/>
    <w:rsid w:val="00E87877"/>
    <w:rsid w:val="00E905A1"/>
    <w:rsid w:val="00E906CB"/>
    <w:rsid w:val="00E909FA"/>
    <w:rsid w:val="00E91551"/>
    <w:rsid w:val="00E917EE"/>
    <w:rsid w:val="00E932D7"/>
    <w:rsid w:val="00E93632"/>
    <w:rsid w:val="00E93924"/>
    <w:rsid w:val="00E93D68"/>
    <w:rsid w:val="00E93E32"/>
    <w:rsid w:val="00E94514"/>
    <w:rsid w:val="00E94825"/>
    <w:rsid w:val="00E94B7D"/>
    <w:rsid w:val="00E94D58"/>
    <w:rsid w:val="00E96398"/>
    <w:rsid w:val="00E96891"/>
    <w:rsid w:val="00E969AA"/>
    <w:rsid w:val="00E9717D"/>
    <w:rsid w:val="00E975A0"/>
    <w:rsid w:val="00E97EC9"/>
    <w:rsid w:val="00EA05DB"/>
    <w:rsid w:val="00EA0692"/>
    <w:rsid w:val="00EA0877"/>
    <w:rsid w:val="00EA08E7"/>
    <w:rsid w:val="00EA09BA"/>
    <w:rsid w:val="00EA1355"/>
    <w:rsid w:val="00EA1518"/>
    <w:rsid w:val="00EA18C7"/>
    <w:rsid w:val="00EA1919"/>
    <w:rsid w:val="00EA1A55"/>
    <w:rsid w:val="00EA2FE2"/>
    <w:rsid w:val="00EA3100"/>
    <w:rsid w:val="00EA321D"/>
    <w:rsid w:val="00EA323E"/>
    <w:rsid w:val="00EA3330"/>
    <w:rsid w:val="00EA4011"/>
    <w:rsid w:val="00EA43DC"/>
    <w:rsid w:val="00EA47F2"/>
    <w:rsid w:val="00EA4ABD"/>
    <w:rsid w:val="00EA50BD"/>
    <w:rsid w:val="00EA59A2"/>
    <w:rsid w:val="00EA6361"/>
    <w:rsid w:val="00EA6478"/>
    <w:rsid w:val="00EA7FFE"/>
    <w:rsid w:val="00EB0324"/>
    <w:rsid w:val="00EB0452"/>
    <w:rsid w:val="00EB1B93"/>
    <w:rsid w:val="00EB2A65"/>
    <w:rsid w:val="00EB2BBF"/>
    <w:rsid w:val="00EB2C3D"/>
    <w:rsid w:val="00EB2E74"/>
    <w:rsid w:val="00EB2EDE"/>
    <w:rsid w:val="00EB3EAF"/>
    <w:rsid w:val="00EB3ED0"/>
    <w:rsid w:val="00EB4370"/>
    <w:rsid w:val="00EB4B8B"/>
    <w:rsid w:val="00EB569D"/>
    <w:rsid w:val="00EB5FD9"/>
    <w:rsid w:val="00EB6247"/>
    <w:rsid w:val="00EB74CD"/>
    <w:rsid w:val="00EB74EA"/>
    <w:rsid w:val="00EC08F2"/>
    <w:rsid w:val="00EC1095"/>
    <w:rsid w:val="00EC1B66"/>
    <w:rsid w:val="00EC1E83"/>
    <w:rsid w:val="00EC2162"/>
    <w:rsid w:val="00EC2EF1"/>
    <w:rsid w:val="00EC35AA"/>
    <w:rsid w:val="00EC40CA"/>
    <w:rsid w:val="00EC483E"/>
    <w:rsid w:val="00EC4D0D"/>
    <w:rsid w:val="00EC576C"/>
    <w:rsid w:val="00EC57EA"/>
    <w:rsid w:val="00EC644F"/>
    <w:rsid w:val="00EC688C"/>
    <w:rsid w:val="00EC6B2F"/>
    <w:rsid w:val="00EC7BFC"/>
    <w:rsid w:val="00EC7E5F"/>
    <w:rsid w:val="00ED0519"/>
    <w:rsid w:val="00ED088F"/>
    <w:rsid w:val="00ED0EB8"/>
    <w:rsid w:val="00ED1CA5"/>
    <w:rsid w:val="00ED227A"/>
    <w:rsid w:val="00ED32DB"/>
    <w:rsid w:val="00ED3524"/>
    <w:rsid w:val="00ED3C58"/>
    <w:rsid w:val="00ED3EE0"/>
    <w:rsid w:val="00ED46B7"/>
    <w:rsid w:val="00ED4E14"/>
    <w:rsid w:val="00ED4F67"/>
    <w:rsid w:val="00ED50EC"/>
    <w:rsid w:val="00ED574E"/>
    <w:rsid w:val="00ED5848"/>
    <w:rsid w:val="00ED5ACC"/>
    <w:rsid w:val="00ED5B6D"/>
    <w:rsid w:val="00ED60B5"/>
    <w:rsid w:val="00ED63F4"/>
    <w:rsid w:val="00ED68D1"/>
    <w:rsid w:val="00ED6C5B"/>
    <w:rsid w:val="00ED6DBE"/>
    <w:rsid w:val="00ED6DF2"/>
    <w:rsid w:val="00ED6E4C"/>
    <w:rsid w:val="00ED716D"/>
    <w:rsid w:val="00ED7B3F"/>
    <w:rsid w:val="00EE028A"/>
    <w:rsid w:val="00EE05EA"/>
    <w:rsid w:val="00EE0B62"/>
    <w:rsid w:val="00EE16A1"/>
    <w:rsid w:val="00EE205E"/>
    <w:rsid w:val="00EE2D7E"/>
    <w:rsid w:val="00EE391A"/>
    <w:rsid w:val="00EE3BE1"/>
    <w:rsid w:val="00EE4387"/>
    <w:rsid w:val="00EE494A"/>
    <w:rsid w:val="00EE4B72"/>
    <w:rsid w:val="00EE5EA0"/>
    <w:rsid w:val="00EE6030"/>
    <w:rsid w:val="00EE65F3"/>
    <w:rsid w:val="00EE67EE"/>
    <w:rsid w:val="00EE6B3D"/>
    <w:rsid w:val="00EE6B81"/>
    <w:rsid w:val="00EE77B1"/>
    <w:rsid w:val="00EE7E8E"/>
    <w:rsid w:val="00EF0522"/>
    <w:rsid w:val="00EF0B1A"/>
    <w:rsid w:val="00EF0BB9"/>
    <w:rsid w:val="00EF0DCB"/>
    <w:rsid w:val="00EF0FF0"/>
    <w:rsid w:val="00EF211C"/>
    <w:rsid w:val="00EF211F"/>
    <w:rsid w:val="00EF2403"/>
    <w:rsid w:val="00EF2650"/>
    <w:rsid w:val="00EF29CC"/>
    <w:rsid w:val="00EF2EB6"/>
    <w:rsid w:val="00EF3313"/>
    <w:rsid w:val="00EF35A7"/>
    <w:rsid w:val="00EF36B2"/>
    <w:rsid w:val="00EF3B5B"/>
    <w:rsid w:val="00EF3DF7"/>
    <w:rsid w:val="00EF3F9F"/>
    <w:rsid w:val="00EF3FE6"/>
    <w:rsid w:val="00EF528E"/>
    <w:rsid w:val="00EF52F5"/>
    <w:rsid w:val="00EF5D27"/>
    <w:rsid w:val="00EF6193"/>
    <w:rsid w:val="00EF6A9A"/>
    <w:rsid w:val="00EF6BB1"/>
    <w:rsid w:val="00EF6C8C"/>
    <w:rsid w:val="00EF7ABE"/>
    <w:rsid w:val="00F0052F"/>
    <w:rsid w:val="00F00B3B"/>
    <w:rsid w:val="00F01139"/>
    <w:rsid w:val="00F019B5"/>
    <w:rsid w:val="00F01CFF"/>
    <w:rsid w:val="00F01F59"/>
    <w:rsid w:val="00F02BC5"/>
    <w:rsid w:val="00F032C9"/>
    <w:rsid w:val="00F03991"/>
    <w:rsid w:val="00F03E61"/>
    <w:rsid w:val="00F04961"/>
    <w:rsid w:val="00F049EB"/>
    <w:rsid w:val="00F04B75"/>
    <w:rsid w:val="00F0602D"/>
    <w:rsid w:val="00F0621C"/>
    <w:rsid w:val="00F10DA4"/>
    <w:rsid w:val="00F10FE6"/>
    <w:rsid w:val="00F11029"/>
    <w:rsid w:val="00F11114"/>
    <w:rsid w:val="00F114F4"/>
    <w:rsid w:val="00F132A4"/>
    <w:rsid w:val="00F134D3"/>
    <w:rsid w:val="00F1381F"/>
    <w:rsid w:val="00F13EFD"/>
    <w:rsid w:val="00F14175"/>
    <w:rsid w:val="00F14B8E"/>
    <w:rsid w:val="00F14DE4"/>
    <w:rsid w:val="00F15226"/>
    <w:rsid w:val="00F15CF2"/>
    <w:rsid w:val="00F1624F"/>
    <w:rsid w:val="00F1655F"/>
    <w:rsid w:val="00F1659D"/>
    <w:rsid w:val="00F1691B"/>
    <w:rsid w:val="00F16B0F"/>
    <w:rsid w:val="00F16ECD"/>
    <w:rsid w:val="00F17168"/>
    <w:rsid w:val="00F17222"/>
    <w:rsid w:val="00F17DBA"/>
    <w:rsid w:val="00F203C0"/>
    <w:rsid w:val="00F2044C"/>
    <w:rsid w:val="00F20734"/>
    <w:rsid w:val="00F216EA"/>
    <w:rsid w:val="00F22710"/>
    <w:rsid w:val="00F22A9B"/>
    <w:rsid w:val="00F234B0"/>
    <w:rsid w:val="00F23910"/>
    <w:rsid w:val="00F241F9"/>
    <w:rsid w:val="00F24C2F"/>
    <w:rsid w:val="00F24F7D"/>
    <w:rsid w:val="00F2536A"/>
    <w:rsid w:val="00F2553A"/>
    <w:rsid w:val="00F25AD0"/>
    <w:rsid w:val="00F26873"/>
    <w:rsid w:val="00F26E44"/>
    <w:rsid w:val="00F27FE9"/>
    <w:rsid w:val="00F30DB6"/>
    <w:rsid w:val="00F32C2F"/>
    <w:rsid w:val="00F33D14"/>
    <w:rsid w:val="00F34152"/>
    <w:rsid w:val="00F344D7"/>
    <w:rsid w:val="00F34B84"/>
    <w:rsid w:val="00F3544A"/>
    <w:rsid w:val="00F35F64"/>
    <w:rsid w:val="00F367B5"/>
    <w:rsid w:val="00F36F51"/>
    <w:rsid w:val="00F37BCE"/>
    <w:rsid w:val="00F37BFD"/>
    <w:rsid w:val="00F37C9E"/>
    <w:rsid w:val="00F4087E"/>
    <w:rsid w:val="00F4099D"/>
    <w:rsid w:val="00F40DC1"/>
    <w:rsid w:val="00F40E71"/>
    <w:rsid w:val="00F41535"/>
    <w:rsid w:val="00F41659"/>
    <w:rsid w:val="00F41849"/>
    <w:rsid w:val="00F42033"/>
    <w:rsid w:val="00F43598"/>
    <w:rsid w:val="00F43AB0"/>
    <w:rsid w:val="00F440F1"/>
    <w:rsid w:val="00F44511"/>
    <w:rsid w:val="00F44DB8"/>
    <w:rsid w:val="00F4645F"/>
    <w:rsid w:val="00F46608"/>
    <w:rsid w:val="00F46640"/>
    <w:rsid w:val="00F46DEB"/>
    <w:rsid w:val="00F47F0D"/>
    <w:rsid w:val="00F50DEC"/>
    <w:rsid w:val="00F51710"/>
    <w:rsid w:val="00F51B4B"/>
    <w:rsid w:val="00F524BA"/>
    <w:rsid w:val="00F52C99"/>
    <w:rsid w:val="00F52FA5"/>
    <w:rsid w:val="00F53661"/>
    <w:rsid w:val="00F537A6"/>
    <w:rsid w:val="00F538F9"/>
    <w:rsid w:val="00F53C71"/>
    <w:rsid w:val="00F53FBA"/>
    <w:rsid w:val="00F54451"/>
    <w:rsid w:val="00F54463"/>
    <w:rsid w:val="00F548F9"/>
    <w:rsid w:val="00F54A00"/>
    <w:rsid w:val="00F54D0D"/>
    <w:rsid w:val="00F55580"/>
    <w:rsid w:val="00F5569B"/>
    <w:rsid w:val="00F559BA"/>
    <w:rsid w:val="00F55CFA"/>
    <w:rsid w:val="00F564AD"/>
    <w:rsid w:val="00F5675E"/>
    <w:rsid w:val="00F56F8E"/>
    <w:rsid w:val="00F57496"/>
    <w:rsid w:val="00F5755C"/>
    <w:rsid w:val="00F60340"/>
    <w:rsid w:val="00F606FA"/>
    <w:rsid w:val="00F609E1"/>
    <w:rsid w:val="00F619A5"/>
    <w:rsid w:val="00F620E1"/>
    <w:rsid w:val="00F6235F"/>
    <w:rsid w:val="00F63B62"/>
    <w:rsid w:val="00F63C64"/>
    <w:rsid w:val="00F63E7E"/>
    <w:rsid w:val="00F64041"/>
    <w:rsid w:val="00F648D2"/>
    <w:rsid w:val="00F64E01"/>
    <w:rsid w:val="00F661F4"/>
    <w:rsid w:val="00F66B9F"/>
    <w:rsid w:val="00F66D7E"/>
    <w:rsid w:val="00F678B6"/>
    <w:rsid w:val="00F70144"/>
    <w:rsid w:val="00F701B9"/>
    <w:rsid w:val="00F70BDD"/>
    <w:rsid w:val="00F70F12"/>
    <w:rsid w:val="00F7133B"/>
    <w:rsid w:val="00F714A1"/>
    <w:rsid w:val="00F71CEF"/>
    <w:rsid w:val="00F72506"/>
    <w:rsid w:val="00F72E4B"/>
    <w:rsid w:val="00F73339"/>
    <w:rsid w:val="00F7349E"/>
    <w:rsid w:val="00F7383D"/>
    <w:rsid w:val="00F73CB6"/>
    <w:rsid w:val="00F744DC"/>
    <w:rsid w:val="00F74D1E"/>
    <w:rsid w:val="00F75191"/>
    <w:rsid w:val="00F75CD3"/>
    <w:rsid w:val="00F76A91"/>
    <w:rsid w:val="00F76B14"/>
    <w:rsid w:val="00F775D6"/>
    <w:rsid w:val="00F77BC1"/>
    <w:rsid w:val="00F77E71"/>
    <w:rsid w:val="00F809A7"/>
    <w:rsid w:val="00F80A9D"/>
    <w:rsid w:val="00F80CD8"/>
    <w:rsid w:val="00F81535"/>
    <w:rsid w:val="00F815F3"/>
    <w:rsid w:val="00F81C54"/>
    <w:rsid w:val="00F83219"/>
    <w:rsid w:val="00F83836"/>
    <w:rsid w:val="00F83F2B"/>
    <w:rsid w:val="00F84447"/>
    <w:rsid w:val="00F8587F"/>
    <w:rsid w:val="00F860B9"/>
    <w:rsid w:val="00F86294"/>
    <w:rsid w:val="00F86D07"/>
    <w:rsid w:val="00F87F80"/>
    <w:rsid w:val="00F90741"/>
    <w:rsid w:val="00F9083F"/>
    <w:rsid w:val="00F90C32"/>
    <w:rsid w:val="00F91704"/>
    <w:rsid w:val="00F91736"/>
    <w:rsid w:val="00F91881"/>
    <w:rsid w:val="00F91FC9"/>
    <w:rsid w:val="00F930FE"/>
    <w:rsid w:val="00F93302"/>
    <w:rsid w:val="00F94301"/>
    <w:rsid w:val="00F94C70"/>
    <w:rsid w:val="00F94EFA"/>
    <w:rsid w:val="00F95173"/>
    <w:rsid w:val="00F95CB3"/>
    <w:rsid w:val="00F95FFF"/>
    <w:rsid w:val="00F9696C"/>
    <w:rsid w:val="00F96D74"/>
    <w:rsid w:val="00F96E61"/>
    <w:rsid w:val="00F9755B"/>
    <w:rsid w:val="00F97C28"/>
    <w:rsid w:val="00F97DD6"/>
    <w:rsid w:val="00FA023E"/>
    <w:rsid w:val="00FA0606"/>
    <w:rsid w:val="00FA09D3"/>
    <w:rsid w:val="00FA113A"/>
    <w:rsid w:val="00FA2B10"/>
    <w:rsid w:val="00FA2B6C"/>
    <w:rsid w:val="00FA317B"/>
    <w:rsid w:val="00FA43D6"/>
    <w:rsid w:val="00FA4A5C"/>
    <w:rsid w:val="00FA4C33"/>
    <w:rsid w:val="00FA5108"/>
    <w:rsid w:val="00FA53E2"/>
    <w:rsid w:val="00FA547F"/>
    <w:rsid w:val="00FA54FF"/>
    <w:rsid w:val="00FA574A"/>
    <w:rsid w:val="00FA68C2"/>
    <w:rsid w:val="00FA6B22"/>
    <w:rsid w:val="00FA6DA4"/>
    <w:rsid w:val="00FA7473"/>
    <w:rsid w:val="00FA7540"/>
    <w:rsid w:val="00FA7B09"/>
    <w:rsid w:val="00FA7D51"/>
    <w:rsid w:val="00FA7F62"/>
    <w:rsid w:val="00FB002C"/>
    <w:rsid w:val="00FB0C0B"/>
    <w:rsid w:val="00FB0FA7"/>
    <w:rsid w:val="00FB13FA"/>
    <w:rsid w:val="00FB1796"/>
    <w:rsid w:val="00FB1D66"/>
    <w:rsid w:val="00FB1F6D"/>
    <w:rsid w:val="00FB1FBA"/>
    <w:rsid w:val="00FB282E"/>
    <w:rsid w:val="00FB2927"/>
    <w:rsid w:val="00FB3391"/>
    <w:rsid w:val="00FB3734"/>
    <w:rsid w:val="00FB4D20"/>
    <w:rsid w:val="00FB51F2"/>
    <w:rsid w:val="00FB5605"/>
    <w:rsid w:val="00FB62DB"/>
    <w:rsid w:val="00FB63CD"/>
    <w:rsid w:val="00FB64E2"/>
    <w:rsid w:val="00FB65F7"/>
    <w:rsid w:val="00FB6669"/>
    <w:rsid w:val="00FB668B"/>
    <w:rsid w:val="00FB6BB8"/>
    <w:rsid w:val="00FB7374"/>
    <w:rsid w:val="00FB7641"/>
    <w:rsid w:val="00FB79B9"/>
    <w:rsid w:val="00FC056A"/>
    <w:rsid w:val="00FC0D53"/>
    <w:rsid w:val="00FC0E8B"/>
    <w:rsid w:val="00FC0FC8"/>
    <w:rsid w:val="00FC12A9"/>
    <w:rsid w:val="00FC17D5"/>
    <w:rsid w:val="00FC1CB0"/>
    <w:rsid w:val="00FC1ECF"/>
    <w:rsid w:val="00FC22C5"/>
    <w:rsid w:val="00FC2319"/>
    <w:rsid w:val="00FC244F"/>
    <w:rsid w:val="00FC24F4"/>
    <w:rsid w:val="00FC28D4"/>
    <w:rsid w:val="00FC318E"/>
    <w:rsid w:val="00FC3764"/>
    <w:rsid w:val="00FC3942"/>
    <w:rsid w:val="00FC3C62"/>
    <w:rsid w:val="00FC423F"/>
    <w:rsid w:val="00FC4A21"/>
    <w:rsid w:val="00FC4BE1"/>
    <w:rsid w:val="00FC4EEB"/>
    <w:rsid w:val="00FC5256"/>
    <w:rsid w:val="00FC5800"/>
    <w:rsid w:val="00FC5C6C"/>
    <w:rsid w:val="00FC5FF4"/>
    <w:rsid w:val="00FC67AB"/>
    <w:rsid w:val="00FC6E57"/>
    <w:rsid w:val="00FC6F8C"/>
    <w:rsid w:val="00FC71F7"/>
    <w:rsid w:val="00FC74FC"/>
    <w:rsid w:val="00FC7DC3"/>
    <w:rsid w:val="00FD0773"/>
    <w:rsid w:val="00FD0CB3"/>
    <w:rsid w:val="00FD0DB9"/>
    <w:rsid w:val="00FD1163"/>
    <w:rsid w:val="00FD1884"/>
    <w:rsid w:val="00FD1FF8"/>
    <w:rsid w:val="00FD20A6"/>
    <w:rsid w:val="00FD27D6"/>
    <w:rsid w:val="00FD2C2E"/>
    <w:rsid w:val="00FD2C7E"/>
    <w:rsid w:val="00FD35B2"/>
    <w:rsid w:val="00FD3688"/>
    <w:rsid w:val="00FD507C"/>
    <w:rsid w:val="00FD5086"/>
    <w:rsid w:val="00FD578F"/>
    <w:rsid w:val="00FD57E9"/>
    <w:rsid w:val="00FD5BD2"/>
    <w:rsid w:val="00FD5E1F"/>
    <w:rsid w:val="00FD629F"/>
    <w:rsid w:val="00FD6797"/>
    <w:rsid w:val="00FD6AC1"/>
    <w:rsid w:val="00FD765B"/>
    <w:rsid w:val="00FD7F3D"/>
    <w:rsid w:val="00FE2080"/>
    <w:rsid w:val="00FE21EE"/>
    <w:rsid w:val="00FE2423"/>
    <w:rsid w:val="00FE25B5"/>
    <w:rsid w:val="00FE285A"/>
    <w:rsid w:val="00FE3124"/>
    <w:rsid w:val="00FE4290"/>
    <w:rsid w:val="00FE489C"/>
    <w:rsid w:val="00FE4CF1"/>
    <w:rsid w:val="00FE4E3C"/>
    <w:rsid w:val="00FE4F47"/>
    <w:rsid w:val="00FE5228"/>
    <w:rsid w:val="00FE54D6"/>
    <w:rsid w:val="00FE6546"/>
    <w:rsid w:val="00FE6EF2"/>
    <w:rsid w:val="00FF05C6"/>
    <w:rsid w:val="00FF0B71"/>
    <w:rsid w:val="00FF1B10"/>
    <w:rsid w:val="00FF1E8C"/>
    <w:rsid w:val="00FF221E"/>
    <w:rsid w:val="00FF281B"/>
    <w:rsid w:val="00FF2CCF"/>
    <w:rsid w:val="00FF32EC"/>
    <w:rsid w:val="00FF383A"/>
    <w:rsid w:val="00FF405B"/>
    <w:rsid w:val="00FF480F"/>
    <w:rsid w:val="00FF4B07"/>
    <w:rsid w:val="00FF4DC5"/>
    <w:rsid w:val="00FF520C"/>
    <w:rsid w:val="00FF55EB"/>
    <w:rsid w:val="00FF71E1"/>
    <w:rsid w:val="00FF7696"/>
    <w:rsid w:val="00FF7729"/>
    <w:rsid w:val="01052384"/>
    <w:rsid w:val="01717E31"/>
    <w:rsid w:val="017B7732"/>
    <w:rsid w:val="01D34B5E"/>
    <w:rsid w:val="01E90844"/>
    <w:rsid w:val="02586B74"/>
    <w:rsid w:val="026666F7"/>
    <w:rsid w:val="02672F4B"/>
    <w:rsid w:val="027E6602"/>
    <w:rsid w:val="02954B2B"/>
    <w:rsid w:val="02AC433F"/>
    <w:rsid w:val="02BD3481"/>
    <w:rsid w:val="02F53218"/>
    <w:rsid w:val="03013908"/>
    <w:rsid w:val="032D533B"/>
    <w:rsid w:val="03412F8C"/>
    <w:rsid w:val="03562BAD"/>
    <w:rsid w:val="036411C9"/>
    <w:rsid w:val="03E0535C"/>
    <w:rsid w:val="03EF5435"/>
    <w:rsid w:val="0402251B"/>
    <w:rsid w:val="041C7499"/>
    <w:rsid w:val="041F23C0"/>
    <w:rsid w:val="04340583"/>
    <w:rsid w:val="047A3D6F"/>
    <w:rsid w:val="05115784"/>
    <w:rsid w:val="0514311C"/>
    <w:rsid w:val="05184780"/>
    <w:rsid w:val="051F15BB"/>
    <w:rsid w:val="052D5EAC"/>
    <w:rsid w:val="054330D3"/>
    <w:rsid w:val="05455087"/>
    <w:rsid w:val="057523EE"/>
    <w:rsid w:val="059D5DD7"/>
    <w:rsid w:val="05A11814"/>
    <w:rsid w:val="05A50166"/>
    <w:rsid w:val="05E74350"/>
    <w:rsid w:val="05EB30F4"/>
    <w:rsid w:val="061C7A3D"/>
    <w:rsid w:val="06201D7D"/>
    <w:rsid w:val="066E40B5"/>
    <w:rsid w:val="069B58F2"/>
    <w:rsid w:val="06AB6A4A"/>
    <w:rsid w:val="06AC376F"/>
    <w:rsid w:val="06B63710"/>
    <w:rsid w:val="06E23C53"/>
    <w:rsid w:val="06E710CA"/>
    <w:rsid w:val="06E756E7"/>
    <w:rsid w:val="06EA3F13"/>
    <w:rsid w:val="073C68E1"/>
    <w:rsid w:val="07476782"/>
    <w:rsid w:val="076345B7"/>
    <w:rsid w:val="07852BAC"/>
    <w:rsid w:val="07AC7E57"/>
    <w:rsid w:val="07C71B33"/>
    <w:rsid w:val="07D16002"/>
    <w:rsid w:val="07E9781E"/>
    <w:rsid w:val="08193962"/>
    <w:rsid w:val="08257B8E"/>
    <w:rsid w:val="085601DB"/>
    <w:rsid w:val="085B4779"/>
    <w:rsid w:val="08643644"/>
    <w:rsid w:val="08CE387B"/>
    <w:rsid w:val="08F00172"/>
    <w:rsid w:val="08FF094D"/>
    <w:rsid w:val="09284008"/>
    <w:rsid w:val="0930680C"/>
    <w:rsid w:val="094C3466"/>
    <w:rsid w:val="095E1B17"/>
    <w:rsid w:val="097543DD"/>
    <w:rsid w:val="097757CB"/>
    <w:rsid w:val="09CB0572"/>
    <w:rsid w:val="09CE69C8"/>
    <w:rsid w:val="09E5153E"/>
    <w:rsid w:val="0A3E2469"/>
    <w:rsid w:val="0A555C0A"/>
    <w:rsid w:val="0A9848B3"/>
    <w:rsid w:val="0A986365"/>
    <w:rsid w:val="0AAC36CF"/>
    <w:rsid w:val="0AD81857"/>
    <w:rsid w:val="0AE37D17"/>
    <w:rsid w:val="0AE84C05"/>
    <w:rsid w:val="0B073DFD"/>
    <w:rsid w:val="0B230364"/>
    <w:rsid w:val="0B2501E5"/>
    <w:rsid w:val="0B6C1E30"/>
    <w:rsid w:val="0B750508"/>
    <w:rsid w:val="0B7E024F"/>
    <w:rsid w:val="0B837613"/>
    <w:rsid w:val="0BA22770"/>
    <w:rsid w:val="0BA25CC2"/>
    <w:rsid w:val="0BBF2585"/>
    <w:rsid w:val="0BC57134"/>
    <w:rsid w:val="0BC77BEC"/>
    <w:rsid w:val="0BD220BB"/>
    <w:rsid w:val="0BD750A7"/>
    <w:rsid w:val="0BDE5E78"/>
    <w:rsid w:val="0BF16467"/>
    <w:rsid w:val="0BF2160C"/>
    <w:rsid w:val="0C072097"/>
    <w:rsid w:val="0C1D7377"/>
    <w:rsid w:val="0C3D709F"/>
    <w:rsid w:val="0C4C71E1"/>
    <w:rsid w:val="0C504E03"/>
    <w:rsid w:val="0C6717DC"/>
    <w:rsid w:val="0C74228C"/>
    <w:rsid w:val="0C8C5AA3"/>
    <w:rsid w:val="0CA24CDE"/>
    <w:rsid w:val="0CA63317"/>
    <w:rsid w:val="0CAA6E21"/>
    <w:rsid w:val="0CB65612"/>
    <w:rsid w:val="0CE468CB"/>
    <w:rsid w:val="0CEC7094"/>
    <w:rsid w:val="0D0158EA"/>
    <w:rsid w:val="0D191620"/>
    <w:rsid w:val="0D4F1279"/>
    <w:rsid w:val="0D613984"/>
    <w:rsid w:val="0D867F83"/>
    <w:rsid w:val="0DA27AF9"/>
    <w:rsid w:val="0DC750F8"/>
    <w:rsid w:val="0DCE40C6"/>
    <w:rsid w:val="0E016F15"/>
    <w:rsid w:val="0E2E090F"/>
    <w:rsid w:val="0E58126E"/>
    <w:rsid w:val="0E772784"/>
    <w:rsid w:val="0E8437D1"/>
    <w:rsid w:val="0EA004EF"/>
    <w:rsid w:val="0EB010D6"/>
    <w:rsid w:val="0EB167B8"/>
    <w:rsid w:val="0EBE6BB4"/>
    <w:rsid w:val="0ECA53BA"/>
    <w:rsid w:val="0EEC2EA4"/>
    <w:rsid w:val="0F0D5795"/>
    <w:rsid w:val="0F122ADE"/>
    <w:rsid w:val="0F23217D"/>
    <w:rsid w:val="0F482B8A"/>
    <w:rsid w:val="0F4F3F32"/>
    <w:rsid w:val="0F515083"/>
    <w:rsid w:val="0F533B82"/>
    <w:rsid w:val="0F5D3BA3"/>
    <w:rsid w:val="0FF61752"/>
    <w:rsid w:val="0FFB5798"/>
    <w:rsid w:val="100913D0"/>
    <w:rsid w:val="1024138D"/>
    <w:rsid w:val="10303A5E"/>
    <w:rsid w:val="104146FD"/>
    <w:rsid w:val="105C7CD9"/>
    <w:rsid w:val="10672A72"/>
    <w:rsid w:val="106D7BAB"/>
    <w:rsid w:val="109E6C9D"/>
    <w:rsid w:val="10EA3C90"/>
    <w:rsid w:val="10F42D61"/>
    <w:rsid w:val="10F97774"/>
    <w:rsid w:val="114F1D45"/>
    <w:rsid w:val="11686DDF"/>
    <w:rsid w:val="11790923"/>
    <w:rsid w:val="118D2FED"/>
    <w:rsid w:val="11C61F9A"/>
    <w:rsid w:val="11DC5CCF"/>
    <w:rsid w:val="120B0362"/>
    <w:rsid w:val="125450E0"/>
    <w:rsid w:val="127C5789"/>
    <w:rsid w:val="12B444C7"/>
    <w:rsid w:val="12CA1FCB"/>
    <w:rsid w:val="12CD386A"/>
    <w:rsid w:val="12D6023B"/>
    <w:rsid w:val="12F349B6"/>
    <w:rsid w:val="131317A1"/>
    <w:rsid w:val="133D5682"/>
    <w:rsid w:val="13462607"/>
    <w:rsid w:val="135514DA"/>
    <w:rsid w:val="1372408E"/>
    <w:rsid w:val="138403CC"/>
    <w:rsid w:val="13913431"/>
    <w:rsid w:val="139554AF"/>
    <w:rsid w:val="13A876C9"/>
    <w:rsid w:val="13C51B57"/>
    <w:rsid w:val="1413227E"/>
    <w:rsid w:val="14293604"/>
    <w:rsid w:val="14391612"/>
    <w:rsid w:val="14551D51"/>
    <w:rsid w:val="14A23D30"/>
    <w:rsid w:val="14BA1BCC"/>
    <w:rsid w:val="14E02C87"/>
    <w:rsid w:val="150A1C35"/>
    <w:rsid w:val="15273110"/>
    <w:rsid w:val="15342ACF"/>
    <w:rsid w:val="15433893"/>
    <w:rsid w:val="154B3916"/>
    <w:rsid w:val="15697A03"/>
    <w:rsid w:val="157B0843"/>
    <w:rsid w:val="15A87F43"/>
    <w:rsid w:val="15FB1F8C"/>
    <w:rsid w:val="160262A2"/>
    <w:rsid w:val="16360EEA"/>
    <w:rsid w:val="163D662F"/>
    <w:rsid w:val="16426480"/>
    <w:rsid w:val="164D137F"/>
    <w:rsid w:val="165548B3"/>
    <w:rsid w:val="16664533"/>
    <w:rsid w:val="166C3705"/>
    <w:rsid w:val="16AC0991"/>
    <w:rsid w:val="16B13132"/>
    <w:rsid w:val="16B84B0C"/>
    <w:rsid w:val="17021C72"/>
    <w:rsid w:val="176779C5"/>
    <w:rsid w:val="176B1D73"/>
    <w:rsid w:val="178228BD"/>
    <w:rsid w:val="179C01A2"/>
    <w:rsid w:val="17AB3E69"/>
    <w:rsid w:val="17AD5A18"/>
    <w:rsid w:val="17D941B2"/>
    <w:rsid w:val="17E709A7"/>
    <w:rsid w:val="17FE3A3D"/>
    <w:rsid w:val="1819142E"/>
    <w:rsid w:val="181B5077"/>
    <w:rsid w:val="186E33F9"/>
    <w:rsid w:val="187134BD"/>
    <w:rsid w:val="1874101E"/>
    <w:rsid w:val="187F6E5C"/>
    <w:rsid w:val="18C5331B"/>
    <w:rsid w:val="18D26278"/>
    <w:rsid w:val="1917583F"/>
    <w:rsid w:val="19257F5C"/>
    <w:rsid w:val="19263F31"/>
    <w:rsid w:val="192C2F42"/>
    <w:rsid w:val="194A66F3"/>
    <w:rsid w:val="194E2C85"/>
    <w:rsid w:val="19526752"/>
    <w:rsid w:val="197455A3"/>
    <w:rsid w:val="19A075E2"/>
    <w:rsid w:val="19BA1974"/>
    <w:rsid w:val="19BF430C"/>
    <w:rsid w:val="19C24B7F"/>
    <w:rsid w:val="19D7210D"/>
    <w:rsid w:val="19E71922"/>
    <w:rsid w:val="19F65454"/>
    <w:rsid w:val="1A0D74F0"/>
    <w:rsid w:val="1A2F2036"/>
    <w:rsid w:val="1A304E0A"/>
    <w:rsid w:val="1AB800F8"/>
    <w:rsid w:val="1ACB0DC2"/>
    <w:rsid w:val="1ADC7AD1"/>
    <w:rsid w:val="1AE250EB"/>
    <w:rsid w:val="1B110F4B"/>
    <w:rsid w:val="1B244140"/>
    <w:rsid w:val="1B555EB6"/>
    <w:rsid w:val="1BC20FFD"/>
    <w:rsid w:val="1BD96039"/>
    <w:rsid w:val="1BEA75BC"/>
    <w:rsid w:val="1BEF495C"/>
    <w:rsid w:val="1C2B5439"/>
    <w:rsid w:val="1C4E77C9"/>
    <w:rsid w:val="1C86568D"/>
    <w:rsid w:val="1CD108B3"/>
    <w:rsid w:val="1CEF31CA"/>
    <w:rsid w:val="1CF55E97"/>
    <w:rsid w:val="1D0A00EB"/>
    <w:rsid w:val="1D2B5F4A"/>
    <w:rsid w:val="1D5030CD"/>
    <w:rsid w:val="1D743260"/>
    <w:rsid w:val="1D781D10"/>
    <w:rsid w:val="1DAB48D8"/>
    <w:rsid w:val="1DBC69B5"/>
    <w:rsid w:val="1DC21802"/>
    <w:rsid w:val="1DC53F3A"/>
    <w:rsid w:val="1DED4CAD"/>
    <w:rsid w:val="1E1B192D"/>
    <w:rsid w:val="1E311151"/>
    <w:rsid w:val="1E8C4058"/>
    <w:rsid w:val="1EAB3B09"/>
    <w:rsid w:val="1EBB509A"/>
    <w:rsid w:val="1ED02796"/>
    <w:rsid w:val="1F136AA8"/>
    <w:rsid w:val="1F137C5E"/>
    <w:rsid w:val="1F201992"/>
    <w:rsid w:val="1F373E26"/>
    <w:rsid w:val="1F46142B"/>
    <w:rsid w:val="1F8F22AB"/>
    <w:rsid w:val="1F916247"/>
    <w:rsid w:val="1FFB3FD9"/>
    <w:rsid w:val="20225C2E"/>
    <w:rsid w:val="203B0BB9"/>
    <w:rsid w:val="204F08D0"/>
    <w:rsid w:val="205D447F"/>
    <w:rsid w:val="207277FE"/>
    <w:rsid w:val="20A025BE"/>
    <w:rsid w:val="20B13CF0"/>
    <w:rsid w:val="20B76EC8"/>
    <w:rsid w:val="219050F4"/>
    <w:rsid w:val="219C0EEF"/>
    <w:rsid w:val="21A34C8E"/>
    <w:rsid w:val="21D2382E"/>
    <w:rsid w:val="21D818E3"/>
    <w:rsid w:val="21E62A39"/>
    <w:rsid w:val="220426D8"/>
    <w:rsid w:val="22130A95"/>
    <w:rsid w:val="221F0A53"/>
    <w:rsid w:val="2221772E"/>
    <w:rsid w:val="22252864"/>
    <w:rsid w:val="222B2D92"/>
    <w:rsid w:val="226009DB"/>
    <w:rsid w:val="22726CB0"/>
    <w:rsid w:val="227716C6"/>
    <w:rsid w:val="22947F00"/>
    <w:rsid w:val="22C84824"/>
    <w:rsid w:val="22EA683B"/>
    <w:rsid w:val="22EB3CBF"/>
    <w:rsid w:val="22ED221D"/>
    <w:rsid w:val="22F015DA"/>
    <w:rsid w:val="23241284"/>
    <w:rsid w:val="232C64A2"/>
    <w:rsid w:val="233432ED"/>
    <w:rsid w:val="233B42E0"/>
    <w:rsid w:val="23455F86"/>
    <w:rsid w:val="238276C1"/>
    <w:rsid w:val="23BD6190"/>
    <w:rsid w:val="23F40508"/>
    <w:rsid w:val="246D23DB"/>
    <w:rsid w:val="24782451"/>
    <w:rsid w:val="24A109EA"/>
    <w:rsid w:val="24A22B3F"/>
    <w:rsid w:val="24CA2529"/>
    <w:rsid w:val="24EF7670"/>
    <w:rsid w:val="250003D6"/>
    <w:rsid w:val="25025EFE"/>
    <w:rsid w:val="253736E4"/>
    <w:rsid w:val="2539191C"/>
    <w:rsid w:val="254466FE"/>
    <w:rsid w:val="25841ECF"/>
    <w:rsid w:val="258C6F69"/>
    <w:rsid w:val="25B32B83"/>
    <w:rsid w:val="25BD7D10"/>
    <w:rsid w:val="25D959F5"/>
    <w:rsid w:val="25E97E41"/>
    <w:rsid w:val="25F767DC"/>
    <w:rsid w:val="260B3687"/>
    <w:rsid w:val="267C1EAF"/>
    <w:rsid w:val="269229A8"/>
    <w:rsid w:val="269B0BDC"/>
    <w:rsid w:val="26BA0112"/>
    <w:rsid w:val="26C5713B"/>
    <w:rsid w:val="26C66752"/>
    <w:rsid w:val="26D037A8"/>
    <w:rsid w:val="26D81BCD"/>
    <w:rsid w:val="26FE6E3F"/>
    <w:rsid w:val="27283E24"/>
    <w:rsid w:val="27860C0C"/>
    <w:rsid w:val="27A85FEE"/>
    <w:rsid w:val="27B7133B"/>
    <w:rsid w:val="27C970FA"/>
    <w:rsid w:val="280C5BE5"/>
    <w:rsid w:val="28106BD4"/>
    <w:rsid w:val="28170267"/>
    <w:rsid w:val="28186EDD"/>
    <w:rsid w:val="2819013D"/>
    <w:rsid w:val="283252DA"/>
    <w:rsid w:val="283E383A"/>
    <w:rsid w:val="28523022"/>
    <w:rsid w:val="285376FE"/>
    <w:rsid w:val="286A061D"/>
    <w:rsid w:val="288067EA"/>
    <w:rsid w:val="28B17027"/>
    <w:rsid w:val="28BE799C"/>
    <w:rsid w:val="28D97E9C"/>
    <w:rsid w:val="28FB1B5D"/>
    <w:rsid w:val="29053A1F"/>
    <w:rsid w:val="29171938"/>
    <w:rsid w:val="292A511A"/>
    <w:rsid w:val="292B1661"/>
    <w:rsid w:val="298E38FB"/>
    <w:rsid w:val="29A057CA"/>
    <w:rsid w:val="29A87E36"/>
    <w:rsid w:val="29BA1A41"/>
    <w:rsid w:val="29BB3C1F"/>
    <w:rsid w:val="29BD6C85"/>
    <w:rsid w:val="29C72F6B"/>
    <w:rsid w:val="29CA259B"/>
    <w:rsid w:val="29D23493"/>
    <w:rsid w:val="29E354A8"/>
    <w:rsid w:val="29EC1C9B"/>
    <w:rsid w:val="2A067812"/>
    <w:rsid w:val="2A1D763D"/>
    <w:rsid w:val="2A387D1B"/>
    <w:rsid w:val="2A486D61"/>
    <w:rsid w:val="2A4D604C"/>
    <w:rsid w:val="2A7F30E3"/>
    <w:rsid w:val="2AAF52E7"/>
    <w:rsid w:val="2AAF74D9"/>
    <w:rsid w:val="2AC45B85"/>
    <w:rsid w:val="2AD50D04"/>
    <w:rsid w:val="2ADB1B17"/>
    <w:rsid w:val="2AE55B5E"/>
    <w:rsid w:val="2AF137D8"/>
    <w:rsid w:val="2AFB58A9"/>
    <w:rsid w:val="2B084FE7"/>
    <w:rsid w:val="2B4D50C3"/>
    <w:rsid w:val="2B795EE5"/>
    <w:rsid w:val="2BB533C1"/>
    <w:rsid w:val="2BC453B2"/>
    <w:rsid w:val="2BCC4155"/>
    <w:rsid w:val="2BDA672D"/>
    <w:rsid w:val="2BE408D4"/>
    <w:rsid w:val="2BE6557B"/>
    <w:rsid w:val="2BFE77CD"/>
    <w:rsid w:val="2C0C7457"/>
    <w:rsid w:val="2C4B1722"/>
    <w:rsid w:val="2C52550F"/>
    <w:rsid w:val="2C576226"/>
    <w:rsid w:val="2C6B45BB"/>
    <w:rsid w:val="2C7304A0"/>
    <w:rsid w:val="2C7816F7"/>
    <w:rsid w:val="2C807A39"/>
    <w:rsid w:val="2C886A16"/>
    <w:rsid w:val="2C9F0A73"/>
    <w:rsid w:val="2CA42F41"/>
    <w:rsid w:val="2CAA3472"/>
    <w:rsid w:val="2CB501FA"/>
    <w:rsid w:val="2CC63982"/>
    <w:rsid w:val="2CE3168F"/>
    <w:rsid w:val="2CF23FE4"/>
    <w:rsid w:val="2D053935"/>
    <w:rsid w:val="2D0A240D"/>
    <w:rsid w:val="2D397ED9"/>
    <w:rsid w:val="2D4E0346"/>
    <w:rsid w:val="2D56129E"/>
    <w:rsid w:val="2D5A4573"/>
    <w:rsid w:val="2DBD0E0C"/>
    <w:rsid w:val="2DFB6B1F"/>
    <w:rsid w:val="2E190EB5"/>
    <w:rsid w:val="2E215C12"/>
    <w:rsid w:val="2E291668"/>
    <w:rsid w:val="2E3C1BF9"/>
    <w:rsid w:val="2E507AE6"/>
    <w:rsid w:val="2E654415"/>
    <w:rsid w:val="2E7F06DA"/>
    <w:rsid w:val="2E9F62D8"/>
    <w:rsid w:val="2EB075C3"/>
    <w:rsid w:val="2EDA396D"/>
    <w:rsid w:val="2EE620E7"/>
    <w:rsid w:val="2EF41788"/>
    <w:rsid w:val="2F313821"/>
    <w:rsid w:val="2F7C4324"/>
    <w:rsid w:val="2FA5374C"/>
    <w:rsid w:val="2FA94B1D"/>
    <w:rsid w:val="2FBB4D1E"/>
    <w:rsid w:val="2FE560ED"/>
    <w:rsid w:val="2FF81D09"/>
    <w:rsid w:val="30190CEF"/>
    <w:rsid w:val="301A043B"/>
    <w:rsid w:val="30275C16"/>
    <w:rsid w:val="30427974"/>
    <w:rsid w:val="309E270F"/>
    <w:rsid w:val="30F13134"/>
    <w:rsid w:val="30F5675D"/>
    <w:rsid w:val="310D5E8E"/>
    <w:rsid w:val="31215BFB"/>
    <w:rsid w:val="31380438"/>
    <w:rsid w:val="315B12B6"/>
    <w:rsid w:val="31A375B8"/>
    <w:rsid w:val="31BF2445"/>
    <w:rsid w:val="31C54A1A"/>
    <w:rsid w:val="31E85B72"/>
    <w:rsid w:val="31F22A4F"/>
    <w:rsid w:val="31F50F68"/>
    <w:rsid w:val="31FE56CA"/>
    <w:rsid w:val="320B23EE"/>
    <w:rsid w:val="325273AC"/>
    <w:rsid w:val="326C7950"/>
    <w:rsid w:val="3281093F"/>
    <w:rsid w:val="32E02010"/>
    <w:rsid w:val="32F349B1"/>
    <w:rsid w:val="32FA4C84"/>
    <w:rsid w:val="337902C4"/>
    <w:rsid w:val="339D5C44"/>
    <w:rsid w:val="33AA7583"/>
    <w:rsid w:val="33F17791"/>
    <w:rsid w:val="33F63349"/>
    <w:rsid w:val="34217DDC"/>
    <w:rsid w:val="3497613F"/>
    <w:rsid w:val="34E46AC5"/>
    <w:rsid w:val="35011425"/>
    <w:rsid w:val="354F4E1F"/>
    <w:rsid w:val="3558461E"/>
    <w:rsid w:val="35774FB5"/>
    <w:rsid w:val="35834979"/>
    <w:rsid w:val="358D0B65"/>
    <w:rsid w:val="35AF5C43"/>
    <w:rsid w:val="35B8657F"/>
    <w:rsid w:val="35D2691D"/>
    <w:rsid w:val="35F12BBF"/>
    <w:rsid w:val="360A4309"/>
    <w:rsid w:val="364713F7"/>
    <w:rsid w:val="36611021"/>
    <w:rsid w:val="368940A2"/>
    <w:rsid w:val="36AD6F63"/>
    <w:rsid w:val="36B64352"/>
    <w:rsid w:val="36D63BD8"/>
    <w:rsid w:val="36E165F5"/>
    <w:rsid w:val="371E7607"/>
    <w:rsid w:val="373B623A"/>
    <w:rsid w:val="37A465F1"/>
    <w:rsid w:val="37B438FD"/>
    <w:rsid w:val="37B95CA7"/>
    <w:rsid w:val="37F065A7"/>
    <w:rsid w:val="38251992"/>
    <w:rsid w:val="38281B58"/>
    <w:rsid w:val="38316D59"/>
    <w:rsid w:val="388A6E04"/>
    <w:rsid w:val="38937244"/>
    <w:rsid w:val="38B27A27"/>
    <w:rsid w:val="38B66FD8"/>
    <w:rsid w:val="38B731CD"/>
    <w:rsid w:val="38C60CC6"/>
    <w:rsid w:val="39000FBD"/>
    <w:rsid w:val="3910275A"/>
    <w:rsid w:val="39203E44"/>
    <w:rsid w:val="392A027F"/>
    <w:rsid w:val="392C1112"/>
    <w:rsid w:val="3957668C"/>
    <w:rsid w:val="3981684A"/>
    <w:rsid w:val="39A534B0"/>
    <w:rsid w:val="39AA0F58"/>
    <w:rsid w:val="39C80763"/>
    <w:rsid w:val="39C8418B"/>
    <w:rsid w:val="39C93765"/>
    <w:rsid w:val="3A0174CF"/>
    <w:rsid w:val="3A1309C2"/>
    <w:rsid w:val="3A1439A9"/>
    <w:rsid w:val="3A1C0AAF"/>
    <w:rsid w:val="3A2E29F2"/>
    <w:rsid w:val="3A3E60CE"/>
    <w:rsid w:val="3A52627F"/>
    <w:rsid w:val="3A851B7C"/>
    <w:rsid w:val="3AA10762"/>
    <w:rsid w:val="3AAA67B2"/>
    <w:rsid w:val="3AD11165"/>
    <w:rsid w:val="3B503523"/>
    <w:rsid w:val="3B76761C"/>
    <w:rsid w:val="3B7C4625"/>
    <w:rsid w:val="3B925C42"/>
    <w:rsid w:val="3B9444C1"/>
    <w:rsid w:val="3BAA14C7"/>
    <w:rsid w:val="3BF359D2"/>
    <w:rsid w:val="3C262DEC"/>
    <w:rsid w:val="3C2643B7"/>
    <w:rsid w:val="3C3445FF"/>
    <w:rsid w:val="3C4224D1"/>
    <w:rsid w:val="3C5A4617"/>
    <w:rsid w:val="3C752089"/>
    <w:rsid w:val="3C797AF3"/>
    <w:rsid w:val="3C9867B8"/>
    <w:rsid w:val="3CB543CF"/>
    <w:rsid w:val="3CB5657F"/>
    <w:rsid w:val="3D07765A"/>
    <w:rsid w:val="3D0B3D62"/>
    <w:rsid w:val="3D0E0B83"/>
    <w:rsid w:val="3D504B04"/>
    <w:rsid w:val="3D511638"/>
    <w:rsid w:val="3D5D7177"/>
    <w:rsid w:val="3D7F27D8"/>
    <w:rsid w:val="3D881412"/>
    <w:rsid w:val="3D915C00"/>
    <w:rsid w:val="3DAF46E1"/>
    <w:rsid w:val="3DBC46E7"/>
    <w:rsid w:val="3DD002E1"/>
    <w:rsid w:val="3DE605A3"/>
    <w:rsid w:val="3E0647FA"/>
    <w:rsid w:val="3E252277"/>
    <w:rsid w:val="3E6E0BF6"/>
    <w:rsid w:val="3E7D1BAC"/>
    <w:rsid w:val="3E8F6283"/>
    <w:rsid w:val="3EB94B1E"/>
    <w:rsid w:val="3EC25194"/>
    <w:rsid w:val="3EC75733"/>
    <w:rsid w:val="3EEE5F74"/>
    <w:rsid w:val="3F0E2C92"/>
    <w:rsid w:val="3F126430"/>
    <w:rsid w:val="3F1275E1"/>
    <w:rsid w:val="3F19716C"/>
    <w:rsid w:val="3F1C296F"/>
    <w:rsid w:val="3F587548"/>
    <w:rsid w:val="3F69663D"/>
    <w:rsid w:val="3F8233C8"/>
    <w:rsid w:val="3F9D61EE"/>
    <w:rsid w:val="3FA66414"/>
    <w:rsid w:val="3FAF6AD7"/>
    <w:rsid w:val="3FCE4334"/>
    <w:rsid w:val="3FD006A8"/>
    <w:rsid w:val="3FD07418"/>
    <w:rsid w:val="400770E2"/>
    <w:rsid w:val="40095632"/>
    <w:rsid w:val="40135E30"/>
    <w:rsid w:val="401F2FF2"/>
    <w:rsid w:val="40232721"/>
    <w:rsid w:val="40257496"/>
    <w:rsid w:val="402B2310"/>
    <w:rsid w:val="402B7981"/>
    <w:rsid w:val="402C1320"/>
    <w:rsid w:val="40557713"/>
    <w:rsid w:val="40631DEE"/>
    <w:rsid w:val="408B4299"/>
    <w:rsid w:val="40A570C9"/>
    <w:rsid w:val="40D51468"/>
    <w:rsid w:val="40EA7211"/>
    <w:rsid w:val="40ED7810"/>
    <w:rsid w:val="41083746"/>
    <w:rsid w:val="411726EE"/>
    <w:rsid w:val="411E43F5"/>
    <w:rsid w:val="41573613"/>
    <w:rsid w:val="41702A39"/>
    <w:rsid w:val="418B2BAF"/>
    <w:rsid w:val="41926BC6"/>
    <w:rsid w:val="41A26DBE"/>
    <w:rsid w:val="41A34270"/>
    <w:rsid w:val="41CB32B0"/>
    <w:rsid w:val="41D80036"/>
    <w:rsid w:val="41EB510D"/>
    <w:rsid w:val="42197082"/>
    <w:rsid w:val="42904E1E"/>
    <w:rsid w:val="429B1D5D"/>
    <w:rsid w:val="42A930FC"/>
    <w:rsid w:val="42D261AF"/>
    <w:rsid w:val="42DB1E8D"/>
    <w:rsid w:val="42E21C31"/>
    <w:rsid w:val="43103208"/>
    <w:rsid w:val="43341C86"/>
    <w:rsid w:val="433B1AC2"/>
    <w:rsid w:val="434C0F60"/>
    <w:rsid w:val="435C3CCA"/>
    <w:rsid w:val="43725D31"/>
    <w:rsid w:val="43C67D37"/>
    <w:rsid w:val="43D56142"/>
    <w:rsid w:val="43FB5753"/>
    <w:rsid w:val="441B7967"/>
    <w:rsid w:val="444A7FC7"/>
    <w:rsid w:val="44502417"/>
    <w:rsid w:val="447E3BC7"/>
    <w:rsid w:val="448B2139"/>
    <w:rsid w:val="449C177F"/>
    <w:rsid w:val="44A73DB2"/>
    <w:rsid w:val="44CB1C45"/>
    <w:rsid w:val="450136B5"/>
    <w:rsid w:val="45E31AE2"/>
    <w:rsid w:val="45E32A31"/>
    <w:rsid w:val="46104851"/>
    <w:rsid w:val="461B1C1B"/>
    <w:rsid w:val="464A2500"/>
    <w:rsid w:val="46533914"/>
    <w:rsid w:val="466771A5"/>
    <w:rsid w:val="467005A3"/>
    <w:rsid w:val="46761AEA"/>
    <w:rsid w:val="469C1B96"/>
    <w:rsid w:val="46AA3629"/>
    <w:rsid w:val="46B53E1D"/>
    <w:rsid w:val="470D188A"/>
    <w:rsid w:val="479016DA"/>
    <w:rsid w:val="479A6646"/>
    <w:rsid w:val="47AA07D4"/>
    <w:rsid w:val="47BE3A65"/>
    <w:rsid w:val="47F03399"/>
    <w:rsid w:val="47FD6F09"/>
    <w:rsid w:val="48317C50"/>
    <w:rsid w:val="48343468"/>
    <w:rsid w:val="4847091F"/>
    <w:rsid w:val="48495176"/>
    <w:rsid w:val="48537D92"/>
    <w:rsid w:val="48564065"/>
    <w:rsid w:val="485B41E5"/>
    <w:rsid w:val="48975470"/>
    <w:rsid w:val="48BC0E26"/>
    <w:rsid w:val="48DA79B1"/>
    <w:rsid w:val="48E0766B"/>
    <w:rsid w:val="48EC76A9"/>
    <w:rsid w:val="48F778B5"/>
    <w:rsid w:val="48FE1390"/>
    <w:rsid w:val="4900334A"/>
    <w:rsid w:val="490A5B20"/>
    <w:rsid w:val="490B53B1"/>
    <w:rsid w:val="490E513B"/>
    <w:rsid w:val="491E2F59"/>
    <w:rsid w:val="49367C24"/>
    <w:rsid w:val="49451FF7"/>
    <w:rsid w:val="496A0E6A"/>
    <w:rsid w:val="49903123"/>
    <w:rsid w:val="499C43C7"/>
    <w:rsid w:val="49AA1AAC"/>
    <w:rsid w:val="4A0D3F70"/>
    <w:rsid w:val="4A1A0C1F"/>
    <w:rsid w:val="4A2B02C2"/>
    <w:rsid w:val="4A606796"/>
    <w:rsid w:val="4A83413A"/>
    <w:rsid w:val="4A8A60EA"/>
    <w:rsid w:val="4A8C3601"/>
    <w:rsid w:val="4A8D56E4"/>
    <w:rsid w:val="4ADA02F6"/>
    <w:rsid w:val="4AE12509"/>
    <w:rsid w:val="4AEF3483"/>
    <w:rsid w:val="4AF81170"/>
    <w:rsid w:val="4B120A57"/>
    <w:rsid w:val="4B1A6E48"/>
    <w:rsid w:val="4B4C2813"/>
    <w:rsid w:val="4B573DFF"/>
    <w:rsid w:val="4B6012AC"/>
    <w:rsid w:val="4B922E4D"/>
    <w:rsid w:val="4B9606BD"/>
    <w:rsid w:val="4BB71A2B"/>
    <w:rsid w:val="4BC97EC0"/>
    <w:rsid w:val="4BE807F1"/>
    <w:rsid w:val="4BED484A"/>
    <w:rsid w:val="4BEF0D0C"/>
    <w:rsid w:val="4BF21445"/>
    <w:rsid w:val="4BF33EFA"/>
    <w:rsid w:val="4BFA59E9"/>
    <w:rsid w:val="4BFC19EE"/>
    <w:rsid w:val="4C0840CE"/>
    <w:rsid w:val="4C1747CD"/>
    <w:rsid w:val="4C410D8E"/>
    <w:rsid w:val="4C5364F0"/>
    <w:rsid w:val="4C6E532E"/>
    <w:rsid w:val="4C8F5510"/>
    <w:rsid w:val="4CA12D55"/>
    <w:rsid w:val="4D46659E"/>
    <w:rsid w:val="4D956757"/>
    <w:rsid w:val="4DA66B0C"/>
    <w:rsid w:val="4DB70F6E"/>
    <w:rsid w:val="4DC53313"/>
    <w:rsid w:val="4DDF605A"/>
    <w:rsid w:val="4E264200"/>
    <w:rsid w:val="4E44722F"/>
    <w:rsid w:val="4E59176B"/>
    <w:rsid w:val="4E716C7E"/>
    <w:rsid w:val="4E9370B3"/>
    <w:rsid w:val="4EAD59C3"/>
    <w:rsid w:val="4F04761C"/>
    <w:rsid w:val="4F483A93"/>
    <w:rsid w:val="4F61147A"/>
    <w:rsid w:val="4F75447B"/>
    <w:rsid w:val="4F803FF6"/>
    <w:rsid w:val="4F8B3E51"/>
    <w:rsid w:val="4FB253DC"/>
    <w:rsid w:val="4FB35EE0"/>
    <w:rsid w:val="4FF04118"/>
    <w:rsid w:val="4FF435C4"/>
    <w:rsid w:val="4FFA0AF3"/>
    <w:rsid w:val="50634A74"/>
    <w:rsid w:val="506922EF"/>
    <w:rsid w:val="506D0634"/>
    <w:rsid w:val="507654D6"/>
    <w:rsid w:val="508042CA"/>
    <w:rsid w:val="509652A0"/>
    <w:rsid w:val="50A12DFC"/>
    <w:rsid w:val="50A24F9C"/>
    <w:rsid w:val="50B17D2C"/>
    <w:rsid w:val="50C17A64"/>
    <w:rsid w:val="50C74CB3"/>
    <w:rsid w:val="50EC385F"/>
    <w:rsid w:val="50EE68AA"/>
    <w:rsid w:val="50FD72E2"/>
    <w:rsid w:val="51134633"/>
    <w:rsid w:val="514431DE"/>
    <w:rsid w:val="51621046"/>
    <w:rsid w:val="51622DF4"/>
    <w:rsid w:val="518629BA"/>
    <w:rsid w:val="51C72978"/>
    <w:rsid w:val="51D6733E"/>
    <w:rsid w:val="51E03958"/>
    <w:rsid w:val="51E6098D"/>
    <w:rsid w:val="51EC69AD"/>
    <w:rsid w:val="52140F5D"/>
    <w:rsid w:val="521729C9"/>
    <w:rsid w:val="52641303"/>
    <w:rsid w:val="526D1C5D"/>
    <w:rsid w:val="529327BE"/>
    <w:rsid w:val="52943481"/>
    <w:rsid w:val="52D7124B"/>
    <w:rsid w:val="52ED4DA4"/>
    <w:rsid w:val="53150487"/>
    <w:rsid w:val="532935D4"/>
    <w:rsid w:val="536B511B"/>
    <w:rsid w:val="538E5F40"/>
    <w:rsid w:val="539C7282"/>
    <w:rsid w:val="53AB243F"/>
    <w:rsid w:val="53B269E5"/>
    <w:rsid w:val="53D520DB"/>
    <w:rsid w:val="53E628B9"/>
    <w:rsid w:val="54006942"/>
    <w:rsid w:val="543438CE"/>
    <w:rsid w:val="54607290"/>
    <w:rsid w:val="548117E3"/>
    <w:rsid w:val="54AB1684"/>
    <w:rsid w:val="54BA003F"/>
    <w:rsid w:val="55185DC1"/>
    <w:rsid w:val="55231111"/>
    <w:rsid w:val="55500B7A"/>
    <w:rsid w:val="556A1128"/>
    <w:rsid w:val="55755050"/>
    <w:rsid w:val="558536FB"/>
    <w:rsid w:val="55894DF3"/>
    <w:rsid w:val="55B27E27"/>
    <w:rsid w:val="55B4772C"/>
    <w:rsid w:val="55E62C7B"/>
    <w:rsid w:val="55E72761"/>
    <w:rsid w:val="56197F50"/>
    <w:rsid w:val="5621653E"/>
    <w:rsid w:val="563E08F5"/>
    <w:rsid w:val="56400AEB"/>
    <w:rsid w:val="56466A5A"/>
    <w:rsid w:val="56513437"/>
    <w:rsid w:val="56597E70"/>
    <w:rsid w:val="56755377"/>
    <w:rsid w:val="567B576E"/>
    <w:rsid w:val="56AD2D63"/>
    <w:rsid w:val="56C97471"/>
    <w:rsid w:val="56D1201B"/>
    <w:rsid w:val="57262581"/>
    <w:rsid w:val="573F0603"/>
    <w:rsid w:val="575D2A3D"/>
    <w:rsid w:val="577307E3"/>
    <w:rsid w:val="57A6243C"/>
    <w:rsid w:val="57CE5B8B"/>
    <w:rsid w:val="57D47C23"/>
    <w:rsid w:val="57EF2869"/>
    <w:rsid w:val="57EF4812"/>
    <w:rsid w:val="57F35835"/>
    <w:rsid w:val="57FD0BFC"/>
    <w:rsid w:val="580B6EA0"/>
    <w:rsid w:val="5829536B"/>
    <w:rsid w:val="583040A1"/>
    <w:rsid w:val="583F2D4C"/>
    <w:rsid w:val="584541FF"/>
    <w:rsid w:val="58552FC8"/>
    <w:rsid w:val="585D7E20"/>
    <w:rsid w:val="585F041D"/>
    <w:rsid w:val="5870229A"/>
    <w:rsid w:val="58705898"/>
    <w:rsid w:val="589053D5"/>
    <w:rsid w:val="58A051F3"/>
    <w:rsid w:val="58CB3B21"/>
    <w:rsid w:val="58ED2810"/>
    <w:rsid w:val="58FE66AD"/>
    <w:rsid w:val="590709AA"/>
    <w:rsid w:val="590D188F"/>
    <w:rsid w:val="59187D75"/>
    <w:rsid w:val="591E4595"/>
    <w:rsid w:val="59245459"/>
    <w:rsid w:val="59571E65"/>
    <w:rsid w:val="599E42B8"/>
    <w:rsid w:val="59B77A55"/>
    <w:rsid w:val="59D07395"/>
    <w:rsid w:val="59D221DD"/>
    <w:rsid w:val="59DC3F96"/>
    <w:rsid w:val="59FD0F5C"/>
    <w:rsid w:val="5A01043C"/>
    <w:rsid w:val="5A0A638D"/>
    <w:rsid w:val="5A0C72D4"/>
    <w:rsid w:val="5A50479F"/>
    <w:rsid w:val="5A6620E8"/>
    <w:rsid w:val="5A6C3085"/>
    <w:rsid w:val="5A767D29"/>
    <w:rsid w:val="5A77317E"/>
    <w:rsid w:val="5A827348"/>
    <w:rsid w:val="5A8B2EE4"/>
    <w:rsid w:val="5A9F2F07"/>
    <w:rsid w:val="5AC152F9"/>
    <w:rsid w:val="5AD83B08"/>
    <w:rsid w:val="5AE14F45"/>
    <w:rsid w:val="5AFE1354"/>
    <w:rsid w:val="5B2B38B5"/>
    <w:rsid w:val="5B5C6B06"/>
    <w:rsid w:val="5B681974"/>
    <w:rsid w:val="5BBE05AD"/>
    <w:rsid w:val="5BC31D6C"/>
    <w:rsid w:val="5C1A798F"/>
    <w:rsid w:val="5C4B7C16"/>
    <w:rsid w:val="5C6803FE"/>
    <w:rsid w:val="5C6A2E06"/>
    <w:rsid w:val="5C9E53E3"/>
    <w:rsid w:val="5CB50B12"/>
    <w:rsid w:val="5CDB1DE0"/>
    <w:rsid w:val="5CDF79EE"/>
    <w:rsid w:val="5CF94903"/>
    <w:rsid w:val="5D31467E"/>
    <w:rsid w:val="5D4A1473"/>
    <w:rsid w:val="5D5D2872"/>
    <w:rsid w:val="5D621CA0"/>
    <w:rsid w:val="5D68668B"/>
    <w:rsid w:val="5D692B29"/>
    <w:rsid w:val="5D6A45B1"/>
    <w:rsid w:val="5D6E3BE9"/>
    <w:rsid w:val="5D701BF2"/>
    <w:rsid w:val="5D762228"/>
    <w:rsid w:val="5D906943"/>
    <w:rsid w:val="5D9C768D"/>
    <w:rsid w:val="5DD87E0F"/>
    <w:rsid w:val="5DDC7864"/>
    <w:rsid w:val="5DDC7F9F"/>
    <w:rsid w:val="5DE03A1E"/>
    <w:rsid w:val="5E024A93"/>
    <w:rsid w:val="5E246695"/>
    <w:rsid w:val="5E3C1E9B"/>
    <w:rsid w:val="5E6463FD"/>
    <w:rsid w:val="5E736AB9"/>
    <w:rsid w:val="5E895164"/>
    <w:rsid w:val="5E906FEC"/>
    <w:rsid w:val="5EA70A8A"/>
    <w:rsid w:val="5EB456ED"/>
    <w:rsid w:val="5EBA1ECA"/>
    <w:rsid w:val="5EC84A70"/>
    <w:rsid w:val="5ECC7AFE"/>
    <w:rsid w:val="5EF0408B"/>
    <w:rsid w:val="5F24793A"/>
    <w:rsid w:val="5F41229A"/>
    <w:rsid w:val="5F4F25F9"/>
    <w:rsid w:val="5F5C755F"/>
    <w:rsid w:val="5F5E474A"/>
    <w:rsid w:val="5F695E40"/>
    <w:rsid w:val="5F751F44"/>
    <w:rsid w:val="5F8C3574"/>
    <w:rsid w:val="5F9008FE"/>
    <w:rsid w:val="5F924DD5"/>
    <w:rsid w:val="5FB22048"/>
    <w:rsid w:val="5FB875C0"/>
    <w:rsid w:val="5FEA2932"/>
    <w:rsid w:val="5FED058E"/>
    <w:rsid w:val="601919C9"/>
    <w:rsid w:val="605E1D2B"/>
    <w:rsid w:val="6098238E"/>
    <w:rsid w:val="60990A6D"/>
    <w:rsid w:val="60A54CB1"/>
    <w:rsid w:val="60AF2476"/>
    <w:rsid w:val="60BB596D"/>
    <w:rsid w:val="60CD7A62"/>
    <w:rsid w:val="60D30A70"/>
    <w:rsid w:val="60D6152A"/>
    <w:rsid w:val="60FE4BD2"/>
    <w:rsid w:val="614E6EF1"/>
    <w:rsid w:val="614E7927"/>
    <w:rsid w:val="6150181D"/>
    <w:rsid w:val="615B1D1B"/>
    <w:rsid w:val="61612BAE"/>
    <w:rsid w:val="6189617B"/>
    <w:rsid w:val="61A81B31"/>
    <w:rsid w:val="61B01959"/>
    <w:rsid w:val="61F07C1B"/>
    <w:rsid w:val="620F22A2"/>
    <w:rsid w:val="62330A93"/>
    <w:rsid w:val="625318F4"/>
    <w:rsid w:val="62AE0F07"/>
    <w:rsid w:val="62C236F2"/>
    <w:rsid w:val="62F126CE"/>
    <w:rsid w:val="63185A08"/>
    <w:rsid w:val="633D0EC5"/>
    <w:rsid w:val="634E7D4A"/>
    <w:rsid w:val="63576530"/>
    <w:rsid w:val="635B58F5"/>
    <w:rsid w:val="63607661"/>
    <w:rsid w:val="63624805"/>
    <w:rsid w:val="636F35B2"/>
    <w:rsid w:val="639D5ED5"/>
    <w:rsid w:val="63B50179"/>
    <w:rsid w:val="63DA0F0F"/>
    <w:rsid w:val="64265D33"/>
    <w:rsid w:val="645304B2"/>
    <w:rsid w:val="645724C2"/>
    <w:rsid w:val="64606951"/>
    <w:rsid w:val="6461518D"/>
    <w:rsid w:val="64822BEC"/>
    <w:rsid w:val="64A90FE3"/>
    <w:rsid w:val="64BC660B"/>
    <w:rsid w:val="64CA5DAE"/>
    <w:rsid w:val="64F07145"/>
    <w:rsid w:val="652C579B"/>
    <w:rsid w:val="65602310"/>
    <w:rsid w:val="65731C2B"/>
    <w:rsid w:val="65C46FB5"/>
    <w:rsid w:val="65F63438"/>
    <w:rsid w:val="66053777"/>
    <w:rsid w:val="661A0D96"/>
    <w:rsid w:val="66250E49"/>
    <w:rsid w:val="66347223"/>
    <w:rsid w:val="66486604"/>
    <w:rsid w:val="66495E9A"/>
    <w:rsid w:val="666F184B"/>
    <w:rsid w:val="66A16BAC"/>
    <w:rsid w:val="66B96356"/>
    <w:rsid w:val="66BC6CAF"/>
    <w:rsid w:val="66C07311"/>
    <w:rsid w:val="66EB22BB"/>
    <w:rsid w:val="67065B78"/>
    <w:rsid w:val="67863671"/>
    <w:rsid w:val="678A67A9"/>
    <w:rsid w:val="679C1266"/>
    <w:rsid w:val="67A52FEE"/>
    <w:rsid w:val="67B50254"/>
    <w:rsid w:val="67DF1048"/>
    <w:rsid w:val="67FA392E"/>
    <w:rsid w:val="68060252"/>
    <w:rsid w:val="681F410F"/>
    <w:rsid w:val="682001CB"/>
    <w:rsid w:val="683801A8"/>
    <w:rsid w:val="684352D5"/>
    <w:rsid w:val="68597ABF"/>
    <w:rsid w:val="68990ADB"/>
    <w:rsid w:val="68BB4BE6"/>
    <w:rsid w:val="68BF7E01"/>
    <w:rsid w:val="68F02365"/>
    <w:rsid w:val="69004C0F"/>
    <w:rsid w:val="690A194F"/>
    <w:rsid w:val="69832077"/>
    <w:rsid w:val="698E432E"/>
    <w:rsid w:val="6994203E"/>
    <w:rsid w:val="69FA61E2"/>
    <w:rsid w:val="6A040A94"/>
    <w:rsid w:val="6A1F32B2"/>
    <w:rsid w:val="6A3064C0"/>
    <w:rsid w:val="6A496384"/>
    <w:rsid w:val="6A5B74C5"/>
    <w:rsid w:val="6A696A17"/>
    <w:rsid w:val="6A8003B8"/>
    <w:rsid w:val="6A881477"/>
    <w:rsid w:val="6AA933EA"/>
    <w:rsid w:val="6AB91DF2"/>
    <w:rsid w:val="6AC7411F"/>
    <w:rsid w:val="6ACD09B2"/>
    <w:rsid w:val="6AD973D3"/>
    <w:rsid w:val="6AE825FE"/>
    <w:rsid w:val="6AFE3E5B"/>
    <w:rsid w:val="6B0579CA"/>
    <w:rsid w:val="6B1128C4"/>
    <w:rsid w:val="6B166D10"/>
    <w:rsid w:val="6B1860D6"/>
    <w:rsid w:val="6B492DFA"/>
    <w:rsid w:val="6B6F018F"/>
    <w:rsid w:val="6B8E6E30"/>
    <w:rsid w:val="6B9260CF"/>
    <w:rsid w:val="6BA24DC6"/>
    <w:rsid w:val="6BB224A1"/>
    <w:rsid w:val="6BE72E76"/>
    <w:rsid w:val="6BE8078C"/>
    <w:rsid w:val="6C0624D4"/>
    <w:rsid w:val="6C0A5050"/>
    <w:rsid w:val="6C243992"/>
    <w:rsid w:val="6C8A2E92"/>
    <w:rsid w:val="6C9E6F7E"/>
    <w:rsid w:val="6CC702CF"/>
    <w:rsid w:val="6CCC6349"/>
    <w:rsid w:val="6CED4FDF"/>
    <w:rsid w:val="6CF2102F"/>
    <w:rsid w:val="6D2E7B69"/>
    <w:rsid w:val="6D2F27C3"/>
    <w:rsid w:val="6D2F7A75"/>
    <w:rsid w:val="6D341997"/>
    <w:rsid w:val="6D3C03D2"/>
    <w:rsid w:val="6D604233"/>
    <w:rsid w:val="6D6148F3"/>
    <w:rsid w:val="6D99621B"/>
    <w:rsid w:val="6DA8756E"/>
    <w:rsid w:val="6DDD561A"/>
    <w:rsid w:val="6DEC1273"/>
    <w:rsid w:val="6DF64EB7"/>
    <w:rsid w:val="6E0571E3"/>
    <w:rsid w:val="6E082226"/>
    <w:rsid w:val="6E91253A"/>
    <w:rsid w:val="6E9C7F24"/>
    <w:rsid w:val="6EA32E2D"/>
    <w:rsid w:val="6ECA447F"/>
    <w:rsid w:val="6EE57977"/>
    <w:rsid w:val="6F015F20"/>
    <w:rsid w:val="6F545CA7"/>
    <w:rsid w:val="6F771D08"/>
    <w:rsid w:val="6FC73760"/>
    <w:rsid w:val="6FCF08DF"/>
    <w:rsid w:val="6FDC036A"/>
    <w:rsid w:val="6FDD50C5"/>
    <w:rsid w:val="6FEC0000"/>
    <w:rsid w:val="6FFC0724"/>
    <w:rsid w:val="703E074B"/>
    <w:rsid w:val="70484322"/>
    <w:rsid w:val="704D2101"/>
    <w:rsid w:val="70572D24"/>
    <w:rsid w:val="70742622"/>
    <w:rsid w:val="70A61744"/>
    <w:rsid w:val="70AA2E64"/>
    <w:rsid w:val="70EE3826"/>
    <w:rsid w:val="70F456B9"/>
    <w:rsid w:val="710642B8"/>
    <w:rsid w:val="710C64A3"/>
    <w:rsid w:val="71810E2D"/>
    <w:rsid w:val="71A848FD"/>
    <w:rsid w:val="71BC3820"/>
    <w:rsid w:val="71FC09DD"/>
    <w:rsid w:val="71FD33E0"/>
    <w:rsid w:val="7251224D"/>
    <w:rsid w:val="72690900"/>
    <w:rsid w:val="728409C4"/>
    <w:rsid w:val="72BD117C"/>
    <w:rsid w:val="72C731B7"/>
    <w:rsid w:val="72D236BC"/>
    <w:rsid w:val="72D36147"/>
    <w:rsid w:val="72FB0ACE"/>
    <w:rsid w:val="72FD55BC"/>
    <w:rsid w:val="73047EC1"/>
    <w:rsid w:val="73053934"/>
    <w:rsid w:val="731C37D8"/>
    <w:rsid w:val="73223BCD"/>
    <w:rsid w:val="73276508"/>
    <w:rsid w:val="732857F3"/>
    <w:rsid w:val="733843E0"/>
    <w:rsid w:val="73474A68"/>
    <w:rsid w:val="734F0FD2"/>
    <w:rsid w:val="734F7ABF"/>
    <w:rsid w:val="736A67BA"/>
    <w:rsid w:val="73857ACE"/>
    <w:rsid w:val="73A127D7"/>
    <w:rsid w:val="73ED65A2"/>
    <w:rsid w:val="740039F7"/>
    <w:rsid w:val="741817A5"/>
    <w:rsid w:val="74430FB1"/>
    <w:rsid w:val="745D771F"/>
    <w:rsid w:val="74600FBD"/>
    <w:rsid w:val="748A5134"/>
    <w:rsid w:val="74992D0B"/>
    <w:rsid w:val="74B91466"/>
    <w:rsid w:val="74E72A3E"/>
    <w:rsid w:val="7525645C"/>
    <w:rsid w:val="75257693"/>
    <w:rsid w:val="752B6CA0"/>
    <w:rsid w:val="75361F8C"/>
    <w:rsid w:val="75422122"/>
    <w:rsid w:val="75C00539"/>
    <w:rsid w:val="75D545F9"/>
    <w:rsid w:val="75EF084A"/>
    <w:rsid w:val="761F72DB"/>
    <w:rsid w:val="764C4A46"/>
    <w:rsid w:val="76571F4C"/>
    <w:rsid w:val="766C59F7"/>
    <w:rsid w:val="766C6955"/>
    <w:rsid w:val="767063C1"/>
    <w:rsid w:val="76827DFD"/>
    <w:rsid w:val="76894149"/>
    <w:rsid w:val="76A94AA8"/>
    <w:rsid w:val="76AD7264"/>
    <w:rsid w:val="76C3799E"/>
    <w:rsid w:val="76F720FD"/>
    <w:rsid w:val="77152B40"/>
    <w:rsid w:val="772A3309"/>
    <w:rsid w:val="772A4BC7"/>
    <w:rsid w:val="776D2081"/>
    <w:rsid w:val="776F296E"/>
    <w:rsid w:val="779A2A38"/>
    <w:rsid w:val="77DA2E34"/>
    <w:rsid w:val="7811458E"/>
    <w:rsid w:val="78395B73"/>
    <w:rsid w:val="7879588D"/>
    <w:rsid w:val="787B11B1"/>
    <w:rsid w:val="7886435B"/>
    <w:rsid w:val="78F95C10"/>
    <w:rsid w:val="7908023E"/>
    <w:rsid w:val="791E3BE7"/>
    <w:rsid w:val="7932391B"/>
    <w:rsid w:val="793806F5"/>
    <w:rsid w:val="793F2830"/>
    <w:rsid w:val="7956473D"/>
    <w:rsid w:val="79830414"/>
    <w:rsid w:val="79CA05F9"/>
    <w:rsid w:val="79DE26F3"/>
    <w:rsid w:val="79E2693F"/>
    <w:rsid w:val="79E761A6"/>
    <w:rsid w:val="7A512064"/>
    <w:rsid w:val="7A82011B"/>
    <w:rsid w:val="7A863BD7"/>
    <w:rsid w:val="7A8A6D94"/>
    <w:rsid w:val="7AC83418"/>
    <w:rsid w:val="7ADB3204"/>
    <w:rsid w:val="7AFB06D1"/>
    <w:rsid w:val="7B305137"/>
    <w:rsid w:val="7B560897"/>
    <w:rsid w:val="7B6E0C6F"/>
    <w:rsid w:val="7B71585E"/>
    <w:rsid w:val="7B78676C"/>
    <w:rsid w:val="7B872D17"/>
    <w:rsid w:val="7B894E12"/>
    <w:rsid w:val="7B89794D"/>
    <w:rsid w:val="7BC0370D"/>
    <w:rsid w:val="7C0F126A"/>
    <w:rsid w:val="7C3F33CB"/>
    <w:rsid w:val="7C522135"/>
    <w:rsid w:val="7C6077BB"/>
    <w:rsid w:val="7C9C690A"/>
    <w:rsid w:val="7CB8104B"/>
    <w:rsid w:val="7CDF3BE2"/>
    <w:rsid w:val="7D0B01CD"/>
    <w:rsid w:val="7D335BE0"/>
    <w:rsid w:val="7D37294E"/>
    <w:rsid w:val="7D43322A"/>
    <w:rsid w:val="7D544F2E"/>
    <w:rsid w:val="7D64085D"/>
    <w:rsid w:val="7D865188"/>
    <w:rsid w:val="7D8F7217"/>
    <w:rsid w:val="7DB37778"/>
    <w:rsid w:val="7DB42BE5"/>
    <w:rsid w:val="7DD308B8"/>
    <w:rsid w:val="7DDB3335"/>
    <w:rsid w:val="7DE06E76"/>
    <w:rsid w:val="7E3037AE"/>
    <w:rsid w:val="7E6671D0"/>
    <w:rsid w:val="7E754415"/>
    <w:rsid w:val="7EBF74AF"/>
    <w:rsid w:val="7EC56B23"/>
    <w:rsid w:val="7EE822DB"/>
    <w:rsid w:val="7EF23159"/>
    <w:rsid w:val="7F2D3A15"/>
    <w:rsid w:val="7F905C23"/>
    <w:rsid w:val="7F9D3C39"/>
    <w:rsid w:val="7FA907D5"/>
    <w:rsid w:val="7FB56661"/>
    <w:rsid w:val="7FCA3DEC"/>
    <w:rsid w:val="7FE9257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nhideWhenUsed="0" w:uiPriority="0" w:semiHidden="0"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imes New Roman"/>
      <w:kern w:val="2"/>
      <w:sz w:val="24"/>
      <w:szCs w:val="22"/>
      <w:lang w:val="en-US" w:eastAsia="zh-CN" w:bidi="ar-SA"/>
    </w:rPr>
  </w:style>
  <w:style w:type="paragraph" w:styleId="3">
    <w:name w:val="heading 1"/>
    <w:basedOn w:val="1"/>
    <w:next w:val="1"/>
    <w:link w:val="108"/>
    <w:qFormat/>
    <w:uiPriority w:val="0"/>
    <w:pPr>
      <w:keepNext/>
      <w:keepLines/>
      <w:spacing w:before="120" w:after="120"/>
      <w:jc w:val="center"/>
      <w:outlineLvl w:val="0"/>
    </w:pPr>
    <w:rPr>
      <w:rFonts w:ascii="Times New Roman" w:hAnsi="Times New Roman" w:eastAsia="黑体" w:cs="Times New Roman"/>
      <w:bCs/>
      <w:sz w:val="32"/>
      <w:szCs w:val="30"/>
    </w:rPr>
  </w:style>
  <w:style w:type="paragraph" w:styleId="4">
    <w:name w:val="heading 2"/>
    <w:basedOn w:val="1"/>
    <w:next w:val="1"/>
    <w:link w:val="109"/>
    <w:qFormat/>
    <w:uiPriority w:val="0"/>
    <w:pPr>
      <w:keepNext/>
      <w:keepLines/>
      <w:spacing w:before="120" w:after="120"/>
      <w:outlineLvl w:val="1"/>
    </w:pPr>
    <w:rPr>
      <w:rFonts w:ascii="Times New Roman" w:hAnsi="Times New Roman" w:eastAsia="黑体" w:cs="Times New Roman"/>
      <w:bCs/>
      <w:sz w:val="30"/>
      <w:szCs w:val="28"/>
    </w:rPr>
  </w:style>
  <w:style w:type="paragraph" w:styleId="5">
    <w:name w:val="heading 3"/>
    <w:basedOn w:val="1"/>
    <w:next w:val="1"/>
    <w:link w:val="110"/>
    <w:qFormat/>
    <w:uiPriority w:val="99"/>
    <w:pPr>
      <w:keepNext/>
      <w:keepLines/>
      <w:spacing w:before="120" w:after="120" w:line="416" w:lineRule="auto"/>
      <w:outlineLvl w:val="2"/>
    </w:pPr>
    <w:rPr>
      <w:rFonts w:ascii="Times New Roman" w:hAnsi="Times New Roman" w:eastAsia="黑体"/>
      <w:bCs/>
      <w:sz w:val="28"/>
      <w:szCs w:val="32"/>
    </w:rPr>
  </w:style>
  <w:style w:type="paragraph" w:styleId="6">
    <w:name w:val="heading 4"/>
    <w:basedOn w:val="1"/>
    <w:next w:val="1"/>
    <w:link w:val="11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7">
    <w:name w:val="heading 5"/>
    <w:basedOn w:val="1"/>
    <w:next w:val="1"/>
    <w:link w:val="112"/>
    <w:qFormat/>
    <w:uiPriority w:val="9"/>
    <w:pPr>
      <w:keepNext/>
      <w:keepLines/>
      <w:spacing w:before="280" w:after="290" w:line="376" w:lineRule="auto"/>
      <w:outlineLvl w:val="4"/>
    </w:pPr>
    <w:rPr>
      <w:b/>
      <w:bCs/>
      <w:sz w:val="28"/>
      <w:szCs w:val="28"/>
    </w:rPr>
  </w:style>
  <w:style w:type="paragraph" w:styleId="8">
    <w:name w:val="heading 6"/>
    <w:basedOn w:val="1"/>
    <w:next w:val="1"/>
    <w:link w:val="113"/>
    <w:qFormat/>
    <w:uiPriority w:val="9"/>
    <w:pPr>
      <w:keepNext/>
      <w:keepLines/>
      <w:spacing w:before="240" w:after="64" w:line="320" w:lineRule="auto"/>
      <w:outlineLvl w:val="5"/>
    </w:pPr>
    <w:rPr>
      <w:rFonts w:ascii="等线 Light" w:hAnsi="等线 Light" w:eastAsia="等线 Light"/>
      <w:b/>
      <w:bCs/>
      <w:szCs w:val="24"/>
    </w:rPr>
  </w:style>
  <w:style w:type="character" w:default="1" w:styleId="27">
    <w:name w:val="Default Paragraph Font"/>
    <w:unhideWhenUsed/>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libri Light" w:hAnsi="Calibri Light" w:eastAsia="宋体" w:cs="Times New Roman"/>
      <w:sz w:val="24"/>
      <w:szCs w:val="24"/>
    </w:rPr>
  </w:style>
  <w:style w:type="paragraph" w:styleId="9">
    <w:name w:val="Normal Indent"/>
    <w:basedOn w:val="1"/>
    <w:link w:val="114"/>
    <w:uiPriority w:val="0"/>
    <w:pPr>
      <w:ind w:firstLine="420"/>
    </w:pPr>
    <w:rPr>
      <w:rFonts w:ascii="Times New Roman" w:hAnsi="Times New Roman" w:eastAsia="宋体" w:cs="Times New Roman"/>
      <w:sz w:val="28"/>
      <w:szCs w:val="20"/>
    </w:rPr>
  </w:style>
  <w:style w:type="paragraph" w:styleId="10">
    <w:name w:val="Document Map"/>
    <w:basedOn w:val="1"/>
    <w:link w:val="115"/>
    <w:unhideWhenUsed/>
    <w:uiPriority w:val="99"/>
    <w:rPr>
      <w:rFonts w:ascii="宋体" w:eastAsia="宋体"/>
      <w:sz w:val="18"/>
      <w:szCs w:val="18"/>
    </w:rPr>
  </w:style>
  <w:style w:type="paragraph" w:styleId="11">
    <w:name w:val="annotation text"/>
    <w:basedOn w:val="1"/>
    <w:link w:val="116"/>
    <w:uiPriority w:val="0"/>
    <w:pPr>
      <w:jc w:val="left"/>
    </w:pPr>
    <w:rPr>
      <w:rFonts w:ascii="Times New Roman" w:hAnsi="Times New Roman" w:eastAsia="宋体" w:cs="Times New Roman"/>
      <w:szCs w:val="24"/>
    </w:rPr>
  </w:style>
  <w:style w:type="paragraph" w:styleId="12">
    <w:name w:val="Body Text"/>
    <w:basedOn w:val="1"/>
    <w:unhideWhenUsed/>
    <w:qFormat/>
    <w:uiPriority w:val="99"/>
    <w:pPr>
      <w:spacing w:after="120" w:afterLines="0" w:afterAutospacing="0"/>
    </w:pPr>
  </w:style>
  <w:style w:type="paragraph" w:styleId="13">
    <w:name w:val="Plain Text"/>
    <w:basedOn w:val="1"/>
    <w:link w:val="117"/>
    <w:uiPriority w:val="0"/>
    <w:pPr>
      <w:spacing w:line="360" w:lineRule="auto"/>
      <w:ind w:firstLine="454"/>
    </w:pPr>
    <w:rPr>
      <w:rFonts w:ascii="宋体" w:hAnsi="Courier New" w:eastAsia="宋体" w:cs="Times New Roman"/>
      <w:spacing w:val="14"/>
      <w:szCs w:val="20"/>
    </w:rPr>
  </w:style>
  <w:style w:type="paragraph" w:styleId="14">
    <w:name w:val="Date"/>
    <w:basedOn w:val="1"/>
    <w:next w:val="1"/>
    <w:link w:val="118"/>
    <w:unhideWhenUsed/>
    <w:uiPriority w:val="99"/>
    <w:pPr>
      <w:ind w:left="100" w:leftChars="2500"/>
    </w:pPr>
  </w:style>
  <w:style w:type="paragraph" w:styleId="15">
    <w:name w:val="Body Text Indent 2"/>
    <w:basedOn w:val="1"/>
    <w:link w:val="119"/>
    <w:unhideWhenUsed/>
    <w:uiPriority w:val="99"/>
    <w:pPr>
      <w:spacing w:after="120" w:line="480" w:lineRule="auto"/>
      <w:ind w:left="420" w:leftChars="200"/>
    </w:pPr>
  </w:style>
  <w:style w:type="paragraph" w:styleId="16">
    <w:name w:val="Balloon Text"/>
    <w:basedOn w:val="1"/>
    <w:link w:val="120"/>
    <w:unhideWhenUsed/>
    <w:uiPriority w:val="99"/>
    <w:rPr>
      <w:sz w:val="18"/>
      <w:szCs w:val="18"/>
    </w:rPr>
  </w:style>
  <w:style w:type="paragraph" w:styleId="17">
    <w:name w:val="footer"/>
    <w:basedOn w:val="1"/>
    <w:link w:val="121"/>
    <w:unhideWhenUsed/>
    <w:uiPriority w:val="99"/>
    <w:pPr>
      <w:tabs>
        <w:tab w:val="center" w:pos="4153"/>
        <w:tab w:val="right" w:pos="8306"/>
      </w:tabs>
      <w:snapToGrid w:val="0"/>
      <w:jc w:val="left"/>
    </w:pPr>
    <w:rPr>
      <w:sz w:val="18"/>
      <w:szCs w:val="18"/>
    </w:rPr>
  </w:style>
  <w:style w:type="paragraph" w:styleId="18">
    <w:name w:val="header"/>
    <w:basedOn w:val="1"/>
    <w:link w:val="122"/>
    <w:unhideWhenUsed/>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iPriority w:val="39"/>
    <w:pPr>
      <w:spacing w:before="120" w:after="120"/>
      <w:jc w:val="left"/>
    </w:pPr>
    <w:rPr>
      <w:rFonts w:ascii="Calibri" w:hAnsi="Calibri" w:eastAsia="宋体" w:cs="Times New Roman"/>
      <w:b/>
      <w:bCs/>
      <w:caps/>
      <w:sz w:val="20"/>
      <w:szCs w:val="20"/>
    </w:rPr>
  </w:style>
  <w:style w:type="paragraph" w:styleId="20">
    <w:name w:val="Subtitle"/>
    <w:basedOn w:val="1"/>
    <w:next w:val="1"/>
    <w:link w:val="123"/>
    <w:qFormat/>
    <w:uiPriority w:val="11"/>
    <w:pPr>
      <w:ind w:firstLine="0" w:firstLineChars="0"/>
      <w:jc w:val="left"/>
    </w:pPr>
    <w:rPr>
      <w:rFonts w:ascii="Times New Roman" w:hAnsi="Times New Roman"/>
      <w:bCs/>
      <w:kern w:val="28"/>
      <w:sz w:val="24"/>
      <w:szCs w:val="32"/>
    </w:rPr>
  </w:style>
  <w:style w:type="paragraph" w:styleId="21">
    <w:name w:val="Body Text Indent 3"/>
    <w:basedOn w:val="1"/>
    <w:link w:val="124"/>
    <w:qFormat/>
    <w:uiPriority w:val="0"/>
    <w:pPr>
      <w:spacing w:line="560" w:lineRule="exact"/>
      <w:ind w:firstLine="560" w:firstLineChars="200"/>
    </w:pPr>
    <w:rPr>
      <w:rFonts w:ascii="宋体" w:hAnsi="宋体" w:eastAsia="宋体" w:cs="Times New Roman"/>
      <w:sz w:val="28"/>
      <w:szCs w:val="28"/>
    </w:rPr>
  </w:style>
  <w:style w:type="paragraph" w:styleId="22">
    <w:name w:val="toc 2"/>
    <w:basedOn w:val="1"/>
    <w:next w:val="1"/>
    <w:qFormat/>
    <w:uiPriority w:val="39"/>
    <w:pPr>
      <w:ind w:left="210"/>
      <w:jc w:val="left"/>
    </w:pPr>
    <w:rPr>
      <w:rFonts w:ascii="Calibri" w:hAnsi="Calibri" w:eastAsia="宋体" w:cs="Times New Roman"/>
      <w:smallCaps/>
      <w:sz w:val="20"/>
      <w:szCs w:val="20"/>
    </w:rPr>
  </w:style>
  <w:style w:type="paragraph" w:styleId="23">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24">
    <w:name w:val="annotation subject"/>
    <w:basedOn w:val="11"/>
    <w:next w:val="11"/>
    <w:link w:val="125"/>
    <w:unhideWhenUsed/>
    <w:qFormat/>
    <w:uiPriority w:val="99"/>
    <w:rPr>
      <w:rFonts w:ascii="Calibri" w:hAnsi="Calibri" w:eastAsia="宋体" w:cs="Times New Roman"/>
      <w:b/>
      <w:bCs/>
      <w:szCs w:val="22"/>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page number"/>
    <w:qFormat/>
    <w:uiPriority w:val="0"/>
  </w:style>
  <w:style w:type="character" w:styleId="29">
    <w:name w:val="FollowedHyperlink"/>
    <w:unhideWhenUsed/>
    <w:qFormat/>
    <w:uiPriority w:val="99"/>
    <w:rPr>
      <w:color w:val="800080"/>
      <w:u w:val="single"/>
    </w:rPr>
  </w:style>
  <w:style w:type="character" w:styleId="30">
    <w:name w:val="Emphasis"/>
    <w:qFormat/>
    <w:uiPriority w:val="20"/>
    <w:rPr>
      <w:i/>
    </w:rPr>
  </w:style>
  <w:style w:type="character" w:styleId="31">
    <w:name w:val="Hyperlink"/>
    <w:qFormat/>
    <w:uiPriority w:val="99"/>
    <w:rPr>
      <w:color w:val="0000FF"/>
      <w:u w:val="single"/>
    </w:rPr>
  </w:style>
  <w:style w:type="character" w:styleId="32">
    <w:name w:val="annotation reference"/>
    <w:qFormat/>
    <w:uiPriority w:val="0"/>
    <w:rPr>
      <w:sz w:val="21"/>
      <w:szCs w:val="21"/>
    </w:rPr>
  </w:style>
  <w:style w:type="paragraph" w:customStyle="1" w:styleId="33">
    <w:name w:val="样式 段 + 首行缩进:  2 字符"/>
    <w:basedOn w:val="34"/>
    <w:link w:val="127"/>
    <w:qFormat/>
    <w:uiPriority w:val="0"/>
    <w:pPr>
      <w:ind w:firstLine="420"/>
    </w:pPr>
    <w:rPr>
      <w:rFonts w:ascii="Calibri" w:hAnsi="Calibri" w:cs="宋体"/>
      <w:szCs w:val="21"/>
    </w:rPr>
  </w:style>
  <w:style w:type="paragraph" w:customStyle="1" w:styleId="34">
    <w:name w:val="段"/>
    <w:link w:val="12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
    <w:name w:val="正文文本缩进 22"/>
    <w:basedOn w:val="1"/>
    <w:link w:val="133"/>
    <w:qFormat/>
    <w:uiPriority w:val="0"/>
    <w:pPr>
      <w:spacing w:line="540" w:lineRule="exact"/>
      <w:ind w:firstLine="600" w:firstLineChars="0"/>
    </w:pPr>
    <w:rPr>
      <w:rFonts w:ascii="宋体" w:hAnsi="Times New Roman" w:eastAsia="宋体"/>
      <w:sz w:val="28"/>
      <w:szCs w:val="24"/>
    </w:rPr>
  </w:style>
  <w:style w:type="paragraph" w:customStyle="1" w:styleId="36">
    <w:name w:val="一级条标题"/>
    <w:next w:val="1"/>
    <w:link w:val="141"/>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7">
    <w:name w:val="表三"/>
    <w:basedOn w:val="1"/>
    <w:link w:val="148"/>
    <w:qFormat/>
    <w:uiPriority w:val="0"/>
    <w:pPr>
      <w:adjustRightInd w:val="0"/>
      <w:snapToGrid w:val="0"/>
      <w:spacing w:line="440" w:lineRule="exact"/>
    </w:pPr>
    <w:rPr>
      <w:rFonts w:ascii="Times New Roman" w:hAnsi="Times New Roman" w:eastAsia="宋体"/>
      <w:snapToGrid w:val="0"/>
      <w:color w:val="000000"/>
      <w:kern w:val="0"/>
      <w:szCs w:val="21"/>
    </w:rPr>
  </w:style>
  <w:style w:type="paragraph" w:customStyle="1" w:styleId="38">
    <w:name w:val="表格1"/>
    <w:basedOn w:val="1"/>
    <w:link w:val="149"/>
    <w:qFormat/>
    <w:uiPriority w:val="0"/>
    <w:pPr>
      <w:spacing w:line="240" w:lineRule="auto"/>
      <w:ind w:firstLine="0" w:firstLineChars="0"/>
      <w:jc w:val="center"/>
    </w:pPr>
    <w:rPr>
      <w:kern w:val="0"/>
      <w:sz w:val="20"/>
      <w:szCs w:val="21"/>
    </w:rPr>
  </w:style>
  <w:style w:type="paragraph" w:customStyle="1" w:styleId="39">
    <w:name w:val="报告"/>
    <w:basedOn w:val="1"/>
    <w:link w:val="151"/>
    <w:qFormat/>
    <w:uiPriority w:val="0"/>
    <w:pPr>
      <w:ind w:firstLine="200" w:firstLineChars="200"/>
    </w:pPr>
    <w:rPr>
      <w:rFonts w:ascii="Times New Roman" w:hAnsi="Times New Roman" w:eastAsia="宋体"/>
      <w:kern w:val="0"/>
      <w:sz w:val="28"/>
      <w:szCs w:val="20"/>
    </w:rPr>
  </w:style>
  <w:style w:type="paragraph" w:customStyle="1" w:styleId="40">
    <w:name w:val="表标题"/>
    <w:basedOn w:val="1"/>
    <w:link w:val="155"/>
    <w:qFormat/>
    <w:uiPriority w:val="0"/>
    <w:pPr>
      <w:widowControl/>
      <w:tabs>
        <w:tab w:val="left" w:pos="0"/>
      </w:tabs>
      <w:snapToGrid w:val="0"/>
      <w:ind w:firstLine="0" w:firstLineChars="0"/>
      <w:jc w:val="center"/>
    </w:pPr>
    <w:rPr>
      <w:rFonts w:ascii="Times New Roman" w:hAnsi="Times New Roman"/>
      <w:b/>
      <w:kern w:val="0"/>
      <w:szCs w:val="28"/>
    </w:rPr>
  </w:style>
  <w:style w:type="paragraph" w:customStyle="1" w:styleId="41">
    <w:name w:val="表格标题"/>
    <w:basedOn w:val="38"/>
    <w:link w:val="160"/>
    <w:qFormat/>
    <w:uiPriority w:val="0"/>
    <w:pPr>
      <w:spacing w:line="240" w:lineRule="exact"/>
    </w:pPr>
    <w:rPr>
      <w:rFonts w:ascii="Times New Roman" w:hAnsi="Times New Roman" w:eastAsia="宋体"/>
      <w:sz w:val="21"/>
    </w:rPr>
  </w:style>
  <w:style w:type="paragraph" w:customStyle="1" w:styleId="42">
    <w:name w:val="正文1"/>
    <w:basedOn w:val="1"/>
    <w:link w:val="162"/>
    <w:qFormat/>
    <w:uiPriority w:val="0"/>
    <w:pPr>
      <w:ind w:firstLine="567"/>
    </w:pPr>
    <w:rPr>
      <w:rFonts w:ascii="Times New Roman" w:hAnsi="Times New Roman" w:eastAsia="宋体"/>
      <w:kern w:val="0"/>
      <w:sz w:val="28"/>
      <w:szCs w:val="28"/>
    </w:rPr>
  </w:style>
  <w:style w:type="paragraph" w:customStyle="1" w:styleId="43">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44">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right"/>
    </w:pPr>
    <w:rPr>
      <w:rFonts w:ascii="宋体" w:hAnsi="宋体" w:eastAsia="宋体" w:cs="宋体"/>
      <w:kern w:val="0"/>
      <w:szCs w:val="24"/>
    </w:rPr>
  </w:style>
  <w:style w:type="paragraph" w:customStyle="1" w:styleId="45">
    <w:name w:val="p0"/>
    <w:basedOn w:val="1"/>
    <w:qFormat/>
    <w:uiPriority w:val="0"/>
    <w:pPr>
      <w:widowControl/>
      <w:jc w:val="left"/>
    </w:pPr>
    <w:rPr>
      <w:rFonts w:ascii="Times New Roman" w:hAnsi="Times New Roman" w:eastAsia="宋体" w:cs="Times New Roman"/>
      <w:kern w:val="0"/>
      <w:szCs w:val="21"/>
    </w:rPr>
  </w:style>
  <w:style w:type="paragraph" w:styleId="46">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8">
    <w:name w:val="xl96"/>
    <w:basedOn w:val="1"/>
    <w:qFormat/>
    <w:uiPriority w:val="0"/>
    <w:pPr>
      <w:widowControl/>
      <w:pBdr>
        <w:top w:val="single" w:color="000000"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4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18"/>
      <w:szCs w:val="18"/>
    </w:rPr>
  </w:style>
  <w:style w:type="paragraph" w:customStyle="1" w:styleId="5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51">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52">
    <w:name w:val="font6"/>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Cs w:val="24"/>
    </w:rPr>
  </w:style>
  <w:style w:type="paragraph" w:customStyle="1" w:styleId="54">
    <w:name w:val="xl72"/>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55">
    <w:name w:val="标题4"/>
    <w:basedOn w:val="1"/>
    <w:qFormat/>
    <w:uiPriority w:val="0"/>
    <w:pPr>
      <w:spacing w:before="100"/>
      <w:outlineLvl w:val="3"/>
    </w:pPr>
    <w:rPr>
      <w:rFonts w:ascii="Times New Roman" w:hAnsi="Times New Roman"/>
      <w:kern w:val="0"/>
      <w:sz w:val="28"/>
      <w:szCs w:val="28"/>
    </w:rPr>
  </w:style>
  <w:style w:type="paragraph" w:customStyle="1" w:styleId="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eastAsia="宋体" w:cs="宋体"/>
      <w:kern w:val="0"/>
      <w:szCs w:val="24"/>
    </w:rPr>
  </w:style>
  <w:style w:type="paragraph" w:customStyle="1" w:styleId="57">
    <w:name w:val="标题 33"/>
    <w:basedOn w:val="1"/>
    <w:qFormat/>
    <w:uiPriority w:val="0"/>
    <w:pPr>
      <w:tabs>
        <w:tab w:val="left" w:pos="-2270"/>
      </w:tabs>
      <w:spacing w:before="120" w:after="120"/>
      <w:outlineLvl w:val="2"/>
    </w:pPr>
    <w:rPr>
      <w:rFonts w:ascii="Times New Roman" w:hAnsi="Times New Roman" w:eastAsia="黑体" w:cs="宋体"/>
      <w:kern w:val="0"/>
      <w:sz w:val="30"/>
      <w:szCs w:val="30"/>
    </w:rPr>
  </w:style>
  <w:style w:type="paragraph" w:customStyle="1" w:styleId="5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59">
    <w:name w:val="正文样式"/>
    <w:basedOn w:val="1"/>
    <w:qFormat/>
    <w:uiPriority w:val="0"/>
    <w:pPr>
      <w:ind w:firstLine="480"/>
    </w:pPr>
    <w:rPr>
      <w:rFonts w:ascii="宋体" w:hAnsi="宋体" w:eastAsia="宋体"/>
      <w:szCs w:val="24"/>
    </w:rPr>
  </w:style>
  <w:style w:type="paragraph" w:customStyle="1" w:styleId="6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6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Cs w:val="24"/>
    </w:rPr>
  </w:style>
  <w:style w:type="paragraph" w:customStyle="1" w:styleId="62">
    <w:name w:val="样式 报告 + 首行缩进:  2 字符1"/>
    <w:basedOn w:val="39"/>
    <w:qFormat/>
    <w:uiPriority w:val="0"/>
    <w:pPr>
      <w:ind w:firstLine="700"/>
    </w:pPr>
    <w:rPr>
      <w:color w:val="000000"/>
      <w:lang w:val="en-US" w:eastAsia="zh-CN"/>
    </w:rPr>
  </w:style>
  <w:style w:type="paragraph" w:customStyle="1" w:styleId="63">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Cs w:val="24"/>
    </w:rPr>
  </w:style>
  <w:style w:type="paragraph" w:customStyle="1" w:styleId="64">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6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6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67">
    <w:name w:val="xl90"/>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right"/>
    </w:pPr>
    <w:rPr>
      <w:rFonts w:ascii="宋体" w:hAnsi="宋体" w:eastAsia="宋体" w:cs="宋体"/>
      <w:kern w:val="0"/>
      <w:szCs w:val="24"/>
    </w:rPr>
  </w:style>
  <w:style w:type="paragraph" w:customStyle="1" w:styleId="68">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6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70">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7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72">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kern w:val="0"/>
      <w:sz w:val="28"/>
      <w:szCs w:val="28"/>
    </w:rPr>
  </w:style>
  <w:style w:type="paragraph" w:customStyle="1" w:styleId="7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7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Cs w:val="24"/>
    </w:rPr>
  </w:style>
  <w:style w:type="paragraph" w:customStyle="1" w:styleId="75">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77">
    <w:name w:val="xl92"/>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78">
    <w:name w:val="正文文本（使用1）"/>
    <w:basedOn w:val="1"/>
    <w:qFormat/>
    <w:uiPriority w:val="0"/>
    <w:pPr>
      <w:adjustRightInd w:val="0"/>
      <w:snapToGrid w:val="0"/>
      <w:spacing w:line="360" w:lineRule="auto"/>
      <w:ind w:firstLine="480" w:firstLineChars="200"/>
    </w:pPr>
    <w:rPr>
      <w:rFonts w:ascii="宋体"/>
      <w:color w:val="0000FF"/>
      <w:sz w:val="24"/>
    </w:rPr>
  </w:style>
  <w:style w:type="paragraph" w:styleId="79">
    <w:name w:val="List Paragraph"/>
    <w:basedOn w:val="1"/>
    <w:qFormat/>
    <w:uiPriority w:val="34"/>
    <w:pPr>
      <w:ind w:firstLine="420" w:firstLineChars="200"/>
    </w:pPr>
  </w:style>
  <w:style w:type="paragraph" w:customStyle="1" w:styleId="8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81">
    <w:name w:val="表格"/>
    <w:basedOn w:val="1"/>
    <w:qFormat/>
    <w:uiPriority w:val="0"/>
    <w:pPr>
      <w:widowControl/>
      <w:spacing w:line="240" w:lineRule="auto"/>
      <w:ind w:firstLine="0" w:firstLineChars="0"/>
      <w:jc w:val="center"/>
    </w:pPr>
    <w:rPr>
      <w:color w:val="000000"/>
      <w:kern w:val="0"/>
      <w:sz w:val="21"/>
      <w:szCs w:val="21"/>
    </w:rPr>
  </w:style>
  <w:style w:type="paragraph" w:customStyle="1" w:styleId="8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8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84">
    <w:name w:val="样式 样式1 + 首行缩进:  2 字符"/>
    <w:basedOn w:val="1"/>
    <w:qFormat/>
    <w:uiPriority w:val="0"/>
    <w:pPr>
      <w:spacing w:line="560" w:lineRule="exact"/>
      <w:ind w:firstLine="560" w:firstLineChars="200"/>
    </w:pPr>
    <w:rPr>
      <w:rFonts w:ascii="宋体" w:hAnsi="Times New Roman" w:eastAsia="宋体" w:cs="宋体"/>
      <w:sz w:val="28"/>
      <w:szCs w:val="28"/>
    </w:rPr>
  </w:style>
  <w:style w:type="paragraph" w:customStyle="1" w:styleId="85">
    <w:name w:val="表格02"/>
    <w:basedOn w:val="1"/>
    <w:qFormat/>
    <w:uiPriority w:val="0"/>
    <w:pPr>
      <w:spacing w:line="240" w:lineRule="auto"/>
      <w:ind w:firstLine="0" w:firstLineChars="0"/>
      <w:jc w:val="center"/>
    </w:pPr>
    <w:rPr>
      <w:rFonts w:ascii="Times New Roman" w:hAnsi="Times New Roman" w:eastAsia="宋体"/>
      <w:kern w:val="0"/>
      <w:sz w:val="18"/>
      <w:szCs w:val="18"/>
    </w:rPr>
  </w:style>
  <w:style w:type="paragraph" w:customStyle="1" w:styleId="8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8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cs="宋体"/>
      <w:color w:val="000000"/>
      <w:kern w:val="0"/>
      <w:sz w:val="20"/>
      <w:szCs w:val="20"/>
    </w:rPr>
  </w:style>
  <w:style w:type="paragraph" w:customStyle="1" w:styleId="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cs="宋体"/>
      <w:kern w:val="0"/>
      <w:szCs w:val="24"/>
    </w:rPr>
  </w:style>
  <w:style w:type="paragraph" w:customStyle="1" w:styleId="89">
    <w:name w:val="xl8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kern w:val="0"/>
      <w:sz w:val="28"/>
      <w:szCs w:val="28"/>
    </w:rPr>
  </w:style>
  <w:style w:type="paragraph" w:customStyle="1" w:styleId="9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9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92">
    <w:name w:val="font7"/>
    <w:basedOn w:val="1"/>
    <w:qFormat/>
    <w:uiPriority w:val="0"/>
    <w:pPr>
      <w:widowControl/>
      <w:spacing w:before="100" w:beforeAutospacing="1" w:after="100" w:afterAutospacing="1" w:line="240" w:lineRule="auto"/>
      <w:ind w:firstLine="0" w:firstLineChars="0"/>
      <w:jc w:val="left"/>
    </w:pPr>
    <w:rPr>
      <w:rFonts w:ascii="仿宋_GB2312" w:hAnsi="宋体" w:cs="宋体"/>
      <w:color w:val="000000"/>
      <w:kern w:val="0"/>
      <w:sz w:val="20"/>
      <w:szCs w:val="20"/>
    </w:rPr>
  </w:style>
  <w:style w:type="paragraph" w:customStyle="1" w:styleId="9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18"/>
      <w:szCs w:val="18"/>
    </w:rPr>
  </w:style>
  <w:style w:type="paragraph" w:customStyle="1" w:styleId="94">
    <w:name w:val="font8"/>
    <w:basedOn w:val="1"/>
    <w:qFormat/>
    <w:uiPriority w:val="0"/>
    <w:pPr>
      <w:widowControl/>
      <w:spacing w:before="100" w:beforeAutospacing="1" w:after="100" w:afterAutospacing="1" w:line="240" w:lineRule="auto"/>
      <w:ind w:firstLine="0" w:firstLineChars="0"/>
      <w:jc w:val="left"/>
    </w:pPr>
    <w:rPr>
      <w:rFonts w:ascii="等线" w:hAnsi="等线" w:eastAsia="等线" w:cs="宋体"/>
      <w:color w:val="000000"/>
      <w:kern w:val="0"/>
      <w:sz w:val="20"/>
      <w:szCs w:val="20"/>
    </w:rPr>
  </w:style>
  <w:style w:type="paragraph" w:customStyle="1" w:styleId="9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cs="宋体"/>
      <w:color w:val="000000"/>
      <w:kern w:val="0"/>
      <w:szCs w:val="24"/>
    </w:rPr>
  </w:style>
  <w:style w:type="paragraph" w:customStyle="1" w:styleId="9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Cs w:val="24"/>
    </w:rPr>
  </w:style>
  <w:style w:type="paragraph" w:customStyle="1" w:styleId="9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99">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8"/>
      <w:szCs w:val="28"/>
    </w:rPr>
  </w:style>
  <w:style w:type="paragraph" w:customStyle="1" w:styleId="10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10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Cs w:val="24"/>
    </w:rPr>
  </w:style>
  <w:style w:type="paragraph" w:customStyle="1" w:styleId="102">
    <w:name w:val="样式 四号 首行缩进:  2 字符"/>
    <w:basedOn w:val="1"/>
    <w:qFormat/>
    <w:uiPriority w:val="0"/>
    <w:pPr>
      <w:ind w:firstLine="560" w:firstLineChars="200"/>
    </w:pPr>
    <w:rPr>
      <w:rFonts w:ascii="宋体" w:hAnsi="Times New Roman" w:eastAsia="宋体" w:cs="宋体"/>
      <w:sz w:val="28"/>
      <w:szCs w:val="20"/>
    </w:rPr>
  </w:style>
  <w:style w:type="paragraph" w:customStyle="1" w:styleId="103">
    <w:name w:val="xl95"/>
    <w:basedOn w:val="1"/>
    <w:qFormat/>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10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cs="宋体"/>
      <w:color w:val="000000"/>
      <w:kern w:val="0"/>
      <w:szCs w:val="24"/>
    </w:rPr>
  </w:style>
  <w:style w:type="paragraph" w:customStyle="1" w:styleId="105">
    <w:name w:val="_Style 104"/>
    <w:unhideWhenUsed/>
    <w:qFormat/>
    <w:uiPriority w:val="99"/>
    <w:rPr>
      <w:rFonts w:ascii="Times New Roman" w:hAnsi="Times New Roman" w:eastAsia="仿宋_GB2312" w:cs="Times New Roman"/>
      <w:kern w:val="2"/>
      <w:sz w:val="24"/>
      <w:szCs w:val="22"/>
      <w:lang w:val="en-US" w:eastAsia="zh-CN" w:bidi="ar-SA"/>
    </w:rPr>
  </w:style>
  <w:style w:type="paragraph" w:customStyle="1" w:styleId="106">
    <w:name w:val="The New Roma"/>
    <w:basedOn w:val="1"/>
    <w:qFormat/>
    <w:uiPriority w:val="0"/>
    <w:pPr>
      <w:spacing w:line="240" w:lineRule="exact"/>
      <w:jc w:val="center"/>
    </w:pPr>
    <w:rPr>
      <w:rFonts w:ascii="Times New Roman" w:hAnsi="Times New Roman"/>
      <w:kern w:val="0"/>
      <w:sz w:val="20"/>
      <w:szCs w:val="21"/>
    </w:rPr>
  </w:style>
  <w:style w:type="paragraph" w:customStyle="1" w:styleId="107">
    <w:name w:val="正文文本缩进 21"/>
    <w:basedOn w:val="1"/>
    <w:qFormat/>
    <w:uiPriority w:val="0"/>
    <w:pPr>
      <w:spacing w:line="540" w:lineRule="exact"/>
      <w:ind w:firstLine="600"/>
    </w:pPr>
    <w:rPr>
      <w:rFonts w:ascii="宋体" w:eastAsia="宋体"/>
    </w:rPr>
  </w:style>
  <w:style w:type="character" w:customStyle="1" w:styleId="108">
    <w:name w:val="标题 1 Char"/>
    <w:link w:val="3"/>
    <w:qFormat/>
    <w:uiPriority w:val="0"/>
    <w:rPr>
      <w:rFonts w:ascii="Times New Roman" w:hAnsi="Times New Roman" w:eastAsia="黑体" w:cs="Times New Roman"/>
      <w:bCs/>
      <w:sz w:val="32"/>
      <w:szCs w:val="30"/>
    </w:rPr>
  </w:style>
  <w:style w:type="character" w:customStyle="1" w:styleId="109">
    <w:name w:val="标题 2 Char"/>
    <w:link w:val="4"/>
    <w:qFormat/>
    <w:uiPriority w:val="0"/>
    <w:rPr>
      <w:rFonts w:ascii="Times New Roman" w:hAnsi="Times New Roman" w:eastAsia="黑体" w:cs="Times New Roman"/>
      <w:bCs/>
      <w:sz w:val="30"/>
      <w:szCs w:val="28"/>
    </w:rPr>
  </w:style>
  <w:style w:type="character" w:customStyle="1" w:styleId="110">
    <w:name w:val="标题 3 Char"/>
    <w:link w:val="5"/>
    <w:qFormat/>
    <w:uiPriority w:val="99"/>
    <w:rPr>
      <w:rFonts w:ascii="Times New Roman" w:hAnsi="Times New Roman" w:eastAsia="黑体"/>
      <w:bCs/>
      <w:sz w:val="28"/>
      <w:szCs w:val="32"/>
    </w:rPr>
  </w:style>
  <w:style w:type="character" w:customStyle="1" w:styleId="111">
    <w:name w:val="标题 4 Char"/>
    <w:link w:val="6"/>
    <w:qFormat/>
    <w:uiPriority w:val="9"/>
    <w:rPr>
      <w:rFonts w:ascii="Cambria" w:hAnsi="Cambria" w:eastAsia="宋体" w:cs="Times New Roman"/>
      <w:b/>
      <w:bCs/>
      <w:sz w:val="28"/>
      <w:szCs w:val="28"/>
    </w:rPr>
  </w:style>
  <w:style w:type="character" w:customStyle="1" w:styleId="112">
    <w:name w:val="标题 5 Char"/>
    <w:link w:val="7"/>
    <w:qFormat/>
    <w:uiPriority w:val="9"/>
    <w:rPr>
      <w:rFonts w:eastAsia="仿宋_GB2312"/>
      <w:b/>
      <w:bCs/>
      <w:kern w:val="2"/>
      <w:sz w:val="28"/>
      <w:szCs w:val="28"/>
    </w:rPr>
  </w:style>
  <w:style w:type="character" w:customStyle="1" w:styleId="113">
    <w:name w:val="标题 6 Char1"/>
    <w:link w:val="8"/>
    <w:semiHidden/>
    <w:qFormat/>
    <w:uiPriority w:val="9"/>
    <w:rPr>
      <w:rFonts w:ascii="等线 Light" w:hAnsi="等线 Light" w:eastAsia="等线 Light"/>
      <w:b/>
      <w:bCs/>
      <w:kern w:val="2"/>
      <w:sz w:val="24"/>
      <w:szCs w:val="24"/>
    </w:rPr>
  </w:style>
  <w:style w:type="character" w:customStyle="1" w:styleId="114">
    <w:name w:val="正文缩进 Char"/>
    <w:link w:val="9"/>
    <w:qFormat/>
    <w:uiPriority w:val="0"/>
    <w:rPr>
      <w:rFonts w:ascii="Times New Roman" w:hAnsi="Times New Roman" w:eastAsia="宋体" w:cs="Times New Roman"/>
      <w:sz w:val="28"/>
      <w:szCs w:val="20"/>
    </w:rPr>
  </w:style>
  <w:style w:type="character" w:customStyle="1" w:styleId="115">
    <w:name w:val="文档结构图 Char"/>
    <w:link w:val="10"/>
    <w:semiHidden/>
    <w:qFormat/>
    <w:uiPriority w:val="99"/>
    <w:rPr>
      <w:rFonts w:ascii="宋体" w:eastAsia="宋体"/>
      <w:sz w:val="18"/>
      <w:szCs w:val="18"/>
    </w:rPr>
  </w:style>
  <w:style w:type="character" w:customStyle="1" w:styleId="116">
    <w:name w:val="批注文字 Char"/>
    <w:link w:val="11"/>
    <w:qFormat/>
    <w:uiPriority w:val="0"/>
    <w:rPr>
      <w:rFonts w:ascii="Times New Roman" w:hAnsi="Times New Roman" w:eastAsia="宋体" w:cs="Times New Roman"/>
      <w:szCs w:val="24"/>
    </w:rPr>
  </w:style>
  <w:style w:type="character" w:customStyle="1" w:styleId="117">
    <w:name w:val="纯文本 Char"/>
    <w:link w:val="13"/>
    <w:qFormat/>
    <w:uiPriority w:val="0"/>
    <w:rPr>
      <w:rFonts w:ascii="宋体" w:hAnsi="Courier New" w:eastAsia="宋体" w:cs="Times New Roman"/>
      <w:spacing w:val="14"/>
      <w:szCs w:val="20"/>
    </w:rPr>
  </w:style>
  <w:style w:type="character" w:customStyle="1" w:styleId="118">
    <w:name w:val="日期 Char"/>
    <w:link w:val="14"/>
    <w:semiHidden/>
    <w:qFormat/>
    <w:uiPriority w:val="99"/>
  </w:style>
  <w:style w:type="character" w:customStyle="1" w:styleId="119">
    <w:name w:val="正文文本缩进 2 Char"/>
    <w:link w:val="15"/>
    <w:semiHidden/>
    <w:qFormat/>
    <w:uiPriority w:val="99"/>
  </w:style>
  <w:style w:type="character" w:customStyle="1" w:styleId="120">
    <w:name w:val="批注框文本 Char"/>
    <w:link w:val="16"/>
    <w:semiHidden/>
    <w:qFormat/>
    <w:uiPriority w:val="99"/>
    <w:rPr>
      <w:sz w:val="18"/>
      <w:szCs w:val="18"/>
    </w:rPr>
  </w:style>
  <w:style w:type="character" w:customStyle="1" w:styleId="121">
    <w:name w:val="页脚 Char"/>
    <w:link w:val="17"/>
    <w:qFormat/>
    <w:uiPriority w:val="99"/>
    <w:rPr>
      <w:sz w:val="18"/>
      <w:szCs w:val="18"/>
    </w:rPr>
  </w:style>
  <w:style w:type="character" w:customStyle="1" w:styleId="122">
    <w:name w:val="页眉 Char"/>
    <w:link w:val="18"/>
    <w:qFormat/>
    <w:uiPriority w:val="0"/>
    <w:rPr>
      <w:sz w:val="18"/>
      <w:szCs w:val="18"/>
    </w:rPr>
  </w:style>
  <w:style w:type="character" w:customStyle="1" w:styleId="123">
    <w:name w:val="副标题 Char"/>
    <w:link w:val="20"/>
    <w:qFormat/>
    <w:uiPriority w:val="11"/>
    <w:rPr>
      <w:rFonts w:ascii="Times New Roman" w:hAnsi="Times New Roman" w:eastAsia="仿宋_GB2312"/>
      <w:bCs/>
      <w:kern w:val="28"/>
      <w:sz w:val="24"/>
      <w:szCs w:val="32"/>
    </w:rPr>
  </w:style>
  <w:style w:type="character" w:customStyle="1" w:styleId="124">
    <w:name w:val="正文文本缩进 3 Char"/>
    <w:link w:val="21"/>
    <w:qFormat/>
    <w:uiPriority w:val="0"/>
    <w:rPr>
      <w:rFonts w:ascii="宋体" w:hAnsi="宋体" w:eastAsia="宋体" w:cs="Times New Roman"/>
      <w:sz w:val="28"/>
      <w:szCs w:val="28"/>
    </w:rPr>
  </w:style>
  <w:style w:type="character" w:customStyle="1" w:styleId="125">
    <w:name w:val="批注主题 Char"/>
    <w:link w:val="24"/>
    <w:semiHidden/>
    <w:qFormat/>
    <w:uiPriority w:val="99"/>
    <w:rPr>
      <w:rFonts w:ascii="Times New Roman" w:hAnsi="Times New Roman" w:eastAsia="宋体" w:cs="Times New Roman"/>
      <w:b/>
      <w:bCs/>
      <w:szCs w:val="24"/>
    </w:rPr>
  </w:style>
  <w:style w:type="character" w:customStyle="1" w:styleId="126">
    <w:name w:val="表格1 Char"/>
    <w:qFormat/>
    <w:uiPriority w:val="99"/>
    <w:rPr>
      <w:rFonts w:ascii="宋体" w:hAnsi="宋体"/>
      <w:sz w:val="24"/>
      <w:szCs w:val="21"/>
    </w:rPr>
  </w:style>
  <w:style w:type="character" w:customStyle="1" w:styleId="127">
    <w:name w:val="样式 段 + 首行缩进:  2 字符 Char Char"/>
    <w:link w:val="33"/>
    <w:qFormat/>
    <w:uiPriority w:val="0"/>
    <w:rPr>
      <w:rFonts w:cs="宋体"/>
      <w:sz w:val="21"/>
      <w:szCs w:val="21"/>
    </w:rPr>
  </w:style>
  <w:style w:type="character" w:customStyle="1" w:styleId="128">
    <w:name w:val="段 Char Char"/>
    <w:link w:val="34"/>
    <w:qFormat/>
    <w:uiPriority w:val="0"/>
    <w:rPr>
      <w:rFonts w:ascii="宋体" w:hAnsi="Times New Roman"/>
      <w:sz w:val="21"/>
    </w:rPr>
  </w:style>
  <w:style w:type="character" w:customStyle="1" w:styleId="129">
    <w:name w:val="页脚 字符1"/>
    <w:qFormat/>
    <w:uiPriority w:val="99"/>
    <w:rPr>
      <w:rFonts w:ascii="Calibri" w:hAnsi="Calibri" w:eastAsia="宋体" w:cs="Times New Roman"/>
      <w:kern w:val="0"/>
      <w:sz w:val="18"/>
      <w:szCs w:val="18"/>
    </w:rPr>
  </w:style>
  <w:style w:type="character" w:customStyle="1" w:styleId="130">
    <w:name w:val="批注主题 字符"/>
    <w:semiHidden/>
    <w:qFormat/>
    <w:uiPriority w:val="99"/>
    <w:rPr>
      <w:rFonts w:eastAsia="仿宋_GB2312"/>
      <w:b/>
      <w:bCs/>
      <w:kern w:val="2"/>
      <w:sz w:val="24"/>
      <w:szCs w:val="22"/>
    </w:rPr>
  </w:style>
  <w:style w:type="character" w:customStyle="1" w:styleId="131">
    <w:name w:val="标题 2 字符"/>
    <w:qFormat/>
    <w:uiPriority w:val="0"/>
    <w:rPr>
      <w:rFonts w:ascii="Times New Roman" w:hAnsi="Times New Roman" w:eastAsia="黑体" w:cs="Times New Roman"/>
      <w:bCs/>
      <w:sz w:val="30"/>
      <w:szCs w:val="28"/>
    </w:rPr>
  </w:style>
  <w:style w:type="character" w:customStyle="1" w:styleId="132">
    <w:name w:val="页眉 字符"/>
    <w:qFormat/>
    <w:uiPriority w:val="0"/>
    <w:rPr>
      <w:sz w:val="18"/>
      <w:szCs w:val="18"/>
    </w:rPr>
  </w:style>
  <w:style w:type="character" w:customStyle="1" w:styleId="133">
    <w:name w:val="正文文本缩进 2 Char Char"/>
    <w:link w:val="35"/>
    <w:qFormat/>
    <w:uiPriority w:val="0"/>
    <w:rPr>
      <w:rFonts w:ascii="宋体" w:hAnsi="Times New Roman"/>
      <w:kern w:val="2"/>
      <w:sz w:val="28"/>
      <w:szCs w:val="24"/>
    </w:rPr>
  </w:style>
  <w:style w:type="character" w:customStyle="1" w:styleId="134">
    <w:name w:val="标题 3 字符"/>
    <w:qFormat/>
    <w:uiPriority w:val="99"/>
    <w:rPr>
      <w:rFonts w:ascii="Times New Roman" w:hAnsi="Times New Roman" w:eastAsia="黑体"/>
      <w:bCs/>
      <w:sz w:val="28"/>
      <w:szCs w:val="32"/>
    </w:rPr>
  </w:style>
  <w:style w:type="character" w:customStyle="1" w:styleId="135">
    <w:name w:val="标题 6 Char"/>
    <w:qFormat/>
    <w:uiPriority w:val="0"/>
    <w:rPr>
      <w:rFonts w:ascii="Times New Roman" w:hAnsi="Times New Roman" w:eastAsia="仿宋_GB2312"/>
      <w:b/>
      <w:bCs/>
      <w:sz w:val="28"/>
      <w:szCs w:val="22"/>
    </w:rPr>
  </w:style>
  <w:style w:type="character" w:customStyle="1" w:styleId="136">
    <w:name w:val="font31"/>
    <w:qFormat/>
    <w:uiPriority w:val="0"/>
    <w:rPr>
      <w:rFonts w:hint="eastAsia" w:ascii="宋体" w:hAnsi="宋体" w:eastAsia="宋体" w:cs="宋体"/>
      <w:color w:val="000000"/>
      <w:sz w:val="21"/>
      <w:szCs w:val="21"/>
      <w:u w:val="none"/>
    </w:rPr>
  </w:style>
  <w:style w:type="character" w:customStyle="1" w:styleId="137">
    <w:name w:val="font51"/>
    <w:qFormat/>
    <w:uiPriority w:val="0"/>
    <w:rPr>
      <w:rFonts w:hint="eastAsia" w:ascii="仿宋_GB2312" w:eastAsia="仿宋_GB2312" w:cs="仿宋_GB2312"/>
      <w:color w:val="000000"/>
      <w:sz w:val="21"/>
      <w:szCs w:val="21"/>
      <w:u w:val="none"/>
    </w:rPr>
  </w:style>
  <w:style w:type="character" w:customStyle="1" w:styleId="138">
    <w:name w:val="批注文字 字符1"/>
    <w:semiHidden/>
    <w:qFormat/>
    <w:uiPriority w:val="0"/>
    <w:rPr>
      <w:rFonts w:ascii="Times New Roman" w:hAnsi="Times New Roman" w:eastAsia="宋体" w:cs="Times New Roman"/>
      <w:kern w:val="0"/>
      <w:sz w:val="20"/>
      <w:szCs w:val="24"/>
    </w:rPr>
  </w:style>
  <w:style w:type="character" w:customStyle="1" w:styleId="139">
    <w:name w:val="font91"/>
    <w:qFormat/>
    <w:uiPriority w:val="0"/>
    <w:rPr>
      <w:rFonts w:hint="eastAsia" w:ascii="宋体" w:hAnsi="宋体" w:eastAsia="宋体" w:cs="宋体"/>
      <w:color w:val="000000"/>
      <w:sz w:val="24"/>
      <w:szCs w:val="24"/>
      <w:u w:val="none"/>
    </w:rPr>
  </w:style>
  <w:style w:type="character" w:customStyle="1" w:styleId="140">
    <w:name w:val="标题 1 字符"/>
    <w:qFormat/>
    <w:uiPriority w:val="0"/>
    <w:rPr>
      <w:rFonts w:ascii="Times New Roman" w:hAnsi="Times New Roman" w:eastAsia="黑体" w:cs="Times New Roman"/>
      <w:bCs/>
      <w:sz w:val="32"/>
      <w:szCs w:val="30"/>
    </w:rPr>
  </w:style>
  <w:style w:type="character" w:customStyle="1" w:styleId="141">
    <w:name w:val="一级条标题 Char"/>
    <w:link w:val="36"/>
    <w:qFormat/>
    <w:uiPriority w:val="0"/>
    <w:rPr>
      <w:rFonts w:ascii="黑体" w:eastAsia="黑体"/>
      <w:sz w:val="21"/>
      <w:szCs w:val="21"/>
    </w:rPr>
  </w:style>
  <w:style w:type="character" w:customStyle="1" w:styleId="142">
    <w:name w:val="文档结构图 字符"/>
    <w:semiHidden/>
    <w:qFormat/>
    <w:uiPriority w:val="99"/>
    <w:rPr>
      <w:rFonts w:ascii="Microsoft YaHei UI" w:eastAsia="Microsoft YaHei UI"/>
      <w:kern w:val="2"/>
      <w:sz w:val="18"/>
      <w:szCs w:val="18"/>
    </w:rPr>
  </w:style>
  <w:style w:type="character" w:customStyle="1" w:styleId="143">
    <w:name w:val="font01"/>
    <w:qFormat/>
    <w:uiPriority w:val="0"/>
    <w:rPr>
      <w:rFonts w:hint="eastAsia" w:ascii="宋体" w:hAnsi="宋体" w:eastAsia="宋体" w:cs="宋体"/>
      <w:color w:val="000000"/>
      <w:sz w:val="24"/>
      <w:szCs w:val="24"/>
      <w:u w:val="none"/>
    </w:rPr>
  </w:style>
  <w:style w:type="character" w:customStyle="1" w:styleId="144">
    <w:name w:val="副标题 字符"/>
    <w:qFormat/>
    <w:uiPriority w:val="11"/>
    <w:rPr>
      <w:rFonts w:ascii="等线" w:hAnsi="等线" w:eastAsia="等线" w:cs="Times New Roman"/>
      <w:b/>
      <w:bCs/>
      <w:kern w:val="28"/>
      <w:sz w:val="32"/>
      <w:szCs w:val="32"/>
    </w:rPr>
  </w:style>
  <w:style w:type="character" w:customStyle="1" w:styleId="145">
    <w:name w:val="正文文本缩进 2 字符"/>
    <w:semiHidden/>
    <w:qFormat/>
    <w:uiPriority w:val="99"/>
    <w:rPr>
      <w:rFonts w:eastAsia="仿宋_GB2312"/>
      <w:kern w:val="2"/>
      <w:sz w:val="24"/>
      <w:szCs w:val="22"/>
    </w:rPr>
  </w:style>
  <w:style w:type="character" w:customStyle="1" w:styleId="146">
    <w:name w:val="font11"/>
    <w:qFormat/>
    <w:uiPriority w:val="0"/>
    <w:rPr>
      <w:rFonts w:ascii="仿宋_GB2312" w:eastAsia="仿宋_GB2312" w:cs="仿宋_GB2312"/>
      <w:color w:val="000000"/>
      <w:sz w:val="21"/>
      <w:szCs w:val="21"/>
      <w:u w:val="none"/>
    </w:rPr>
  </w:style>
  <w:style w:type="character" w:customStyle="1" w:styleId="147">
    <w:name w:val="批注框文本 字符"/>
    <w:semiHidden/>
    <w:qFormat/>
    <w:uiPriority w:val="99"/>
    <w:rPr>
      <w:rFonts w:eastAsia="仿宋_GB2312"/>
      <w:kern w:val="2"/>
      <w:sz w:val="18"/>
      <w:szCs w:val="18"/>
    </w:rPr>
  </w:style>
  <w:style w:type="character" w:customStyle="1" w:styleId="148">
    <w:name w:val="表三 Char"/>
    <w:link w:val="37"/>
    <w:qFormat/>
    <w:uiPriority w:val="0"/>
    <w:rPr>
      <w:rFonts w:ascii="Times New Roman" w:hAnsi="Times New Roman" w:eastAsia="宋体" w:cs="宋体"/>
      <w:snapToGrid w:val="0"/>
      <w:color w:val="000000"/>
      <w:sz w:val="24"/>
      <w:szCs w:val="21"/>
    </w:rPr>
  </w:style>
  <w:style w:type="character" w:customStyle="1" w:styleId="149">
    <w:name w:val="表格1 Char Char"/>
    <w:link w:val="38"/>
    <w:qFormat/>
    <w:uiPriority w:val="0"/>
    <w:rPr>
      <w:rFonts w:eastAsia="仿宋_GB2312"/>
      <w:szCs w:val="21"/>
    </w:rPr>
  </w:style>
  <w:style w:type="character" w:customStyle="1" w:styleId="150">
    <w:name w:val="正文文本缩进 3 字符"/>
    <w:semiHidden/>
    <w:qFormat/>
    <w:uiPriority w:val="99"/>
    <w:rPr>
      <w:rFonts w:eastAsia="仿宋_GB2312"/>
      <w:kern w:val="2"/>
      <w:sz w:val="16"/>
      <w:szCs w:val="16"/>
    </w:rPr>
  </w:style>
  <w:style w:type="character" w:customStyle="1" w:styleId="151">
    <w:name w:val="报告 Char"/>
    <w:link w:val="39"/>
    <w:qFormat/>
    <w:uiPriority w:val="0"/>
    <w:rPr>
      <w:rFonts w:ascii="Times New Roman" w:hAnsi="Times New Roman" w:eastAsia="宋体" w:cs="宋体"/>
      <w:sz w:val="28"/>
      <w:szCs w:val="20"/>
    </w:rPr>
  </w:style>
  <w:style w:type="character" w:customStyle="1" w:styleId="152">
    <w:name w:val="font41"/>
    <w:qFormat/>
    <w:uiPriority w:val="0"/>
    <w:rPr>
      <w:rFonts w:hint="eastAsia" w:ascii="宋体" w:hAnsi="宋体" w:eastAsia="宋体" w:cs="宋体"/>
      <w:color w:val="000000"/>
      <w:sz w:val="21"/>
      <w:szCs w:val="21"/>
      <w:u w:val="none"/>
    </w:rPr>
  </w:style>
  <w:style w:type="character" w:customStyle="1" w:styleId="153">
    <w:name w:val="批注文字 字符"/>
    <w:qFormat/>
    <w:uiPriority w:val="99"/>
    <w:rPr>
      <w:kern w:val="2"/>
      <w:sz w:val="21"/>
      <w:szCs w:val="22"/>
    </w:rPr>
  </w:style>
  <w:style w:type="character" w:customStyle="1" w:styleId="154">
    <w:name w:val="font21"/>
    <w:qFormat/>
    <w:uiPriority w:val="0"/>
    <w:rPr>
      <w:rFonts w:hint="default" w:ascii="Times New Roman" w:hAnsi="Times New Roman" w:cs="Times New Roman"/>
      <w:color w:val="000000"/>
      <w:sz w:val="21"/>
      <w:szCs w:val="21"/>
      <w:u w:val="none"/>
    </w:rPr>
  </w:style>
  <w:style w:type="character" w:customStyle="1" w:styleId="155">
    <w:name w:val="表标题 Char1"/>
    <w:link w:val="40"/>
    <w:qFormat/>
    <w:uiPriority w:val="0"/>
    <w:rPr>
      <w:rFonts w:ascii="Times New Roman" w:hAnsi="Times New Roman" w:eastAsia="仿宋_GB2312"/>
      <w:b/>
      <w:sz w:val="24"/>
      <w:szCs w:val="28"/>
    </w:rPr>
  </w:style>
  <w:style w:type="character" w:customStyle="1" w:styleId="156">
    <w:name w:val="font71"/>
    <w:qFormat/>
    <w:uiPriority w:val="0"/>
    <w:rPr>
      <w:rFonts w:hint="eastAsia" w:ascii="宋体" w:hAnsi="宋体" w:eastAsia="宋体" w:cs="宋体"/>
      <w:color w:val="000000"/>
      <w:sz w:val="24"/>
      <w:szCs w:val="24"/>
      <w:u w:val="none"/>
    </w:rPr>
  </w:style>
  <w:style w:type="character" w:customStyle="1" w:styleId="157">
    <w:name w:val="标题 4 字符"/>
    <w:semiHidden/>
    <w:qFormat/>
    <w:uiPriority w:val="9"/>
    <w:rPr>
      <w:rFonts w:ascii="等线 Light" w:hAnsi="等线 Light" w:eastAsia="等线 Light" w:cs="Times New Roman"/>
      <w:b/>
      <w:bCs/>
      <w:kern w:val="2"/>
      <w:sz w:val="28"/>
      <w:szCs w:val="28"/>
    </w:rPr>
  </w:style>
  <w:style w:type="character" w:customStyle="1" w:styleId="158">
    <w:name w:val="日期 字符"/>
    <w:semiHidden/>
    <w:qFormat/>
    <w:uiPriority w:val="99"/>
    <w:rPr>
      <w:rFonts w:eastAsia="仿宋_GB2312"/>
      <w:kern w:val="2"/>
      <w:sz w:val="24"/>
      <w:szCs w:val="22"/>
    </w:rPr>
  </w:style>
  <w:style w:type="character" w:customStyle="1" w:styleId="159">
    <w:name w:val="页脚 字符"/>
    <w:qFormat/>
    <w:uiPriority w:val="99"/>
    <w:rPr>
      <w:sz w:val="18"/>
      <w:szCs w:val="18"/>
    </w:rPr>
  </w:style>
  <w:style w:type="character" w:customStyle="1" w:styleId="160">
    <w:name w:val="表格标题 Char"/>
    <w:link w:val="41"/>
    <w:qFormat/>
    <w:uiPriority w:val="0"/>
    <w:rPr>
      <w:rFonts w:ascii="Times New Roman" w:hAnsi="Times New Roman"/>
      <w:sz w:val="21"/>
      <w:szCs w:val="21"/>
    </w:rPr>
  </w:style>
  <w:style w:type="character" w:customStyle="1" w:styleId="161">
    <w:name w:val="纯文本 Char2"/>
    <w:qFormat/>
    <w:uiPriority w:val="0"/>
    <w:rPr>
      <w:rFonts w:ascii="宋体" w:hAnsi="Courier New" w:cs="Courier New"/>
      <w:kern w:val="2"/>
      <w:sz w:val="21"/>
      <w:szCs w:val="21"/>
    </w:rPr>
  </w:style>
  <w:style w:type="character" w:customStyle="1" w:styleId="162">
    <w:name w:val="正文1 Char"/>
    <w:link w:val="42"/>
    <w:qFormat/>
    <w:locked/>
    <w:uiPriority w:val="0"/>
    <w:rPr>
      <w:rFonts w:ascii="Times New Roman" w:hAnsi="Times New Roman" w:eastAsia="宋体" w:cs="Times New Roman"/>
      <w:sz w:val="28"/>
      <w:szCs w:val="28"/>
    </w:rPr>
  </w:style>
  <w:style w:type="character" w:customStyle="1" w:styleId="163">
    <w:name w:val="纯文本 字符"/>
    <w:semiHidden/>
    <w:qFormat/>
    <w:uiPriority w:val="99"/>
    <w:rPr>
      <w:rFonts w:ascii="等线" w:hAnsi="Courier New" w:eastAsia="等线" w:cs="Courier New"/>
      <w:kern w:val="2"/>
      <w:sz w:val="24"/>
      <w:szCs w:val="22"/>
    </w:rPr>
  </w:style>
  <w:style w:type="character" w:customStyle="1" w:styleId="164">
    <w:name w:val="font81"/>
    <w:qFormat/>
    <w:uiPriority w:val="0"/>
    <w:rPr>
      <w:rFonts w:hint="eastAsia" w:ascii="宋体" w:hAnsi="宋体" w:eastAsia="宋体" w:cs="宋体"/>
      <w:color w:val="000000"/>
      <w:sz w:val="24"/>
      <w:szCs w:val="24"/>
      <w:u w:val="none"/>
    </w:rPr>
  </w:style>
  <w:style w:type="character" w:customStyle="1" w:styleId="165">
    <w:name w:val="font61"/>
    <w:qFormat/>
    <w:uiPriority w:val="0"/>
    <w:rPr>
      <w:rFonts w:hint="default" w:ascii="Times New Roman" w:hAnsi="Times New Roman" w:cs="Times New Roman"/>
      <w:color w:val="000000"/>
      <w:sz w:val="21"/>
      <w:szCs w:val="21"/>
      <w:u w:val="none"/>
    </w:rPr>
  </w:style>
  <w:style w:type="character" w:customStyle="1" w:styleId="166">
    <w:name w:val="标题 5 字符"/>
    <w:semiHidden/>
    <w:qFormat/>
    <w:uiPriority w:val="9"/>
    <w:rPr>
      <w:rFonts w:eastAsia="仿宋_GB2312"/>
      <w:b/>
      <w:bCs/>
      <w:kern w:val="2"/>
      <w:sz w:val="28"/>
      <w:szCs w:val="28"/>
    </w:rPr>
  </w:style>
  <w:style w:type="character" w:customStyle="1" w:styleId="167">
    <w:name w:val="font101"/>
    <w:qFormat/>
    <w:uiPriority w:val="0"/>
    <w:rPr>
      <w:rFonts w:hint="default" w:ascii="Times New Roman" w:hAnsi="Times New Roman" w:cs="Times New Roman"/>
      <w:color w:val="000000"/>
      <w:sz w:val="24"/>
      <w:szCs w:val="24"/>
      <w:u w:val="none"/>
    </w:rPr>
  </w:style>
  <w:style w:type="character" w:customStyle="1" w:styleId="168">
    <w:name w:val="font12"/>
    <w:qFormat/>
    <w:uiPriority w:val="0"/>
    <w:rPr>
      <w:rFonts w:hint="eastAsia" w:ascii="宋体" w:hAnsi="宋体" w:eastAsia="宋体" w:cs="宋体"/>
      <w:color w:val="000000"/>
      <w:sz w:val="24"/>
      <w:szCs w:val="24"/>
      <w:u w:val="none"/>
    </w:rPr>
  </w:style>
  <w:style w:type="character" w:customStyle="1" w:styleId="169">
    <w:name w:val="font122"/>
    <w:qFormat/>
    <w:uiPriority w:val="0"/>
    <w:rPr>
      <w:rFonts w:hint="eastAsia" w:ascii="宋体" w:hAnsi="宋体" w:eastAsia="宋体" w:cs="宋体"/>
      <w:color w:val="000000"/>
      <w:sz w:val="24"/>
      <w:szCs w:val="24"/>
      <w:u w:val="none"/>
    </w:rPr>
  </w:style>
  <w:style w:type="character" w:customStyle="1" w:styleId="170">
    <w:name w:val="font111"/>
    <w:qFormat/>
    <w:uiPriority w:val="0"/>
    <w:rPr>
      <w:rFonts w:hint="eastAsia" w:ascii="仿宋_GB2312" w:eastAsia="仿宋_GB2312" w:cs="仿宋_GB2312"/>
      <w:color w:val="000000"/>
      <w:sz w:val="24"/>
      <w:szCs w:val="24"/>
      <w:u w:val="none"/>
    </w:rPr>
  </w:style>
  <w:style w:type="character" w:customStyle="1" w:styleId="171">
    <w:name w:val="font121"/>
    <w:qFormat/>
    <w:uiPriority w:val="0"/>
    <w:rPr>
      <w:rFonts w:hint="eastAsia" w:ascii="宋体" w:hAnsi="宋体" w:eastAsia="宋体" w:cs="宋体"/>
      <w:color w:val="000000"/>
      <w:sz w:val="24"/>
      <w:szCs w:val="24"/>
      <w:u w:val="none"/>
    </w:rPr>
  </w:style>
  <w:style w:type="character" w:customStyle="1" w:styleId="172">
    <w:name w:val="font112"/>
    <w:qFormat/>
    <w:uiPriority w:val="0"/>
    <w:rPr>
      <w:rFonts w:hint="eastAsia" w:ascii="仿宋_GB2312" w:eastAsia="仿宋_GB2312" w:cs="仿宋_GB2312"/>
      <w:color w:val="000000"/>
      <w:sz w:val="24"/>
      <w:szCs w:val="24"/>
      <w:u w:val="none"/>
    </w:rPr>
  </w:style>
  <w:style w:type="table" w:customStyle="1" w:styleId="173">
    <w:name w:val="网格型1"/>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87</Pages>
  <Words>39091</Words>
  <Characters>51173</Characters>
  <Lines>422</Lines>
  <Paragraphs>118</Paragraphs>
  <TotalTime>1</TotalTime>
  <ScaleCrop>false</ScaleCrop>
  <LinksUpToDate>false</LinksUpToDate>
  <CharactersWithSpaces>51545</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2016-03-10T13:37:00Z</dcterms:created>
  <dc:creator>User</dc:creator>
  <cp:lastModifiedBy>Administrator</cp:lastModifiedBy>
  <cp:lastPrinted>2022-12-10T07:11:00Z</cp:lastPrinted>
  <dcterms:modified xsi:type="dcterms:W3CDTF">2024-01-31T08:25:26Z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6B1F5CC316064F19BD4D18083486101A</vt:lpwstr>
  </property>
</Properties>
</file>