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38"/>
        <w:gridCol w:w="7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051" w:hRule="atLeast"/>
        </w:trPr>
        <w:tc>
          <w:tcPr>
            <w:tcW w:w="83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0"/>
              <w:jc w:val="left"/>
              <w:rPr>
                <w:rFonts w:hint="eastAsia" w:ascii="Times New Roman" w:hAnsi="Times New Roman" w:eastAsia="宋体" w:cs="Times New Roman"/>
                <w:b w:val="0"/>
                <w:bCs w:val="0"/>
                <w:color w:val="auto"/>
                <w:kern w:val="2"/>
                <w:sz w:val="24"/>
                <w:szCs w:val="24"/>
                <w:highlight w:val="none"/>
                <w:vertAlign w:val="baseline"/>
                <w:lang w:val="en-US" w:eastAsia="zh-CN" w:bidi="ar-SA"/>
              </w:rPr>
            </w:pPr>
            <w:r>
              <w:rPr>
                <w:rFonts w:hint="eastAsia" w:ascii="Times New Roman" w:hAnsi="Times New Roman" w:eastAsia="宋体" w:cs="Times New Roman"/>
                <w:b w:val="0"/>
                <w:bCs w:val="0"/>
                <w:color w:val="auto"/>
                <w:kern w:val="2"/>
                <w:sz w:val="24"/>
                <w:szCs w:val="24"/>
                <w:highlight w:val="none"/>
                <w:vertAlign w:val="baseline"/>
                <w:lang w:val="en-US" w:eastAsia="zh-CN" w:bidi="ar-SA"/>
              </w:rPr>
              <w:t>建设项目</w:t>
            </w:r>
          </w:p>
        </w:tc>
        <w:tc>
          <w:tcPr>
            <w:tcW w:w="7684"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0"/>
              <w:jc w:val="left"/>
              <w:rPr>
                <w:rFonts w:hint="eastAsia" w:ascii="Times New Roman" w:hAnsi="Times New Roman" w:eastAsia="宋体" w:cs="Times New Roman"/>
                <w:b w:val="0"/>
                <w:bCs w:val="0"/>
                <w:color w:val="auto"/>
                <w:kern w:val="2"/>
                <w:sz w:val="24"/>
                <w:szCs w:val="24"/>
                <w:highlight w:val="none"/>
                <w:vertAlign w:val="baseline"/>
                <w:lang w:val="en-US" w:eastAsia="zh-CN" w:bidi="ar-SA"/>
              </w:rPr>
            </w:pPr>
            <w:r>
              <w:rPr>
                <w:rFonts w:hint="eastAsia"/>
                <w:color w:val="auto"/>
                <w:sz w:val="24"/>
                <w:highlight w:val="none"/>
                <w:lang w:eastAsia="zh-CN"/>
              </w:rPr>
              <w:t>西畴县马家地加油站建设项目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051" w:hRule="atLeast"/>
        </w:trPr>
        <w:tc>
          <w:tcPr>
            <w:tcW w:w="83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0"/>
              <w:jc w:val="left"/>
              <w:rPr>
                <w:rFonts w:hint="eastAsia" w:ascii="Times New Roman" w:hAnsi="Times New Roman" w:eastAsia="宋体" w:cs="Times New Roman"/>
                <w:b w:val="0"/>
                <w:bCs w:val="0"/>
                <w:color w:val="auto"/>
                <w:kern w:val="2"/>
                <w:sz w:val="24"/>
                <w:szCs w:val="24"/>
                <w:highlight w:val="none"/>
                <w:vertAlign w:val="baseline"/>
                <w:lang w:val="en-US" w:eastAsia="zh-CN" w:bidi="ar-SA"/>
              </w:rPr>
            </w:pPr>
            <w:r>
              <w:rPr>
                <w:rFonts w:hint="eastAsia" w:ascii="Times New Roman" w:hAnsi="Times New Roman" w:eastAsia="宋体" w:cs="Times New Roman"/>
                <w:b w:val="0"/>
                <w:bCs w:val="0"/>
                <w:color w:val="auto"/>
                <w:kern w:val="2"/>
                <w:sz w:val="24"/>
                <w:szCs w:val="24"/>
                <w:highlight w:val="none"/>
                <w:vertAlign w:val="baseline"/>
                <w:lang w:val="en-US" w:eastAsia="zh-CN" w:bidi="ar-SA"/>
              </w:rPr>
              <w:t>建设地点</w:t>
            </w:r>
          </w:p>
        </w:tc>
        <w:tc>
          <w:tcPr>
            <w:tcW w:w="7684"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0"/>
              <w:jc w:val="left"/>
              <w:rPr>
                <w:rFonts w:hint="eastAsia" w:ascii="Times New Roman" w:hAnsi="Times New Roman" w:eastAsia="宋体" w:cs="Times New Roman"/>
                <w:b w:val="0"/>
                <w:bCs w:val="0"/>
                <w:color w:val="auto"/>
                <w:kern w:val="2"/>
                <w:sz w:val="24"/>
                <w:szCs w:val="24"/>
                <w:highlight w:val="none"/>
                <w:vertAlign w:val="baseline"/>
                <w:lang w:val="en-US" w:eastAsia="zh-CN" w:bidi="ar-SA"/>
              </w:rPr>
            </w:pPr>
            <w:r>
              <w:rPr>
                <w:rFonts w:hint="eastAsia"/>
                <w:color w:val="auto"/>
                <w:sz w:val="24"/>
                <w:highlight w:val="none"/>
              </w:rPr>
              <w:t>云南省文山州</w:t>
            </w:r>
            <w:r>
              <w:rPr>
                <w:rFonts w:hint="eastAsia"/>
                <w:color w:val="auto"/>
                <w:sz w:val="24"/>
                <w:highlight w:val="none"/>
                <w:lang w:eastAsia="zh-CN"/>
              </w:rPr>
              <w:t>西畴县西洒镇骆家塘村委会马家地村小组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49" w:hRule="atLeast"/>
        </w:trPr>
        <w:tc>
          <w:tcPr>
            <w:tcW w:w="83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0"/>
              <w:jc w:val="left"/>
              <w:rPr>
                <w:rFonts w:hint="eastAsia" w:ascii="Times New Roman" w:hAnsi="Times New Roman" w:eastAsia="宋体" w:cs="Times New Roman"/>
                <w:b w:val="0"/>
                <w:bCs w:val="0"/>
                <w:color w:val="auto"/>
                <w:kern w:val="2"/>
                <w:sz w:val="24"/>
                <w:szCs w:val="24"/>
                <w:highlight w:val="none"/>
                <w:vertAlign w:val="baseline"/>
                <w:lang w:val="en-US" w:eastAsia="zh-CN" w:bidi="ar-SA"/>
              </w:rPr>
            </w:pPr>
            <w:r>
              <w:rPr>
                <w:rFonts w:hint="eastAsia" w:ascii="Times New Roman" w:hAnsi="Times New Roman" w:eastAsia="宋体" w:cs="Times New Roman"/>
                <w:b w:val="0"/>
                <w:bCs w:val="0"/>
                <w:color w:val="auto"/>
                <w:kern w:val="2"/>
                <w:sz w:val="24"/>
                <w:szCs w:val="24"/>
                <w:highlight w:val="none"/>
                <w:vertAlign w:val="baseline"/>
                <w:lang w:val="en-US" w:eastAsia="zh-CN" w:bidi="ar-SA"/>
              </w:rPr>
              <w:t>建设单位</w:t>
            </w:r>
          </w:p>
        </w:tc>
        <w:tc>
          <w:tcPr>
            <w:tcW w:w="7684"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0"/>
              <w:jc w:val="left"/>
              <w:rPr>
                <w:rFonts w:hint="eastAsia" w:ascii="Times New Roman" w:hAnsi="Times New Roman" w:eastAsia="宋体" w:cs="Times New Roman"/>
                <w:b w:val="0"/>
                <w:bCs w:val="0"/>
                <w:color w:val="auto"/>
                <w:kern w:val="2"/>
                <w:sz w:val="24"/>
                <w:szCs w:val="24"/>
                <w:highlight w:val="none"/>
                <w:vertAlign w:val="baseline"/>
                <w:lang w:val="en-US" w:eastAsia="zh-CN" w:bidi="ar-SA"/>
              </w:rPr>
            </w:pPr>
            <w:r>
              <w:rPr>
                <w:rFonts w:hint="eastAsia" w:ascii="Times New Roman" w:hAnsi="Times New Roman" w:eastAsia="宋体" w:cs="Times New Roman"/>
                <w:b w:val="0"/>
                <w:bCs w:val="0"/>
                <w:color w:val="auto"/>
                <w:kern w:val="2"/>
                <w:sz w:val="24"/>
                <w:szCs w:val="24"/>
                <w:highlight w:val="none"/>
                <w:vertAlign w:val="baseline"/>
                <w:lang w:val="en-US" w:eastAsia="zh-CN" w:bidi="ar-SA"/>
              </w:rPr>
              <w:t>西畴县中畴能源有限责任公司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22" w:hRule="atLeast"/>
        </w:trPr>
        <w:tc>
          <w:tcPr>
            <w:tcW w:w="83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0"/>
              <w:jc w:val="left"/>
              <w:rPr>
                <w:rFonts w:hint="eastAsia" w:ascii="Times New Roman" w:hAnsi="Times New Roman" w:eastAsia="宋体" w:cs="Times New Roman"/>
                <w:b w:val="0"/>
                <w:bCs w:val="0"/>
                <w:color w:val="auto"/>
                <w:kern w:val="2"/>
                <w:sz w:val="24"/>
                <w:szCs w:val="24"/>
                <w:highlight w:val="none"/>
                <w:vertAlign w:val="baseline"/>
                <w:lang w:val="en-US" w:eastAsia="zh-CN" w:bidi="ar-SA"/>
              </w:rPr>
            </w:pPr>
            <w:r>
              <w:rPr>
                <w:rFonts w:hint="eastAsia" w:ascii="Times New Roman" w:hAnsi="Times New Roman" w:eastAsia="宋体" w:cs="Times New Roman"/>
                <w:b w:val="0"/>
                <w:bCs w:val="0"/>
                <w:color w:val="auto"/>
                <w:kern w:val="2"/>
                <w:sz w:val="28"/>
                <w:szCs w:val="28"/>
                <w:highlight w:val="none"/>
                <w:lang w:val="en-US" w:eastAsia="zh-CN" w:bidi="ar-SA"/>
              </w:rPr>
              <w:t>环境影响评价机构</w:t>
            </w:r>
          </w:p>
        </w:tc>
        <w:tc>
          <w:tcPr>
            <w:tcW w:w="7684"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0"/>
              <w:jc w:val="left"/>
              <w:rPr>
                <w:rFonts w:hint="eastAsia" w:ascii="Times New Roman" w:hAnsi="Times New Roman" w:eastAsia="宋体" w:cs="Times New Roman"/>
                <w:b w:val="0"/>
                <w:bCs w:val="0"/>
                <w:color w:val="auto"/>
                <w:kern w:val="2"/>
                <w:sz w:val="24"/>
                <w:szCs w:val="24"/>
                <w:highlight w:val="none"/>
                <w:vertAlign w:val="baseline"/>
                <w:lang w:val="en-US" w:eastAsia="zh-CN" w:bidi="ar-SA"/>
              </w:rPr>
            </w:pPr>
            <w:r>
              <w:rPr>
                <w:rFonts w:hint="eastAsia" w:ascii="Times New Roman" w:hAnsi="Times New Roman" w:eastAsia="宋体" w:cs="Times New Roman"/>
                <w:b w:val="0"/>
                <w:bCs w:val="0"/>
                <w:color w:val="auto"/>
                <w:kern w:val="2"/>
                <w:sz w:val="24"/>
                <w:szCs w:val="24"/>
                <w:highlight w:val="none"/>
                <w:vertAlign w:val="baseline"/>
                <w:lang w:val="en-US" w:eastAsia="zh-CN" w:bidi="ar-SA"/>
              </w:rPr>
              <w:t>云南</w:t>
            </w:r>
            <w:r>
              <w:rPr>
                <w:rFonts w:hint="eastAsia" w:ascii="Times New Roman" w:hAnsi="Times New Roman" w:cs="Times New Roman"/>
                <w:b w:val="0"/>
                <w:bCs w:val="0"/>
                <w:color w:val="auto"/>
                <w:kern w:val="2"/>
                <w:sz w:val="24"/>
                <w:szCs w:val="24"/>
                <w:highlight w:val="none"/>
                <w:vertAlign w:val="baseline"/>
                <w:lang w:val="en-US" w:eastAsia="zh-CN" w:bidi="ar-SA"/>
              </w:rPr>
              <w:t>德源绿创</w:t>
            </w:r>
            <w:r>
              <w:rPr>
                <w:rFonts w:hint="eastAsia" w:ascii="Times New Roman" w:hAnsi="Times New Roman" w:eastAsia="宋体" w:cs="Times New Roman"/>
                <w:b w:val="0"/>
                <w:bCs w:val="0"/>
                <w:color w:val="auto"/>
                <w:kern w:val="2"/>
                <w:sz w:val="24"/>
                <w:szCs w:val="24"/>
                <w:highlight w:val="none"/>
                <w:vertAlign w:val="baseline"/>
                <w:lang w:val="en-US" w:eastAsia="zh-CN" w:bidi="ar-SA"/>
              </w:rPr>
              <w:t>环保科技有限公司</w:t>
            </w:r>
            <w:bookmarkStart w:id="1" w:name="_GoBack"/>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20" w:hRule="atLeast"/>
        </w:trPr>
        <w:tc>
          <w:tcPr>
            <w:tcW w:w="83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0"/>
              <w:jc w:val="left"/>
              <w:rPr>
                <w:rFonts w:hint="default" w:ascii="Times New Roman" w:hAnsi="Times New Roman" w:eastAsia="宋体" w:cs="Times New Roman"/>
                <w:b w:val="0"/>
                <w:bCs w:val="0"/>
                <w:color w:val="auto"/>
                <w:kern w:val="2"/>
                <w:sz w:val="24"/>
                <w:szCs w:val="24"/>
                <w:highlight w:val="none"/>
                <w:vertAlign w:val="baseline"/>
                <w:lang w:val="en-US" w:eastAsia="zh-CN" w:bidi="ar-SA"/>
              </w:rPr>
            </w:pPr>
            <w:r>
              <w:rPr>
                <w:rFonts w:hint="default" w:ascii="Times New Roman" w:hAnsi="Times New Roman" w:eastAsia="宋体" w:cs="Times New Roman"/>
                <w:b w:val="0"/>
                <w:bCs w:val="0"/>
                <w:color w:val="auto"/>
                <w:kern w:val="2"/>
                <w:sz w:val="28"/>
                <w:szCs w:val="28"/>
                <w:highlight w:val="none"/>
                <w:lang w:val="en-US" w:eastAsia="zh-CN" w:bidi="ar-SA"/>
              </w:rPr>
              <w:t>项目概况</w:t>
            </w:r>
          </w:p>
        </w:tc>
        <w:tc>
          <w:tcPr>
            <w:tcW w:w="7684"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0" w:firstLine="480" w:firstLineChars="200"/>
              <w:jc w:val="left"/>
              <w:rPr>
                <w:rFonts w:hint="eastAsia"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本项目位于</w:t>
            </w:r>
            <w:r>
              <w:rPr>
                <w:rFonts w:hint="eastAsia" w:ascii="Times New Roman" w:hAnsi="Times New Roman" w:eastAsia="宋体" w:cs="Times New Roman"/>
                <w:b w:val="0"/>
                <w:bCs w:val="0"/>
                <w:color w:val="auto"/>
                <w:kern w:val="2"/>
                <w:sz w:val="24"/>
                <w:szCs w:val="24"/>
                <w:highlight w:val="none"/>
                <w:lang w:val="en-US" w:eastAsia="zh-CN" w:bidi="ar-SA"/>
              </w:rPr>
              <w:t>云南省文山州西畴县西洒镇骆家塘村委会马家地村小组</w:t>
            </w:r>
            <w:r>
              <w:rPr>
                <w:rFonts w:hint="default" w:ascii="Times New Roman" w:hAnsi="Times New Roman" w:eastAsia="宋体" w:cs="Times New Roman"/>
                <w:b w:val="0"/>
                <w:bCs w:val="0"/>
                <w:color w:val="auto"/>
                <w:kern w:val="2"/>
                <w:sz w:val="24"/>
                <w:szCs w:val="24"/>
                <w:highlight w:val="none"/>
                <w:lang w:val="en-US" w:eastAsia="zh-CN" w:bidi="ar-SA"/>
              </w:rPr>
              <w:t>，项目占地面积</w:t>
            </w:r>
            <w:r>
              <w:rPr>
                <w:rFonts w:hint="eastAsia" w:ascii="Times New Roman" w:hAnsi="Times New Roman" w:eastAsia="宋体" w:cs="Times New Roman"/>
                <w:b w:val="0"/>
                <w:bCs w:val="0"/>
                <w:color w:val="auto"/>
                <w:kern w:val="2"/>
                <w:sz w:val="24"/>
                <w:szCs w:val="24"/>
                <w:highlight w:val="none"/>
                <w:lang w:val="en-US" w:eastAsia="zh-CN" w:bidi="ar-SA"/>
              </w:rPr>
              <w:t>4114.71</w:t>
            </w:r>
            <w:r>
              <w:rPr>
                <w:rFonts w:hint="default" w:ascii="Times New Roman" w:hAnsi="Times New Roman" w:eastAsia="宋体" w:cs="Times New Roman"/>
                <w:b w:val="0"/>
                <w:bCs w:val="0"/>
                <w:color w:val="auto"/>
                <w:kern w:val="2"/>
                <w:sz w:val="24"/>
                <w:szCs w:val="24"/>
                <w:highlight w:val="none"/>
                <w:lang w:val="en-US" w:eastAsia="zh-CN" w:bidi="ar-SA"/>
              </w:rPr>
              <w:t>平方米</w:t>
            </w:r>
            <w:r>
              <w:rPr>
                <w:rFonts w:hint="eastAsia" w:ascii="Times New Roman" w:hAnsi="Times New Roman" w:eastAsia="宋体" w:cs="Times New Roman"/>
                <w:b w:val="0"/>
                <w:bCs w:val="0"/>
                <w:color w:val="auto"/>
                <w:kern w:val="2"/>
                <w:sz w:val="24"/>
                <w:szCs w:val="24"/>
                <w:highlight w:val="none"/>
                <w:lang w:val="en-US" w:eastAsia="zh-CN" w:bidi="ar-SA"/>
              </w:rPr>
              <w:t>，</w:t>
            </w:r>
            <w:r>
              <w:rPr>
                <w:rFonts w:hint="default" w:ascii="Times New Roman" w:hAnsi="Times New Roman" w:eastAsia="宋体" w:cs="Times New Roman"/>
                <w:b w:val="0"/>
                <w:bCs w:val="0"/>
                <w:color w:val="auto"/>
                <w:kern w:val="2"/>
                <w:sz w:val="24"/>
                <w:szCs w:val="24"/>
                <w:highlight w:val="none"/>
                <w:lang w:val="en-US" w:eastAsia="zh-CN" w:bidi="ar-SA"/>
              </w:rPr>
              <w:t>总建筑面积约661 . 02平方米。其中加油站罩棚约305 . 82平方米（按投影面积折半计算），站房355 . 2平方米 ；设置埋地双层防渗加油罐4个：其中30立方米的92 #、30立方米的95 #、30 立方米的98 #汽油罐各1个，30立方米的0 # 柴油罐1个 ，加油罐总储105立方米（柴油折半算），属二级加油站规模；设置4台4枪加油机 ，共计16支加油枪</w:t>
            </w:r>
            <w:r>
              <w:rPr>
                <w:rFonts w:hint="eastAsia" w:ascii="Times New Roman" w:hAnsi="Times New Roman" w:eastAsia="宋体" w:cs="Times New Roman"/>
                <w:b w:val="0"/>
                <w:bCs w:val="0"/>
                <w:color w:val="auto"/>
                <w:kern w:val="2"/>
                <w:sz w:val="24"/>
                <w:szCs w:val="24"/>
                <w:highlight w:val="none"/>
                <w:lang w:val="en-US" w:eastAsia="zh-CN" w:bidi="ar-SA"/>
              </w:rPr>
              <w:t>，</w:t>
            </w:r>
            <w:r>
              <w:rPr>
                <w:rFonts w:hint="default" w:ascii="Times New Roman" w:hAnsi="Times New Roman" w:eastAsia="宋体" w:cs="Times New Roman"/>
                <w:b w:val="0"/>
                <w:bCs w:val="0"/>
                <w:color w:val="auto"/>
                <w:kern w:val="2"/>
                <w:sz w:val="24"/>
                <w:szCs w:val="24"/>
                <w:highlight w:val="none"/>
                <w:lang w:val="en-US" w:eastAsia="zh-CN" w:bidi="ar-SA"/>
              </w:rPr>
              <w:t>辅助服务区：东部主要布置二层站房一座，站房内设置便利店、卫生间、办公室以及站长室等，北部预留全通过式洗车机。站房西北侧设两个充电桩及4个充电车位；站房南侧和东侧共设十四个非机动车停车位</w:t>
            </w:r>
            <w:r>
              <w:rPr>
                <w:rFonts w:hint="eastAsia" w:ascii="Times New Roman" w:hAnsi="Times New Roman" w:eastAsia="宋体" w:cs="Times New Roman"/>
                <w:b w:val="0"/>
                <w:bCs w:val="0"/>
                <w:color w:val="auto"/>
                <w:kern w:val="2"/>
                <w:sz w:val="24"/>
                <w:szCs w:val="24"/>
                <w:highlight w:val="none"/>
                <w:lang w:val="en-US" w:eastAsia="zh-CN" w:bidi="ar-SA"/>
              </w:rPr>
              <w:t>。项目总投资为3000万元，其中环保投资92.5万元，占总投资的3.08%。</w:t>
            </w:r>
          </w:p>
          <w:p>
            <w:pPr>
              <w:pStyle w:val="6"/>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0"/>
              <w:jc w:val="left"/>
              <w:rPr>
                <w:rFonts w:hint="default" w:ascii="Times New Roman" w:hAnsi="Times New Roman" w:eastAsia="宋体" w:cs="Times New Roman"/>
                <w:b w:val="0"/>
                <w:bCs w:val="0"/>
                <w:color w:val="auto"/>
                <w:kern w:val="2"/>
                <w:sz w:val="24"/>
                <w:szCs w:val="24"/>
                <w:highlight w:val="none"/>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6" w:hRule="atLeast"/>
        </w:trPr>
        <w:tc>
          <w:tcPr>
            <w:tcW w:w="83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0"/>
              <w:jc w:val="left"/>
            </w:pPr>
            <w:r>
              <w:rPr>
                <w:rFonts w:hint="default" w:ascii="Times New Roman" w:hAnsi="Times New Roman" w:eastAsia="宋体" w:cs="Times New Roman"/>
                <w:b w:val="0"/>
                <w:bCs w:val="0"/>
                <w:color w:val="auto"/>
                <w:kern w:val="2"/>
                <w:sz w:val="28"/>
                <w:szCs w:val="28"/>
                <w:highlight w:val="none"/>
                <w:lang w:val="en-US" w:eastAsia="zh-CN" w:bidi="ar-SA"/>
              </w:rPr>
              <w:t>主要环境影响及预防或者减轻不良环境影响的对策和措施</w:t>
            </w:r>
          </w:p>
        </w:tc>
        <w:tc>
          <w:tcPr>
            <w:tcW w:w="7684"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adjustRightInd w:val="0"/>
              <w:snapToGrid w:val="0"/>
              <w:spacing w:line="360" w:lineRule="auto"/>
              <w:ind w:firstLine="482" w:firstLineChars="200"/>
              <w:textAlignment w:val="baseline"/>
              <w:rPr>
                <w:rFonts w:hint="eastAsia"/>
                <w:color w:val="auto"/>
                <w:kern w:val="0"/>
                <w:sz w:val="24"/>
                <w:szCs w:val="22"/>
                <w:highlight w:val="none"/>
                <w:lang w:bidi="zh-CN"/>
              </w:rPr>
            </w:pPr>
            <w:r>
              <w:rPr>
                <w:rFonts w:hint="default" w:ascii="Times New Roman" w:hAnsi="Times New Roman" w:eastAsia="宋体" w:cs="Times New Roman"/>
                <w:b/>
                <w:bCs/>
                <w:color w:val="auto"/>
                <w:sz w:val="24"/>
                <w:szCs w:val="24"/>
                <w:highlight w:val="none"/>
                <w:vertAlign w:val="baseline"/>
                <w:lang w:val="en-US" w:eastAsia="zh-CN"/>
              </w:rPr>
              <w:t>大气</w:t>
            </w:r>
            <w:r>
              <w:rPr>
                <w:rFonts w:hint="eastAsia" w:ascii="Times New Roman" w:hAnsi="Times New Roman" w:eastAsia="宋体" w:cs="Times New Roman"/>
                <w:b/>
                <w:bCs/>
                <w:color w:val="auto"/>
                <w:sz w:val="24"/>
                <w:szCs w:val="24"/>
                <w:highlight w:val="none"/>
                <w:vertAlign w:val="baseline"/>
                <w:lang w:val="en-US" w:eastAsia="zh-CN"/>
              </w:rPr>
              <w:t>环境</w:t>
            </w:r>
            <w:r>
              <w:rPr>
                <w:rFonts w:hint="eastAsia" w:ascii="Times New Roman" w:hAnsi="Times New Roman" w:cs="Times New Roman"/>
                <w:b/>
                <w:bCs/>
                <w:color w:val="auto"/>
                <w:sz w:val="24"/>
                <w:szCs w:val="24"/>
                <w:highlight w:val="none"/>
                <w:vertAlign w:val="baseline"/>
                <w:lang w:val="en-US" w:eastAsia="zh-CN"/>
              </w:rPr>
              <w:t>保护措施：</w:t>
            </w:r>
            <w:r>
              <w:rPr>
                <w:rFonts w:hint="eastAsia" w:ascii="Times New Roman" w:hAnsi="Times New Roman" w:eastAsia="宋体" w:cs="Times New Roman"/>
                <w:b w:val="0"/>
                <w:bCs w:val="0"/>
                <w:color w:val="auto"/>
                <w:sz w:val="24"/>
                <w:szCs w:val="24"/>
                <w:highlight w:val="none"/>
                <w:lang w:val="en-US" w:eastAsia="zh-CN"/>
              </w:rPr>
              <w:t>项目大气污染物主要为卸油、储存、加油过程中挥发的有机废气（非甲烷总烃）</w:t>
            </w:r>
            <w:r>
              <w:rPr>
                <w:rFonts w:hint="eastAsia" w:ascii="Times New Roman" w:hAnsi="Times New Roman" w:cs="Times New Roman"/>
                <w:b w:val="0"/>
                <w:bCs w:val="0"/>
                <w:color w:val="auto"/>
                <w:sz w:val="24"/>
                <w:szCs w:val="24"/>
                <w:highlight w:val="none"/>
                <w:lang w:val="en-US" w:eastAsia="zh-CN"/>
              </w:rPr>
              <w:t>、</w:t>
            </w:r>
            <w:r>
              <w:rPr>
                <w:rFonts w:hint="eastAsia" w:ascii="Times New Roman" w:hAnsi="Times New Roman" w:eastAsia="宋体" w:cs="Times New Roman"/>
                <w:b w:val="0"/>
                <w:bCs w:val="0"/>
                <w:color w:val="auto"/>
                <w:sz w:val="24"/>
                <w:szCs w:val="24"/>
                <w:highlight w:val="none"/>
                <w:lang w:val="en-US" w:eastAsia="zh-CN"/>
              </w:rPr>
              <w:t>食堂油烟和异味。卸油、储存、加油过程中挥发的有机废气（非甲烷总烃）：采用密闭浸没式卸油方式，地埋式油罐、卸油油气回收系统，埋地储油罐采用电子式液位计进行汽油密闭测量，所有油气管线排放口按GB50156的要求设置压力，每把汽油加油枪设置一套加油油气回收系统，严格按照规程操作和管理油气回收装置，定期检查、维护并记录备查，对阻火器、液封油、机械呼吸阀瓣、消防泡沫、量油孔，每年应彻底检查两次，应做到气密性符合要求，排气阀高度及排放浓度满足《加油站大气污染物排放标准》（GB20952-2020）中的5.4相关规定；厂界非甲烷总烃无组织排放浓度达到《加油站大气污染排放标准》（GB20952-2020）表3无组织排放监控浓度限值要求</w:t>
            </w:r>
            <w:r>
              <w:rPr>
                <w:rFonts w:hint="eastAsia" w:ascii="Times New Roman" w:hAnsi="Times New Roman" w:cs="Times New Roman"/>
                <w:b w:val="0"/>
                <w:bCs w:val="0"/>
                <w:color w:val="auto"/>
                <w:sz w:val="24"/>
                <w:szCs w:val="24"/>
                <w:highlight w:val="none"/>
                <w:lang w:val="en-US" w:eastAsia="zh-CN"/>
              </w:rPr>
              <w:t>，</w:t>
            </w:r>
            <w:r>
              <w:rPr>
                <w:rFonts w:hint="eastAsia" w:ascii="Times New Roman" w:hAnsi="Times New Roman" w:eastAsia="宋体" w:cs="Times New Roman"/>
                <w:b w:val="0"/>
                <w:bCs w:val="0"/>
                <w:color w:val="auto"/>
                <w:sz w:val="24"/>
                <w:szCs w:val="24"/>
                <w:highlight w:val="none"/>
                <w:lang w:val="en-US" w:eastAsia="zh-CN"/>
              </w:rPr>
              <w:t>采取以上措施后，项目运行产生无组织排放非甲烷总烃对周围环境和敏感目标的影响较小。食堂油烟和异味：厨房设置一套油烟收集净化装置，经过油烟净化器处理后油烟排放量0.34mg/m3、0.25kg/a，排放的油烟浓度达到《饮食业油烟排放标准》（GB18483-2001）中相关排放限值要求，生活垃圾定期由环卫部门清运处置，化粪池定期委托附近农户清掏处置，通过加强站内绿化等减小恶臭对环境的影响，对周边环境影响很小。</w:t>
            </w:r>
          </w:p>
          <w:p>
            <w:pPr>
              <w:keepNext w:val="0"/>
              <w:keepLines w:val="0"/>
              <w:pageBreakBefore w:val="0"/>
              <w:kinsoku/>
              <w:wordWrap/>
              <w:overflowPunct/>
              <w:topLinePunct w:val="0"/>
              <w:bidi w:val="0"/>
              <w:adjustRightInd w:val="0"/>
              <w:snapToGrid w:val="0"/>
              <w:spacing w:line="360" w:lineRule="auto"/>
              <w:ind w:firstLine="482" w:firstLineChars="200"/>
              <w:jc w:val="both"/>
              <w:textAlignment w:val="baseline"/>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地表水环境</w:t>
            </w:r>
            <w:r>
              <w:rPr>
                <w:rFonts w:hint="eastAsia" w:ascii="Times New Roman" w:hAnsi="Times New Roman" w:cs="Times New Roman"/>
                <w:b/>
                <w:bCs/>
                <w:color w:val="auto"/>
                <w:sz w:val="24"/>
                <w:szCs w:val="24"/>
                <w:highlight w:val="none"/>
                <w:lang w:val="en-US" w:eastAsia="zh-CN"/>
              </w:rPr>
              <w:t>保护措施：</w:t>
            </w:r>
            <w:r>
              <w:rPr>
                <w:color w:val="auto"/>
                <w:kern w:val="0"/>
                <w:sz w:val="24"/>
                <w:highlight w:val="none"/>
              </w:rPr>
              <w:t>罩棚雨水、站房、辅助房屋面雨水、停车区雨水经站内雨水沟，排入</w:t>
            </w:r>
            <w:r>
              <w:rPr>
                <w:rFonts w:hint="eastAsia" w:ascii="Times New Roman" w:hAnsi="Times New Roman" w:eastAsia="宋体" w:cs="Times New Roman"/>
                <w:b w:val="0"/>
                <w:bCs w:val="0"/>
                <w:color w:val="auto"/>
                <w:sz w:val="24"/>
                <w:szCs w:val="24"/>
                <w:highlight w:val="none"/>
                <w:lang w:val="en-US" w:eastAsia="zh-CN"/>
              </w:rPr>
              <w:t>周边雨水沟渠排放；卸油口、加油岛等区域场地雨水经加油站四周设置的环保沟收集排至三级油水分离池（1个，容积5m3）处理后排至周边雨水沟渠排放；食堂污水经隔油池处理后与职工生活污水、公厕废水一起进入化粪池（1个，容积10m3）处理后，委托当地村民定期处理；洗车废水排入沉淀池（5m3）处理后回用于洗车，不外排；执行《污水综合排放标准》（GB8978-1996）。综上所述，本项目的废水排放对周围环境的影响较小。</w:t>
            </w:r>
          </w:p>
          <w:p>
            <w:pPr>
              <w:adjustRightInd w:val="0"/>
              <w:snapToGrid w:val="0"/>
              <w:spacing w:line="360" w:lineRule="auto"/>
              <w:ind w:firstLine="482" w:firstLineChars="200"/>
              <w:jc w:val="left"/>
              <w:textAlignment w:val="baseline"/>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cs="Times New Roman"/>
                <w:b/>
                <w:bCs/>
                <w:color w:val="auto"/>
                <w:sz w:val="24"/>
                <w:szCs w:val="24"/>
                <w:highlight w:val="none"/>
                <w:lang w:val="en-US" w:eastAsia="zh-CN"/>
              </w:rPr>
              <w:t>声环境保护措施：</w:t>
            </w:r>
            <w:r>
              <w:rPr>
                <w:rFonts w:hint="eastAsia" w:ascii="Times New Roman" w:hAnsi="Times New Roman" w:eastAsia="宋体" w:cs="Times New Roman"/>
                <w:b w:val="0"/>
                <w:bCs w:val="0"/>
                <w:color w:val="auto"/>
                <w:sz w:val="24"/>
                <w:szCs w:val="24"/>
                <w:highlight w:val="none"/>
                <w:lang w:val="en-US" w:eastAsia="zh-CN"/>
              </w:rPr>
              <w:t>交通噪声：①加强站内管理，项目区域入口的合适位置标示禁止鸣笛的图标，尽量减少机动车频繁启动和怠速，规范站内交通秩序等措施降低车辆噪声；②进出车辆减速慢行，避免紧急避让产生的鸣笛；③按车位有序停车，确保停车场内车辆进出顺畅。设备噪声：①优化加油站装卸油作业时间，加油站装卸油作业时间安排应尽量避免噪声扰民，可安排在早上6点至晚上10点之间；②应急发电机置室内，并设置隔声降噪措施。采取以上降噪措施后，再通过距离衰减，以及项目采用的实体围墙，执行《工业企业厂界环境噪声排放标准》（GB 12348-2008）</w:t>
            </w:r>
            <w:r>
              <w:rPr>
                <w:rFonts w:hint="default" w:ascii="Times New Roman" w:hAnsi="Times New Roman" w:eastAsia="宋体" w:cs="Times New Roman"/>
                <w:b w:val="0"/>
                <w:bCs w:val="0"/>
                <w:color w:val="auto"/>
                <w:sz w:val="24"/>
                <w:szCs w:val="24"/>
                <w:highlight w:val="none"/>
                <w:lang w:val="en-US" w:eastAsia="zh-CN"/>
              </w:rPr>
              <w:t>中</w:t>
            </w:r>
            <w:r>
              <w:rPr>
                <w:rFonts w:hint="eastAsia" w:ascii="Times New Roman" w:hAnsi="Times New Roman" w:eastAsia="宋体" w:cs="Times New Roman"/>
                <w:b w:val="0"/>
                <w:bCs w:val="0"/>
                <w:color w:val="auto"/>
                <w:sz w:val="24"/>
                <w:szCs w:val="24"/>
                <w:highlight w:val="none"/>
                <w:lang w:val="en-US" w:eastAsia="zh-CN"/>
              </w:rPr>
              <w:t>2</w:t>
            </w:r>
            <w:r>
              <w:rPr>
                <w:rFonts w:hint="default" w:ascii="Times New Roman" w:hAnsi="Times New Roman" w:eastAsia="宋体" w:cs="Times New Roman"/>
                <w:b w:val="0"/>
                <w:bCs w:val="0"/>
                <w:color w:val="auto"/>
                <w:sz w:val="24"/>
                <w:szCs w:val="24"/>
                <w:highlight w:val="none"/>
                <w:lang w:val="en-US" w:eastAsia="zh-CN"/>
              </w:rPr>
              <w:t>类标准</w:t>
            </w:r>
            <w:r>
              <w:rPr>
                <w:rFonts w:hint="eastAsia" w:ascii="Times New Roman" w:hAnsi="Times New Roman" w:eastAsia="宋体" w:cs="Times New Roman"/>
                <w:b w:val="0"/>
                <w:bCs w:val="0"/>
                <w:color w:val="auto"/>
                <w:sz w:val="24"/>
                <w:szCs w:val="24"/>
                <w:highlight w:val="none"/>
                <w:lang w:val="en-US" w:eastAsia="zh-CN"/>
              </w:rPr>
              <w:t>。</w:t>
            </w:r>
          </w:p>
          <w:p>
            <w:pPr>
              <w:snapToGrid w:val="0"/>
              <w:spacing w:line="360" w:lineRule="auto"/>
              <w:ind w:firstLine="482" w:firstLineChars="200"/>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固体废物</w:t>
            </w:r>
            <w:r>
              <w:rPr>
                <w:rFonts w:hint="eastAsia" w:ascii="Times New Roman" w:hAnsi="Times New Roman" w:cs="Times New Roman"/>
                <w:b/>
                <w:bCs/>
                <w:color w:val="auto"/>
                <w:sz w:val="24"/>
                <w:szCs w:val="24"/>
                <w:highlight w:val="none"/>
                <w:lang w:val="en-US" w:eastAsia="zh-CN"/>
              </w:rPr>
              <w:t>环境保护措施：</w:t>
            </w:r>
            <w:r>
              <w:rPr>
                <w:rFonts w:hint="default" w:ascii="Times New Roman" w:hAnsi="Times New Roman" w:eastAsia="宋体" w:cs="Times New Roman"/>
                <w:b w:val="0"/>
                <w:bCs w:val="0"/>
                <w:color w:val="auto"/>
                <w:sz w:val="24"/>
                <w:szCs w:val="24"/>
                <w:highlight w:val="none"/>
                <w:lang w:val="en-US" w:eastAsia="zh-CN"/>
              </w:rPr>
              <w:fldChar w:fldCharType="begin"/>
            </w:r>
            <w:r>
              <w:rPr>
                <w:rFonts w:hint="default" w:ascii="Times New Roman" w:hAnsi="Times New Roman" w:eastAsia="宋体" w:cs="Times New Roman"/>
                <w:b w:val="0"/>
                <w:bCs w:val="0"/>
                <w:color w:val="auto"/>
                <w:sz w:val="24"/>
                <w:szCs w:val="24"/>
                <w:highlight w:val="none"/>
                <w:lang w:val="en-US" w:eastAsia="zh-CN"/>
              </w:rPr>
              <w:instrText xml:space="preserve"> </w:instrText>
            </w:r>
            <w:r>
              <w:rPr>
                <w:rFonts w:hint="eastAsia" w:ascii="Times New Roman" w:hAnsi="Times New Roman" w:eastAsia="宋体" w:cs="Times New Roman"/>
                <w:b w:val="0"/>
                <w:bCs w:val="0"/>
                <w:color w:val="auto"/>
                <w:sz w:val="24"/>
                <w:szCs w:val="24"/>
                <w:highlight w:val="none"/>
                <w:lang w:val="en-US" w:eastAsia="zh-CN"/>
              </w:rPr>
              <w:instrText xml:space="preserve">= 1 \* GB3</w:instrText>
            </w:r>
            <w:r>
              <w:rPr>
                <w:rFonts w:hint="default" w:ascii="Times New Roman" w:hAnsi="Times New Roman" w:eastAsia="宋体" w:cs="Times New Roman"/>
                <w:b w:val="0"/>
                <w:bCs w:val="0"/>
                <w:color w:val="auto"/>
                <w:sz w:val="24"/>
                <w:szCs w:val="24"/>
                <w:highlight w:val="none"/>
                <w:lang w:val="en-US" w:eastAsia="zh-CN"/>
              </w:rPr>
              <w:instrText xml:space="preserve"> </w:instrText>
            </w:r>
            <w:r>
              <w:rPr>
                <w:rFonts w:hint="default" w:ascii="Times New Roman" w:hAnsi="Times New Roman" w:eastAsia="宋体" w:cs="Times New Roman"/>
                <w:b w:val="0"/>
                <w:bCs w:val="0"/>
                <w:color w:val="auto"/>
                <w:sz w:val="24"/>
                <w:szCs w:val="24"/>
                <w:highlight w:val="none"/>
                <w:lang w:val="en-US" w:eastAsia="zh-CN"/>
              </w:rPr>
              <w:fldChar w:fldCharType="separate"/>
            </w:r>
            <w:r>
              <w:rPr>
                <w:rFonts w:hint="eastAsia" w:ascii="Times New Roman" w:hAnsi="Times New Roman" w:eastAsia="宋体" w:cs="Times New Roman"/>
                <w:b w:val="0"/>
                <w:bCs w:val="0"/>
                <w:color w:val="auto"/>
                <w:sz w:val="24"/>
                <w:szCs w:val="24"/>
                <w:highlight w:val="none"/>
                <w:lang w:val="en-US" w:eastAsia="zh-CN"/>
              </w:rPr>
              <w:t>①</w:t>
            </w:r>
            <w:r>
              <w:rPr>
                <w:rFonts w:hint="default" w:ascii="Times New Roman" w:hAnsi="Times New Roman" w:eastAsia="宋体" w:cs="Times New Roman"/>
                <w:b w:val="0"/>
                <w:bCs w:val="0"/>
                <w:color w:val="auto"/>
                <w:sz w:val="24"/>
                <w:szCs w:val="24"/>
                <w:highlight w:val="none"/>
                <w:lang w:val="en-US" w:eastAsia="zh-CN"/>
              </w:rPr>
              <w:fldChar w:fldCharType="end"/>
            </w:r>
            <w:r>
              <w:rPr>
                <w:rFonts w:hint="eastAsia" w:ascii="Times New Roman" w:hAnsi="Times New Roman" w:eastAsia="宋体" w:cs="Times New Roman"/>
                <w:b w:val="0"/>
                <w:bCs w:val="0"/>
                <w:color w:val="auto"/>
                <w:sz w:val="24"/>
                <w:szCs w:val="24"/>
                <w:highlight w:val="none"/>
                <w:lang w:val="en-US" w:eastAsia="zh-CN"/>
              </w:rPr>
              <w:t>生活垃圾、厨房垃圾、废弃包装材料，集中收集后能回收利用的回收利用，不能回收利用的统一委托环卫部门处置；</w:t>
            </w:r>
            <w:r>
              <w:rPr>
                <w:rFonts w:hint="eastAsia" w:ascii="Times New Roman" w:hAnsi="Times New Roman" w:eastAsia="宋体" w:cs="Times New Roman"/>
                <w:b w:val="0"/>
                <w:bCs w:val="0"/>
                <w:color w:val="auto"/>
                <w:sz w:val="24"/>
                <w:szCs w:val="24"/>
                <w:highlight w:val="none"/>
                <w:lang w:val="en-US" w:eastAsia="zh-CN"/>
              </w:rPr>
              <w:fldChar w:fldCharType="begin"/>
            </w:r>
            <w:r>
              <w:rPr>
                <w:rFonts w:hint="eastAsia" w:ascii="Times New Roman" w:hAnsi="Times New Roman" w:eastAsia="宋体" w:cs="Times New Roman"/>
                <w:b w:val="0"/>
                <w:bCs w:val="0"/>
                <w:color w:val="auto"/>
                <w:sz w:val="24"/>
                <w:szCs w:val="24"/>
                <w:highlight w:val="none"/>
                <w:lang w:val="en-US" w:eastAsia="zh-CN"/>
              </w:rPr>
              <w:instrText xml:space="preserve"> = 2 \* GB3 </w:instrText>
            </w:r>
            <w:r>
              <w:rPr>
                <w:rFonts w:hint="eastAsia" w:ascii="Times New Roman" w:hAnsi="Times New Roman" w:eastAsia="宋体" w:cs="Times New Roman"/>
                <w:b w:val="0"/>
                <w:bCs w:val="0"/>
                <w:color w:val="auto"/>
                <w:sz w:val="24"/>
                <w:szCs w:val="24"/>
                <w:highlight w:val="none"/>
                <w:lang w:val="en-US" w:eastAsia="zh-CN"/>
              </w:rPr>
              <w:fldChar w:fldCharType="separate"/>
            </w:r>
            <w:r>
              <w:rPr>
                <w:rFonts w:hint="eastAsia" w:ascii="Times New Roman" w:hAnsi="Times New Roman" w:eastAsia="宋体" w:cs="Times New Roman"/>
                <w:b w:val="0"/>
                <w:bCs w:val="0"/>
                <w:color w:val="auto"/>
                <w:sz w:val="24"/>
                <w:szCs w:val="24"/>
                <w:highlight w:val="none"/>
                <w:lang w:val="en-US" w:eastAsia="zh-CN"/>
              </w:rPr>
              <w:t>②</w:t>
            </w:r>
            <w:r>
              <w:rPr>
                <w:rFonts w:hint="eastAsia" w:ascii="Times New Roman" w:hAnsi="Times New Roman" w:eastAsia="宋体" w:cs="Times New Roman"/>
                <w:b w:val="0"/>
                <w:bCs w:val="0"/>
                <w:color w:val="auto"/>
                <w:sz w:val="24"/>
                <w:szCs w:val="24"/>
                <w:highlight w:val="none"/>
                <w:lang w:val="en-US" w:eastAsia="zh-CN"/>
              </w:rPr>
              <w:fldChar w:fldCharType="end"/>
            </w:r>
            <w:r>
              <w:rPr>
                <w:rFonts w:hint="eastAsia" w:ascii="Times New Roman" w:hAnsi="Times New Roman" w:eastAsia="宋体" w:cs="Times New Roman"/>
                <w:b w:val="0"/>
                <w:bCs w:val="0"/>
                <w:color w:val="auto"/>
                <w:sz w:val="24"/>
                <w:szCs w:val="24"/>
                <w:highlight w:val="none"/>
                <w:lang w:val="en-US" w:eastAsia="zh-CN"/>
              </w:rPr>
              <w:t>洗车废水污泥，</w:t>
            </w:r>
            <w:r>
              <w:rPr>
                <w:rFonts w:hint="default" w:ascii="Times New Roman" w:hAnsi="Times New Roman" w:eastAsia="宋体" w:cs="Times New Roman"/>
                <w:b w:val="0"/>
                <w:bCs w:val="0"/>
                <w:color w:val="auto"/>
                <w:sz w:val="24"/>
                <w:szCs w:val="24"/>
                <w:highlight w:val="none"/>
                <w:lang w:val="en-US" w:eastAsia="zh-CN"/>
              </w:rPr>
              <w:t>定期清</w:t>
            </w:r>
            <w:r>
              <w:rPr>
                <w:rFonts w:hint="eastAsia" w:ascii="Times New Roman" w:hAnsi="Times New Roman" w:eastAsia="宋体" w:cs="Times New Roman"/>
                <w:b w:val="0"/>
                <w:bCs w:val="0"/>
                <w:color w:val="auto"/>
                <w:sz w:val="24"/>
                <w:szCs w:val="24"/>
                <w:highlight w:val="none"/>
                <w:lang w:val="en-US" w:eastAsia="zh-Hans"/>
              </w:rPr>
              <w:t>掏</w:t>
            </w:r>
            <w:r>
              <w:rPr>
                <w:rFonts w:hint="default" w:ascii="Times New Roman" w:hAnsi="Times New Roman" w:eastAsia="宋体" w:cs="Times New Roman"/>
                <w:b w:val="0"/>
                <w:bCs w:val="0"/>
                <w:color w:val="auto"/>
                <w:sz w:val="24"/>
                <w:szCs w:val="24"/>
                <w:highlight w:val="none"/>
                <w:lang w:val="en-US" w:eastAsia="zh-CN"/>
              </w:rPr>
              <w:t>后用于周边道路回填或外售综合利用</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③</w:t>
            </w:r>
            <w:r>
              <w:rPr>
                <w:rFonts w:hint="eastAsia" w:ascii="Times New Roman" w:hAnsi="Times New Roman" w:eastAsia="宋体" w:cs="Times New Roman"/>
                <w:b w:val="0"/>
                <w:bCs w:val="0"/>
                <w:color w:val="auto"/>
                <w:sz w:val="24"/>
                <w:szCs w:val="24"/>
                <w:highlight w:val="none"/>
                <w:lang w:val="en-US" w:eastAsia="zh-CN"/>
              </w:rPr>
              <w:t>废油泥、废油渣、加油机中更换的滤网产生的危险废物，交由有资质的油罐清洗单位进行清运处置；④吸附油污的消防沙及废吸油棉，使用后的消防沙或吸油棉收集于危废暂存间，危废委托有资质单位清运处置；⑤油水分离池废油，项目卸油口和加油区含油废水经环保沟收集后一起排入设置的油水分离池处理，油水分离池定期清理废油，清理方式为使用棉纱对浮油进行吸附，之后含油的废棉纱使用危废收集桶收集，暂存于危废暂存间内，之后委托资质单位清运处置。⑥油水分离池污泥，定期打捞污泥，暂存于危废暂存间内，之后委托资质单位清运处置。</w:t>
            </w:r>
            <w:bookmarkStart w:id="0" w:name="_Toc2410"/>
            <w:r>
              <w:rPr>
                <w:rFonts w:hint="eastAsia" w:ascii="Times New Roman" w:hAnsi="Times New Roman" w:eastAsia="宋体" w:cs="Times New Roman"/>
                <w:b w:val="0"/>
                <w:bCs w:val="0"/>
                <w:color w:val="auto"/>
                <w:sz w:val="24"/>
                <w:szCs w:val="24"/>
                <w:highlight w:val="none"/>
                <w:lang w:val="en-US" w:eastAsia="zh-CN"/>
              </w:rPr>
              <w:t>综上，运营期间产生的固体废物，做到分类收集和妥善处置，不随意堆放和丢弃，不影响周围环境，对区域环境影响小。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土壤及地下水污染防治措施</w:t>
            </w:r>
            <w:r>
              <w:rPr>
                <w:rFonts w:hint="eastAsia" w:ascii="Times New Roman" w:hAnsi="Times New Roman" w:cs="Times New Roman"/>
                <w:b/>
                <w:bCs/>
                <w:color w:val="auto"/>
                <w:sz w:val="24"/>
                <w:szCs w:val="24"/>
                <w:highlight w:val="none"/>
                <w:lang w:val="en-US" w:eastAsia="zh-CN"/>
              </w:rPr>
              <w:t>：</w:t>
            </w:r>
            <w:bookmarkEnd w:id="0"/>
            <w:r>
              <w:rPr>
                <w:rFonts w:hint="eastAsia" w:ascii="Times New Roman" w:hAnsi="Times New Roman" w:eastAsia="宋体" w:cs="Times New Roman"/>
                <w:b w:val="0"/>
                <w:bCs w:val="0"/>
                <w:color w:val="auto"/>
                <w:sz w:val="24"/>
                <w:szCs w:val="24"/>
                <w:highlight w:val="none"/>
                <w:lang w:val="en-US" w:eastAsia="zh-CN"/>
              </w:rPr>
              <w:t>①</w:t>
            </w:r>
            <w:r>
              <w:rPr>
                <w:rFonts w:hint="default" w:ascii="Times New Roman" w:hAnsi="Times New Roman" w:eastAsia="宋体" w:cs="Times New Roman"/>
                <w:b w:val="0"/>
                <w:bCs w:val="0"/>
                <w:color w:val="auto"/>
                <w:sz w:val="24"/>
                <w:szCs w:val="24"/>
                <w:highlight w:val="none"/>
                <w:lang w:val="en-US" w:eastAsia="zh-CN"/>
              </w:rPr>
              <w:t>储罐区、输油管线、危废暂存</w:t>
            </w:r>
            <w:r>
              <w:rPr>
                <w:rFonts w:hint="eastAsia" w:ascii="Times New Roman" w:hAnsi="Times New Roman" w:eastAsia="宋体" w:cs="Times New Roman"/>
                <w:b w:val="0"/>
                <w:bCs w:val="0"/>
                <w:color w:val="auto"/>
                <w:sz w:val="24"/>
                <w:szCs w:val="24"/>
                <w:highlight w:val="none"/>
                <w:lang w:val="en-US" w:eastAsia="zh-CN"/>
              </w:rPr>
              <w:t>间</w:t>
            </w:r>
            <w:r>
              <w:rPr>
                <w:rFonts w:hint="default" w:ascii="Times New Roman" w:hAnsi="Times New Roman" w:eastAsia="宋体" w:cs="Times New Roman"/>
                <w:b w:val="0"/>
                <w:bCs w:val="0"/>
                <w:color w:val="auto"/>
                <w:sz w:val="24"/>
                <w:szCs w:val="24"/>
                <w:highlight w:val="none"/>
                <w:lang w:val="en-US" w:eastAsia="zh-CN"/>
              </w:rPr>
              <w:t>划分为重点防渗区；化粪池、三级隔油池、沉淀池、雨污管道、环保沟等区域划分为一般防渗区；生活办公区、项目区道路、停车场等基本不产生污染物的区域划分为简单防渗区。</w:t>
            </w:r>
            <w:r>
              <w:rPr>
                <w:rFonts w:hint="eastAsia" w:ascii="Times New Roman" w:hAnsi="Times New Roman" w:eastAsia="宋体" w:cs="Times New Roman"/>
                <w:b w:val="0"/>
                <w:bCs w:val="0"/>
                <w:color w:val="auto"/>
                <w:sz w:val="24"/>
                <w:szCs w:val="24"/>
                <w:highlight w:val="none"/>
                <w:lang w:val="en-US" w:eastAsia="zh-CN"/>
              </w:rPr>
              <w:t>②</w:t>
            </w:r>
            <w:r>
              <w:rPr>
                <w:rFonts w:hint="default" w:ascii="Times New Roman" w:hAnsi="Times New Roman" w:eastAsia="宋体" w:cs="Times New Roman"/>
                <w:b w:val="0"/>
                <w:bCs w:val="0"/>
                <w:color w:val="auto"/>
                <w:sz w:val="24"/>
                <w:szCs w:val="24"/>
                <w:highlight w:val="none"/>
                <w:lang w:val="en-US" w:eastAsia="zh-CN"/>
              </w:rPr>
              <w:t>设置油罐观测井1口，位于油罐区。观测油罐是否渗漏，防止油品损失、对地下水和土壤的污染。</w:t>
            </w:r>
            <w:r>
              <w:rPr>
                <w:rFonts w:hint="eastAsia" w:ascii="Times New Roman" w:hAnsi="Times New Roman" w:eastAsia="宋体" w:cs="Times New Roman"/>
                <w:b w:val="0"/>
                <w:bCs w:val="0"/>
                <w:color w:val="auto"/>
                <w:sz w:val="24"/>
                <w:szCs w:val="24"/>
                <w:highlight w:val="none"/>
                <w:lang w:val="en-US" w:eastAsia="zh-CN"/>
              </w:rPr>
              <w:t>③</w:t>
            </w:r>
            <w:r>
              <w:rPr>
                <w:rFonts w:hint="default" w:ascii="Times New Roman" w:hAnsi="Times New Roman" w:eastAsia="宋体" w:cs="Times New Roman"/>
                <w:b w:val="0"/>
                <w:bCs w:val="0"/>
                <w:color w:val="auto"/>
                <w:sz w:val="24"/>
                <w:szCs w:val="24"/>
                <w:highlight w:val="none"/>
                <w:lang w:val="en-US" w:eastAsia="zh-CN"/>
              </w:rPr>
              <w:t>储油罐采用由内、外罐罐壁构成具有双层间隙的双层储罐。罐顶低于周围4m范围内的地面，油罐放置于罐池内，并采用中性砂回填。</w:t>
            </w:r>
            <w:r>
              <w:rPr>
                <w:rFonts w:hint="eastAsia" w:ascii="Times New Roman" w:hAnsi="Times New Roman" w:eastAsia="宋体" w:cs="Times New Roman"/>
                <w:b w:val="0"/>
                <w:bCs w:val="0"/>
                <w:color w:val="auto"/>
                <w:sz w:val="24"/>
                <w:szCs w:val="24"/>
                <w:highlight w:val="none"/>
                <w:lang w:val="en-US" w:eastAsia="zh-CN"/>
              </w:rPr>
              <w:t>④</w:t>
            </w:r>
            <w:r>
              <w:rPr>
                <w:rFonts w:hint="default" w:ascii="Times New Roman" w:hAnsi="Times New Roman" w:eastAsia="宋体" w:cs="Times New Roman"/>
                <w:b w:val="0"/>
                <w:bCs w:val="0"/>
                <w:color w:val="auto"/>
                <w:sz w:val="24"/>
                <w:szCs w:val="24"/>
                <w:highlight w:val="none"/>
                <w:lang w:val="en-US" w:eastAsia="zh-CN"/>
              </w:rPr>
              <w:t>双层储罐采用专业厂家制作的合格产品。</w:t>
            </w:r>
            <w:r>
              <w:rPr>
                <w:rFonts w:hint="eastAsia" w:ascii="Times New Roman" w:hAnsi="Times New Roman" w:eastAsia="宋体" w:cs="Times New Roman"/>
                <w:b w:val="0"/>
                <w:bCs w:val="0"/>
                <w:color w:val="auto"/>
                <w:sz w:val="24"/>
                <w:szCs w:val="24"/>
                <w:highlight w:val="none"/>
                <w:lang w:val="en-US" w:eastAsia="zh-CN"/>
              </w:rPr>
              <w:t>⑤</w:t>
            </w:r>
            <w:r>
              <w:rPr>
                <w:rFonts w:hint="default" w:ascii="Times New Roman" w:hAnsi="Times New Roman" w:eastAsia="宋体" w:cs="Times New Roman"/>
                <w:b w:val="0"/>
                <w:bCs w:val="0"/>
                <w:color w:val="auto"/>
                <w:sz w:val="24"/>
                <w:szCs w:val="24"/>
                <w:highlight w:val="none"/>
                <w:lang w:val="en-US" w:eastAsia="zh-CN"/>
              </w:rPr>
              <w:t>地下油罐安装1套双层罐泄漏检测仪，对各个油罐进行24小时连续监控，防止成品油泄漏造成地下水污染。</w:t>
            </w:r>
            <w:r>
              <w:rPr>
                <w:rFonts w:hint="eastAsia" w:ascii="Times New Roman" w:hAnsi="Times New Roman" w:eastAsia="宋体" w:cs="Times New Roman"/>
                <w:b w:val="0"/>
                <w:bCs w:val="0"/>
                <w:color w:val="auto"/>
                <w:sz w:val="24"/>
                <w:szCs w:val="24"/>
                <w:highlight w:val="none"/>
                <w:lang w:val="en-US" w:eastAsia="zh-CN"/>
              </w:rPr>
              <w:t>⑥</w:t>
            </w:r>
            <w:r>
              <w:rPr>
                <w:rFonts w:hint="default" w:ascii="Times New Roman" w:hAnsi="Times New Roman" w:eastAsia="宋体" w:cs="Times New Roman"/>
                <w:b w:val="0"/>
                <w:bCs w:val="0"/>
                <w:color w:val="auto"/>
                <w:sz w:val="24"/>
                <w:szCs w:val="24"/>
                <w:highlight w:val="none"/>
                <w:lang w:val="en-US" w:eastAsia="zh-CN"/>
              </w:rPr>
              <w:t>安装1套输油管线管道泄漏检测仪，对输油管线进行24小时连续监控，防止成品油泄漏造成地下水污染。</w:t>
            </w:r>
            <w:r>
              <w:rPr>
                <w:rFonts w:hint="eastAsia" w:ascii="Times New Roman" w:hAnsi="Times New Roman" w:eastAsia="宋体" w:cs="Times New Roman"/>
                <w:b w:val="0"/>
                <w:bCs w:val="0"/>
                <w:color w:val="auto"/>
                <w:sz w:val="24"/>
                <w:szCs w:val="24"/>
                <w:highlight w:val="none"/>
                <w:lang w:val="en-US" w:eastAsia="zh-CN"/>
              </w:rPr>
              <w:t>⑦</w:t>
            </w:r>
            <w:r>
              <w:rPr>
                <w:rFonts w:hint="default" w:ascii="Times New Roman" w:hAnsi="Times New Roman" w:eastAsia="宋体" w:cs="Times New Roman"/>
                <w:b w:val="0"/>
                <w:bCs w:val="0"/>
                <w:color w:val="auto"/>
                <w:sz w:val="24"/>
                <w:szCs w:val="24"/>
                <w:highlight w:val="none"/>
                <w:lang w:val="en-US" w:eastAsia="zh-CN"/>
              </w:rPr>
              <w:t>双层储罐安装1套液位监控管理系统。</w:t>
            </w:r>
            <w:r>
              <w:rPr>
                <w:rFonts w:hint="eastAsia" w:ascii="Times New Roman" w:hAnsi="Times New Roman" w:eastAsia="宋体" w:cs="Times New Roman"/>
                <w:b w:val="0"/>
                <w:bCs w:val="0"/>
                <w:color w:val="auto"/>
                <w:sz w:val="24"/>
                <w:szCs w:val="24"/>
                <w:highlight w:val="none"/>
                <w:lang w:val="en-US" w:eastAsia="zh-CN"/>
              </w:rPr>
              <w:t>⑧危废暂存间</w:t>
            </w:r>
            <w:r>
              <w:rPr>
                <w:rFonts w:hint="default" w:ascii="Times New Roman" w:hAnsi="Times New Roman" w:eastAsia="宋体" w:cs="Times New Roman"/>
                <w:b w:val="0"/>
                <w:bCs w:val="0"/>
                <w:color w:val="auto"/>
                <w:sz w:val="24"/>
                <w:szCs w:val="24"/>
                <w:highlight w:val="none"/>
                <w:lang w:val="en-US" w:eastAsia="zh-CN"/>
              </w:rPr>
              <w:t>参照《危险废物贮存污染控制标准》（GB18597-20</w:t>
            </w:r>
            <w:r>
              <w:rPr>
                <w:rFonts w:hint="eastAsia" w:ascii="Times New Roman" w:hAnsi="Times New Roman" w:eastAsia="宋体" w:cs="Times New Roman"/>
                <w:b w:val="0"/>
                <w:bCs w:val="0"/>
                <w:color w:val="auto"/>
                <w:sz w:val="24"/>
                <w:szCs w:val="24"/>
                <w:highlight w:val="none"/>
                <w:lang w:val="en-US" w:eastAsia="zh-CN"/>
              </w:rPr>
              <w:t>23</w:t>
            </w:r>
            <w:r>
              <w:rPr>
                <w:rFonts w:hint="default" w:ascii="Times New Roman" w:hAnsi="Times New Roman" w:eastAsia="宋体" w:cs="Times New Roman"/>
                <w:b w:val="0"/>
                <w:bCs w:val="0"/>
                <w:color w:val="auto"/>
                <w:sz w:val="24"/>
                <w:szCs w:val="24"/>
                <w:highlight w:val="none"/>
                <w:lang w:val="en-US" w:eastAsia="zh-CN"/>
              </w:rPr>
              <w:t>）的要求进行建设</w:t>
            </w:r>
            <w:r>
              <w:rPr>
                <w:rFonts w:hint="eastAsia" w:ascii="Times New Roman" w:hAnsi="Times New Roman" w:eastAsia="宋体" w:cs="Times New Roman"/>
                <w:b w:val="0"/>
                <w:bCs w:val="0"/>
                <w:color w:val="auto"/>
                <w:sz w:val="24"/>
                <w:szCs w:val="24"/>
                <w:highlight w:val="none"/>
                <w:lang w:val="en-US" w:eastAsia="zh-CN"/>
              </w:rPr>
              <w:t>，并设立台账，完善标识，对危险废物的名称、来源、数量、特性和包装容器的类别、入库日期、存放库位、废物出库日期及接受单位名称等进行记录。</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pPr>
            <w:r>
              <w:rPr>
                <w:rFonts w:hint="eastAsia" w:ascii="Times New Roman" w:hAnsi="Times New Roman" w:eastAsia="宋体" w:cs="Times New Roman"/>
                <w:b/>
                <w:bCs/>
                <w:color w:val="auto"/>
                <w:sz w:val="24"/>
                <w:szCs w:val="24"/>
                <w:highlight w:val="none"/>
                <w:lang w:val="en-US" w:eastAsia="zh-CN"/>
              </w:rPr>
              <w:t>环境风险防范措施</w:t>
            </w:r>
            <w:r>
              <w:rPr>
                <w:rFonts w:hint="eastAsia" w:ascii="Times New Roman" w:hAnsi="Times New Roman" w:cs="Times New Roman"/>
                <w:b/>
                <w:bCs/>
                <w:color w:val="auto"/>
                <w:sz w:val="24"/>
                <w:szCs w:val="24"/>
                <w:highlight w:val="none"/>
                <w:lang w:val="en-US" w:eastAsia="zh-CN"/>
              </w:rPr>
              <w:t>：</w:t>
            </w:r>
            <w:r>
              <w:rPr>
                <w:rFonts w:hint="eastAsia" w:ascii="Times New Roman" w:hAnsi="Times New Roman" w:eastAsia="宋体" w:cs="Times New Roman"/>
                <w:b w:val="0"/>
                <w:bCs w:val="0"/>
                <w:color w:val="auto"/>
                <w:sz w:val="24"/>
                <w:szCs w:val="24"/>
                <w:highlight w:val="none"/>
                <w:lang w:val="en-US" w:eastAsia="zh-CN"/>
              </w:rPr>
              <w:t>①</w:t>
            </w:r>
            <w:r>
              <w:rPr>
                <w:rFonts w:hint="default" w:ascii="Times New Roman" w:hAnsi="Times New Roman" w:eastAsia="宋体" w:cs="Times New Roman"/>
                <w:b w:val="0"/>
                <w:bCs w:val="0"/>
                <w:color w:val="auto"/>
                <w:sz w:val="24"/>
                <w:szCs w:val="24"/>
                <w:highlight w:val="none"/>
                <w:lang w:val="en-US" w:eastAsia="zh-CN"/>
              </w:rPr>
              <w:t>总图布置严格按照《石油化工企业设计防火规范》（GB50160-2008）和《建筑设计防火规范》（GB50016-2014）、</w:t>
            </w:r>
            <w:r>
              <w:rPr>
                <w:rFonts w:hint="eastAsia" w:ascii="Times New Roman" w:hAnsi="Times New Roman" w:eastAsia="宋体" w:cs="Times New Roman"/>
                <w:b w:val="0"/>
                <w:bCs w:val="0"/>
                <w:color w:val="auto"/>
                <w:sz w:val="24"/>
                <w:szCs w:val="24"/>
                <w:highlight w:val="none"/>
                <w:lang w:val="en-US" w:eastAsia="zh-CN"/>
              </w:rPr>
              <w:t>《汽车加油加气加氢站技术标准》（GB50156-2021）</w:t>
            </w:r>
            <w:r>
              <w:rPr>
                <w:rFonts w:hint="default" w:ascii="Times New Roman" w:hAnsi="Times New Roman" w:eastAsia="宋体" w:cs="Times New Roman"/>
                <w:b w:val="0"/>
                <w:bCs w:val="0"/>
                <w:color w:val="auto"/>
                <w:sz w:val="24"/>
                <w:szCs w:val="24"/>
                <w:highlight w:val="none"/>
                <w:lang w:val="en-US" w:eastAsia="zh-CN"/>
              </w:rPr>
              <w:t>中有关规定的要求进行建设</w:t>
            </w:r>
            <w:r>
              <w:rPr>
                <w:rFonts w:hint="eastAsia" w:ascii="Times New Roman" w:hAnsi="Times New Roman"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建立健全防火安全规章制度</w:t>
            </w:r>
            <w:r>
              <w:rPr>
                <w:rFonts w:hint="eastAsia" w:ascii="Times New Roman" w:hAnsi="Times New Roman"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采取防火防爆措施、设立报警系统</w:t>
            </w:r>
            <w:r>
              <w:rPr>
                <w:rFonts w:hint="eastAsia" w:ascii="Times New Roman" w:hAnsi="Times New Roman" w:cs="Times New Roman"/>
                <w:b w:val="0"/>
                <w:bCs w:val="0"/>
                <w:color w:val="auto"/>
                <w:sz w:val="24"/>
                <w:szCs w:val="24"/>
                <w:highlight w:val="none"/>
                <w:lang w:val="en-US" w:eastAsia="zh-CN"/>
              </w:rPr>
              <w:t>；②</w:t>
            </w:r>
            <w:r>
              <w:rPr>
                <w:rFonts w:hint="default" w:ascii="Times New Roman" w:hAnsi="Times New Roman" w:eastAsia="宋体" w:cs="Times New Roman"/>
                <w:b w:val="0"/>
                <w:bCs w:val="0"/>
                <w:color w:val="auto"/>
                <w:sz w:val="24"/>
                <w:szCs w:val="24"/>
                <w:highlight w:val="none"/>
                <w:lang w:val="en-US" w:eastAsia="zh-CN"/>
              </w:rPr>
              <w:t>加油站防爆区电气设备、器材的选型、设计安装及维护均</w:t>
            </w:r>
            <w:r>
              <w:rPr>
                <w:rFonts w:hint="eastAsia" w:ascii="Times New Roman" w:hAnsi="Times New Roman" w:cs="Times New Roman"/>
                <w:b w:val="0"/>
                <w:bCs w:val="0"/>
                <w:color w:val="auto"/>
                <w:sz w:val="24"/>
                <w:szCs w:val="24"/>
                <w:highlight w:val="none"/>
                <w:lang w:val="en-US" w:eastAsia="zh-CN"/>
              </w:rPr>
              <w:t>要</w:t>
            </w:r>
            <w:r>
              <w:rPr>
                <w:rFonts w:hint="default" w:ascii="Times New Roman" w:hAnsi="Times New Roman" w:eastAsia="宋体" w:cs="Times New Roman"/>
                <w:b w:val="0"/>
                <w:bCs w:val="0"/>
                <w:color w:val="auto"/>
                <w:sz w:val="24"/>
                <w:szCs w:val="24"/>
                <w:highlight w:val="none"/>
                <w:lang w:val="en-US" w:eastAsia="zh-CN"/>
              </w:rPr>
              <w:t>符合《爆炸火灾危电力装置设计规范》（GB50058-82）和《漏电保护器安装与运行》（GB13955-92）的规定。</w:t>
            </w:r>
            <w:r>
              <w:rPr>
                <w:rFonts w:hint="eastAsia" w:ascii="Times New Roman" w:hAnsi="Times New Roman" w:cs="Times New Roman"/>
                <w:b w:val="0"/>
                <w:bCs w:val="0"/>
                <w:color w:val="auto"/>
                <w:sz w:val="24"/>
                <w:szCs w:val="24"/>
                <w:highlight w:val="none"/>
                <w:lang w:val="en-US" w:eastAsia="zh-CN"/>
              </w:rPr>
              <w:t>③</w:t>
            </w:r>
            <w:r>
              <w:rPr>
                <w:rFonts w:hint="default" w:ascii="Times New Roman" w:hAnsi="Times New Roman" w:eastAsia="宋体" w:cs="Times New Roman"/>
                <w:b w:val="0"/>
                <w:bCs w:val="0"/>
                <w:color w:val="auto"/>
                <w:sz w:val="24"/>
                <w:szCs w:val="24"/>
                <w:highlight w:val="none"/>
                <w:lang w:val="en-US" w:eastAsia="zh-CN"/>
              </w:rPr>
              <w:t>各装置、设备、设施以及建筑物，应根据规定确定防雷等级，按国家标准和有关规定设计可靠的防雷保护装置</w:t>
            </w:r>
            <w:r>
              <w:rPr>
                <w:rFonts w:hint="eastAsia" w:ascii="Times New Roman" w:hAnsi="Times New Roman" w:cs="Times New Roman"/>
                <w:b w:val="0"/>
                <w:bCs w:val="0"/>
                <w:color w:val="auto"/>
                <w:sz w:val="24"/>
                <w:szCs w:val="24"/>
                <w:highlight w:val="none"/>
                <w:lang w:val="en-US" w:eastAsia="zh-CN"/>
              </w:rPr>
              <w:t>；④</w:t>
            </w:r>
            <w:r>
              <w:rPr>
                <w:rFonts w:hint="default" w:ascii="Times New Roman" w:hAnsi="Times New Roman" w:eastAsia="宋体" w:cs="Times New Roman"/>
                <w:b w:val="0"/>
                <w:bCs w:val="0"/>
                <w:color w:val="auto"/>
                <w:sz w:val="24"/>
                <w:szCs w:val="24"/>
                <w:highlight w:val="none"/>
                <w:lang w:val="en-US" w:eastAsia="zh-CN"/>
              </w:rPr>
              <w:t>要选择符合工艺要求、质量好的设备、管道、阀门，对可能发生的泄漏点进行经常性的检查、维护和控制，防患于未然</w:t>
            </w:r>
            <w:r>
              <w:rPr>
                <w:rFonts w:hint="eastAsia" w:ascii="Times New Roman" w:hAnsi="Times New Roman" w:cs="Times New Roman"/>
                <w:b w:val="0"/>
                <w:bCs w:val="0"/>
                <w:color w:val="auto"/>
                <w:sz w:val="24"/>
                <w:szCs w:val="24"/>
                <w:highlight w:val="none"/>
                <w:lang w:val="en-US" w:eastAsia="zh-CN"/>
              </w:rPr>
              <w:t>；⑤</w:t>
            </w:r>
            <w:r>
              <w:rPr>
                <w:rFonts w:hint="default" w:ascii="Times New Roman" w:hAnsi="Times New Roman" w:eastAsia="宋体" w:cs="Times New Roman"/>
                <w:b w:val="0"/>
                <w:bCs w:val="0"/>
                <w:color w:val="auto"/>
                <w:sz w:val="24"/>
                <w:szCs w:val="24"/>
                <w:highlight w:val="none"/>
                <w:lang w:val="en-US" w:eastAsia="zh-CN"/>
              </w:rPr>
              <w:t>油罐安装高低液位报警器，减少管线接口，油罐的进出口管道采用金属软管连接等；</w:t>
            </w:r>
            <w:r>
              <w:rPr>
                <w:rFonts w:hint="eastAsia" w:ascii="Times New Roman" w:hAnsi="Times New Roman" w:cs="Times New Roman"/>
                <w:b w:val="0"/>
                <w:bCs w:val="0"/>
                <w:color w:val="auto"/>
                <w:sz w:val="24"/>
                <w:szCs w:val="24"/>
                <w:highlight w:val="none"/>
                <w:lang w:val="en-US" w:eastAsia="zh-CN"/>
              </w:rPr>
              <w:t>⑥</w:t>
            </w:r>
            <w:r>
              <w:rPr>
                <w:rFonts w:hint="default" w:ascii="Times New Roman" w:hAnsi="Times New Roman" w:eastAsia="宋体" w:cs="Times New Roman"/>
                <w:b w:val="0"/>
                <w:bCs w:val="0"/>
                <w:color w:val="auto"/>
                <w:sz w:val="24"/>
                <w:szCs w:val="24"/>
                <w:highlight w:val="none"/>
                <w:lang w:val="en-US" w:eastAsia="zh-CN"/>
              </w:rPr>
              <w:t>各装置防静电设计应符合《石油化工静电接地设计规范》规定，各装置防静电设计应根据生产工艺要求、作业环境特点和物料的性质，采取相应的防静电措施</w:t>
            </w:r>
            <w:r>
              <w:rPr>
                <w:rFonts w:hint="eastAsia" w:ascii="Times New Roman" w:hAnsi="Times New Roman"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防火防爆区域设置危险物质浓度检测报警器；</w:t>
            </w:r>
            <w:r>
              <w:rPr>
                <w:rFonts w:hint="eastAsia" w:ascii="Times New Roman" w:hAnsi="Times New Roman" w:cs="Times New Roman"/>
                <w:b w:val="0"/>
                <w:bCs w:val="0"/>
                <w:color w:val="auto"/>
                <w:sz w:val="24"/>
                <w:szCs w:val="24"/>
                <w:highlight w:val="none"/>
                <w:lang w:val="en-US" w:eastAsia="zh-CN"/>
              </w:rPr>
              <w:t>⑦</w:t>
            </w:r>
            <w:r>
              <w:rPr>
                <w:rFonts w:hint="default" w:ascii="Times New Roman" w:hAnsi="Times New Roman" w:eastAsia="宋体" w:cs="Times New Roman"/>
                <w:b w:val="0"/>
                <w:bCs w:val="0"/>
                <w:color w:val="auto"/>
                <w:sz w:val="24"/>
                <w:szCs w:val="24"/>
                <w:highlight w:val="none"/>
                <w:lang w:val="en-US" w:eastAsia="zh-CN"/>
              </w:rPr>
              <w:t>加油作业区内，避免设有</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明火地点</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或</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散发火花地点</w:t>
            </w:r>
            <w:r>
              <w:rPr>
                <w:rFonts w:hint="eastAsia" w:ascii="Times New Roman" w:hAnsi="Times New Roman" w:eastAsia="宋体" w:cs="Times New Roman"/>
                <w:b w:val="0"/>
                <w:bCs w:val="0"/>
                <w:color w:val="auto"/>
                <w:sz w:val="24"/>
                <w:szCs w:val="24"/>
                <w:highlight w:val="none"/>
                <w:lang w:val="en-US" w:eastAsia="zh-CN"/>
              </w:rPr>
              <w:t>”</w:t>
            </w:r>
            <w:r>
              <w:rPr>
                <w:rFonts w:hint="eastAsia" w:ascii="Times New Roman" w:hAnsi="Times New Roman"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加油站的配电间布置在爆炸危险区域之外，且与爆炸危险区域边界线的距离大于3m；加油站的工艺设备与站外建（构）筑物之间，设置高度为2.2m的不燃烧体实体围墙</w:t>
            </w:r>
            <w:r>
              <w:rPr>
                <w:rFonts w:hint="eastAsia" w:ascii="Times New Roman" w:hAnsi="Times New Roman" w:cs="Times New Roman"/>
                <w:b w:val="0"/>
                <w:bCs w:val="0"/>
                <w:color w:val="auto"/>
                <w:sz w:val="24"/>
                <w:szCs w:val="24"/>
                <w:highlight w:val="none"/>
                <w:lang w:val="en-US" w:eastAsia="zh-CN"/>
              </w:rPr>
              <w:t>；⑧</w:t>
            </w:r>
            <w:r>
              <w:rPr>
                <w:rFonts w:hint="default" w:ascii="Times New Roman" w:hAnsi="Times New Roman" w:eastAsia="宋体" w:cs="Times New Roman"/>
                <w:b w:val="0"/>
                <w:bCs w:val="0"/>
                <w:color w:val="auto"/>
                <w:sz w:val="24"/>
                <w:szCs w:val="24"/>
                <w:highlight w:val="none"/>
                <w:lang w:val="en-US" w:eastAsia="zh-CN"/>
              </w:rPr>
              <w:t>油罐应采取卸油时的防满溢措施。油料达到油罐容量90%时，应能触动高液位报警装置；油料达到油罐容量95%时，应能自动停止油料继续进罐。高液位报警装置应位于工作人员便于觉察的地方</w:t>
            </w:r>
            <w:r>
              <w:rPr>
                <w:rFonts w:hint="eastAsia" w:ascii="Times New Roman" w:hAnsi="Times New Roman"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加油站油罐人孔盖上的接合管与引出井外管道的连接，宜采用金属软管过度连接（包括潜油泵出油管）</w:t>
            </w:r>
            <w:r>
              <w:rPr>
                <w:rFonts w:hint="eastAsia" w:ascii="Times New Roman" w:hAnsi="Times New Roman" w:cs="Times New Roman"/>
                <w:b w:val="0"/>
                <w:bCs w:val="0"/>
                <w:color w:val="auto"/>
                <w:sz w:val="24"/>
                <w:szCs w:val="24"/>
                <w:highlight w:val="none"/>
                <w:lang w:val="en-US" w:eastAsia="zh-CN"/>
              </w:rPr>
              <w:t>；⑨</w:t>
            </w:r>
            <w:r>
              <w:rPr>
                <w:rFonts w:hint="default" w:ascii="Times New Roman" w:hAnsi="Times New Roman" w:eastAsia="宋体" w:cs="Times New Roman"/>
                <w:b w:val="0"/>
                <w:bCs w:val="0"/>
                <w:color w:val="auto"/>
                <w:sz w:val="24"/>
                <w:szCs w:val="24"/>
                <w:highlight w:val="none"/>
                <w:lang w:val="en-US" w:eastAsia="zh-CN"/>
              </w:rPr>
              <w:t>当加油站采用油气回收系统时，汽油罐的通气管管口除应装设阻火器外，尚应装设呼吸阀。呼吸阀的工作正压宜为2KPa～3KPa，工作负压宜为1.5KPa～2KPa。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6" w:hRule="atLeast"/>
        </w:trPr>
        <w:tc>
          <w:tcPr>
            <w:tcW w:w="83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jc w:val="center"/>
              <w:rPr>
                <w:rFonts w:hint="eastAsia" w:ascii="Times New Roman" w:hAnsi="Times New Roman" w:eastAsia="宋体" w:cs="Times New Roman"/>
                <w:b w:val="0"/>
                <w:bCs w:val="0"/>
                <w:color w:val="auto"/>
                <w:kern w:val="2"/>
                <w:sz w:val="28"/>
                <w:szCs w:val="28"/>
                <w:highlight w:val="none"/>
                <w:lang w:val="en-US" w:eastAsia="zh-CN" w:bidi="ar-SA"/>
              </w:rPr>
            </w:pPr>
            <w:r>
              <w:rPr>
                <w:rFonts w:hint="eastAsia" w:ascii="Times New Roman" w:hAnsi="Times New Roman" w:eastAsia="宋体" w:cs="Times New Roman"/>
                <w:b w:val="0"/>
                <w:bCs w:val="0"/>
                <w:color w:val="auto"/>
                <w:kern w:val="2"/>
                <w:sz w:val="28"/>
                <w:szCs w:val="28"/>
                <w:highlight w:val="none"/>
                <w:lang w:val="en-US" w:eastAsia="zh-CN" w:bidi="ar-SA"/>
              </w:rPr>
              <w:t>其他环境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0"/>
              <w:jc w:val="left"/>
              <w:rPr>
                <w:rFonts w:hint="default" w:ascii="Times New Roman" w:hAnsi="Times New Roman" w:eastAsia="宋体" w:cs="Times New Roman"/>
                <w:b w:val="0"/>
                <w:bCs w:val="0"/>
                <w:color w:val="auto"/>
                <w:kern w:val="2"/>
                <w:sz w:val="24"/>
                <w:szCs w:val="24"/>
                <w:highlight w:val="none"/>
                <w:vertAlign w:val="baseline"/>
                <w:lang w:val="en-US" w:eastAsia="zh-CN" w:bidi="ar-SA"/>
              </w:rPr>
            </w:pPr>
            <w:r>
              <w:rPr>
                <w:rFonts w:hint="eastAsia" w:ascii="Times New Roman" w:hAnsi="Times New Roman" w:eastAsia="宋体" w:cs="Times New Roman"/>
                <w:b w:val="0"/>
                <w:bCs w:val="0"/>
                <w:color w:val="auto"/>
                <w:kern w:val="2"/>
                <w:sz w:val="28"/>
                <w:szCs w:val="28"/>
                <w:highlight w:val="none"/>
                <w:lang w:val="en-US" w:eastAsia="zh-CN" w:bidi="ar-SA"/>
              </w:rPr>
              <w:t>管理要求</w:t>
            </w:r>
          </w:p>
        </w:tc>
        <w:tc>
          <w:tcPr>
            <w:tcW w:w="7684"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环境管理：</w:t>
            </w:r>
            <w:r>
              <w:rPr>
                <w:rFonts w:hint="eastAsia" w:ascii="Times New Roman" w:hAnsi="Times New Roman" w:eastAsia="宋体" w:cs="Times New Roman"/>
                <w:b w:val="0"/>
                <w:bCs w:val="0"/>
                <w:color w:val="auto"/>
                <w:sz w:val="24"/>
                <w:szCs w:val="24"/>
                <w:highlight w:val="none"/>
                <w:lang w:val="en-US" w:eastAsia="zh-CN"/>
              </w:rPr>
              <w:t>设</w:t>
            </w:r>
            <w:r>
              <w:rPr>
                <w:rFonts w:hint="default" w:ascii="Times New Roman" w:hAnsi="Times New Roman" w:eastAsia="宋体" w:cs="Times New Roman"/>
                <w:b w:val="0"/>
                <w:bCs w:val="0"/>
                <w:color w:val="auto"/>
                <w:sz w:val="24"/>
                <w:szCs w:val="24"/>
                <w:highlight w:val="none"/>
                <w:lang w:val="en-US" w:eastAsia="zh-CN"/>
              </w:rPr>
              <w:t>专职环保管理人员</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专职管理环保工作及日常环境监测工作，建立、健全完善的岗位责任制度、监测分析报告制度、定期报表制度、技术管理制度等规章制度。</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建设项目竣工环境保护验收</w:t>
            </w:r>
            <w:r>
              <w:rPr>
                <w:rFonts w:hint="eastAsia" w:ascii="Times New Roman" w:hAnsi="Times New Roman" w:eastAsia="宋体" w:cs="Times New Roman"/>
                <w:b/>
                <w:bCs/>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本项目环保设施竣工验收由建设单位自主开展组织实施验收。编制验收报告，公开相关信息，接受社会监督，确保建设项目需要配套建设的环境保护设施与主体工程同时投产或者使用，并对验收内容、结论和所公开信息的真实性、准确性和完整性负责，不得在验收过程中弄虚作假。</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排污许可</w:t>
            </w:r>
            <w:r>
              <w:rPr>
                <w:rFonts w:hint="eastAsia" w:ascii="Times New Roman" w:hAnsi="Times New Roman" w:eastAsia="宋体" w:cs="Times New Roman"/>
                <w:b/>
                <w:bCs/>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根据《关于做好环境影响评价制度与排污许可制衔接相关工作的通知》（环办环评〔2017〕84号），</w:t>
            </w:r>
            <w:r>
              <w:rPr>
                <w:rFonts w:hint="eastAsia" w:ascii="Times New Roman" w:hAnsi="Times New Roman" w:eastAsia="宋体" w:cs="Times New Roman"/>
                <w:b w:val="0"/>
                <w:bCs w:val="0"/>
                <w:color w:val="auto"/>
                <w:sz w:val="24"/>
                <w:szCs w:val="24"/>
                <w:highlight w:val="none"/>
                <w:lang w:val="en-US" w:eastAsia="zh-CN"/>
              </w:rPr>
              <w:t>该</w:t>
            </w:r>
            <w:r>
              <w:rPr>
                <w:rFonts w:hint="default" w:ascii="Times New Roman" w:hAnsi="Times New Roman" w:eastAsia="宋体" w:cs="Times New Roman"/>
                <w:b w:val="0"/>
                <w:bCs w:val="0"/>
                <w:color w:val="auto"/>
                <w:sz w:val="24"/>
                <w:szCs w:val="24"/>
                <w:highlight w:val="none"/>
                <w:lang w:val="en-US" w:eastAsia="zh-CN"/>
              </w:rPr>
              <w:t>建设项目</w:t>
            </w:r>
            <w:r>
              <w:rPr>
                <w:rFonts w:hint="eastAsia" w:ascii="Times New Roman" w:hAnsi="Times New Roman" w:eastAsia="宋体" w:cs="Times New Roman"/>
                <w:b w:val="0"/>
                <w:bCs w:val="0"/>
                <w:color w:val="auto"/>
                <w:sz w:val="24"/>
                <w:szCs w:val="24"/>
                <w:highlight w:val="none"/>
                <w:lang w:val="en-US" w:eastAsia="zh-CN"/>
              </w:rPr>
              <w:t>在建成区，</w:t>
            </w:r>
            <w:r>
              <w:rPr>
                <w:rFonts w:hint="default" w:ascii="Times New Roman" w:hAnsi="Times New Roman" w:eastAsia="宋体" w:cs="Times New Roman"/>
                <w:b w:val="0"/>
                <w:bCs w:val="0"/>
                <w:color w:val="auto"/>
                <w:sz w:val="24"/>
                <w:szCs w:val="24"/>
                <w:highlight w:val="none"/>
                <w:lang w:val="en-US" w:eastAsia="zh-CN"/>
              </w:rPr>
              <w:t>发生实际排污行为之前，应当按照国家环境保护相关法律法规以及排污许可证申请与核发技术规范要求申请排污许可证，不得无证排污或不按证排污。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baseline"/>
              <w:rPr>
                <w:color w:val="auto"/>
                <w:kern w:val="0"/>
                <w:szCs w:val="21"/>
                <w:highlight w:val="none"/>
              </w:rPr>
            </w:pPr>
          </w:p>
          <w:p>
            <w:pPr>
              <w:pStyle w:val="2"/>
              <w:rPr>
                <w:rFonts w:hint="eastAsia" w:eastAsia="宋体"/>
                <w:lang w:val="en-US" w:eastAsia="zh-CN"/>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F1566"/>
    <w:rsid w:val="1DFF1566"/>
    <w:rsid w:val="3774CEBF"/>
    <w:rsid w:val="47DD51E0"/>
    <w:rsid w:val="65FEA5B5"/>
    <w:rsid w:val="77F52744"/>
    <w:rsid w:val="7C0BB0E0"/>
    <w:rsid w:val="7C3A2946"/>
    <w:rsid w:val="7EFE0A96"/>
    <w:rsid w:val="7FEBAA59"/>
    <w:rsid w:val="E7E771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style>
  <w:style w:type="paragraph" w:styleId="2">
    <w:name w:val="Body Text First Indent 2"/>
    <w:basedOn w:val="1"/>
    <w:next w:val="3"/>
    <w:qFormat/>
    <w:uiPriority w:val="0"/>
    <w:pPr>
      <w:ind w:firstLine="420" w:firstLineChars="200"/>
    </w:pPr>
    <w:rPr>
      <w:kern w:val="2"/>
      <w:sz w:val="21"/>
      <w:szCs w:val="24"/>
    </w:rPr>
  </w:style>
  <w:style w:type="paragraph" w:styleId="3">
    <w:name w:val="Body Text First Indent"/>
    <w:basedOn w:val="1"/>
    <w:next w:val="1"/>
    <w:qFormat/>
    <w:uiPriority w:val="0"/>
    <w:pPr>
      <w:widowControl w:val="0"/>
      <w:snapToGrid/>
      <w:spacing w:before="0" w:after="120" w:line="240" w:lineRule="auto"/>
      <w:ind w:right="0" w:firstLine="420" w:firstLineChars="100"/>
    </w:pPr>
    <w:rPr>
      <w:kern w:val="2"/>
      <w:sz w:val="21"/>
      <w:szCs w:val="24"/>
    </w:rPr>
  </w:style>
  <w:style w:type="paragraph" w:styleId="4">
    <w:name w:val="Normal Indent"/>
    <w:basedOn w:val="1"/>
    <w:next w:val="1"/>
    <w:qFormat/>
    <w:uiPriority w:val="0"/>
    <w:pPr>
      <w:ind w:firstLine="420"/>
    </w:pPr>
    <w:rPr>
      <w:rFonts w:eastAsia="宋体"/>
      <w:kern w:val="2"/>
      <w:sz w:val="24"/>
      <w:szCs w:val="24"/>
      <w:lang w:val="en-US" w:eastAsia="zh-CN" w:bidi="ar-SA"/>
    </w:rPr>
  </w:style>
  <w:style w:type="paragraph" w:styleId="5">
    <w:name w:val="Body Text Indent 2"/>
    <w:basedOn w:val="1"/>
    <w:qFormat/>
    <w:uiPriority w:val="0"/>
    <w:pPr>
      <w:keepNext w:val="0"/>
      <w:keepLines w:val="0"/>
      <w:widowControl w:val="0"/>
      <w:suppressLineNumbers w:val="0"/>
      <w:spacing w:before="0" w:beforeAutospacing="0" w:after="120" w:afterAutospacing="0" w:line="480" w:lineRule="auto"/>
      <w:ind w:left="0" w:leftChars="200" w:right="0"/>
      <w:jc w:val="both"/>
    </w:pPr>
    <w:rPr>
      <w:rFonts w:hint="default" w:ascii="Times New Roman" w:hAnsi="Times New Roman" w:eastAsia="宋体" w:cs="Times New Roman"/>
      <w:kern w:val="2"/>
      <w:sz w:val="24"/>
      <w:szCs w:val="20"/>
      <w:lang w:val="en-US" w:eastAsia="zh-CN" w:bidi="ar"/>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9">
    <w:name w:val="表中表"/>
    <w:basedOn w:val="1"/>
    <w:qFormat/>
    <w:uiPriority w:val="0"/>
    <w:pPr>
      <w:spacing w:line="240" w:lineRule="auto"/>
      <w:ind w:firstLine="556" w:firstLineChars="200"/>
      <w:jc w:val="both"/>
    </w:pPr>
    <w:rPr>
      <w:sz w:val="21"/>
    </w:rPr>
  </w:style>
  <w:style w:type="paragraph" w:customStyle="1" w:styleId="10">
    <w:name w:val="居中表格"/>
    <w:basedOn w:val="1"/>
    <w:qFormat/>
    <w:uiPriority w:val="0"/>
    <w:pPr>
      <w:spacing w:line="240" w:lineRule="auto"/>
      <w:ind w:left="0" w:firstLine="0" w:firstLineChars="0"/>
      <w:jc w:val="center"/>
    </w:pPr>
    <w:rPr>
      <w:rFonts w:cs="Times New Roman"/>
      <w:spacing w:val="8"/>
      <w:sz w:val="21"/>
    </w:rPr>
  </w:style>
  <w:style w:type="paragraph" w:customStyle="1" w:styleId="11">
    <w:name w:val="样式 样式 样式 小四 首行缩进:  2.25 字符 + 首行缩进:  2.25 字符 + 首行缩进:  2 字符"/>
    <w:basedOn w:val="12"/>
    <w:qFormat/>
    <w:uiPriority w:val="0"/>
  </w:style>
  <w:style w:type="paragraph" w:customStyle="1" w:styleId="12">
    <w:name w:val="样式 样式 小四 首行缩进:  2.25 字符 + 首行缩进:  2.25 字符"/>
    <w:basedOn w:val="13"/>
    <w:qFormat/>
    <w:uiPriority w:val="0"/>
  </w:style>
  <w:style w:type="paragraph" w:customStyle="1" w:styleId="13">
    <w:name w:val="样式 小四 首行缩进:  2.25 字符"/>
    <w:basedOn w:val="1"/>
    <w:qFormat/>
    <w:uiPriority w:val="0"/>
    <w:pPr>
      <w:widowControl w:val="0"/>
      <w:adjustRightInd/>
      <w:snapToGrid/>
      <w:spacing w:after="0" w:line="440" w:lineRule="exact"/>
      <w:ind w:firstLine="200" w:firstLineChars="200"/>
      <w:jc w:val="both"/>
    </w:pPr>
    <w:rPr>
      <w:rFonts w:ascii="Times New Roman" w:hAnsi="Times New Roman" w:eastAsia="宋体"/>
      <w:kern w:val="2"/>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4.33333333333333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2023-02-25T02:25:00Z</dcterms:created>
  <dc:creator>admin</dc:creator>
  <cp:lastModifiedBy>Administrator</cp:lastModifiedBy>
  <dcterms:modified xsi:type="dcterms:W3CDTF">2023-09-14T01:32:01Z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