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</w:pPr>
      <w:bookmarkStart w:id="2" w:name="_GoBack"/>
      <w:bookmarkEnd w:id="2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23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6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月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国民经济主要指标</w:t>
      </w:r>
    </w:p>
    <w:p>
      <w:pPr>
        <w:jc w:val="center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西畴县统计局   编制</w:t>
      </w:r>
    </w:p>
    <w:p>
      <w:pPr>
        <w:jc w:val="center"/>
        <w:rPr>
          <w:rFonts w:hint="default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  <w:t>目  录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简要分析………………………………………………………2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西畴县主要经济指标…………………………………4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联网直报单位…………………………………………………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(GDP)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农业……………………………………………………………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工业……………………………………………………………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固定资产投资（不含农户）…………………………………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9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房地产和建筑业………………………………………………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10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财政收支………………………………………………………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11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金融……………………………………………………………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招商引资及旅游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社会消费品零售额……………………………………………1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能源……………………………………………………………1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保险……………………………………………………………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17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1.GDP平稳运行。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根据统一核算，2023年1-6月，完成地区生产总值298104万元，同比增长8.5%。其中，第一产业增加值38858万元，同比增长3.9%，拉动GDP增长0.7个百分点；第二产业增加值115101万元，同比增长21.3%，拉动GDP增长6.9个百分点；第三产业增加值144145万元，同比增长1.9%，拉动GDP增长0.9个百分点。三次产业比重为13.0:38.6:48.4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2.农业生产持续稳定。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1-6月，实现农业总产值69430万元，同比增长4.0%，农林牧渔业增加值同比增长4.0%。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3.全部工业降幅进一步扩大。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1-6月，实现全部工业增加值同比下降21.5%。1-6月，规模以上工业增加值同比下降45.3%，较1-5月扩大15.9个百分点。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4.固定资产投资增速回落。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1-6月，固定资产投资同比增长2.0%，较1-5月下降5.4个百分点。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5.社会消费增势良好。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1-6月，完成社会消费品零售总额177889万元，同比增长10.6%，较1-5月下降1.4个百分点。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6.财政收支高位运行。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1-6月，西畴县完成财政总收入24531万元，同比增长111.8%。地方一般公共预算收入完成15435万元，同比增长128.1%；完成地方一般公共预算支出完成129008万元，同比增长12.6%。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7.金融存贷平稳增长。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6月末，西畴县金融机构存贷款余额1493895 万元，同比增长14.8%。其中，金融机构存款余额762361万元，同比增长16.9%，金融机构贷款余额731534万元，同比增长12.6%。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8.城乡收入稳步提高。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二季度城镇常住居民人均可支配收入13424元，同比增长4.7%；农村常住居民人均可支配收入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6342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元，同比增长</w:t>
      </w:r>
      <w:r>
        <w:rPr>
          <w:rFonts w:hint="eastAsia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9.6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%。</w:t>
      </w:r>
    </w:p>
    <w:p>
      <w:pPr>
        <w:pStyle w:val="28"/>
        <w:ind w:left="0" w:leftChars="0" w:firstLine="0" w:firstLineChars="0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page" w:horzAnchor="page" w:tblpX="1492" w:tblpY="2277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929"/>
        <w:gridCol w:w="1118"/>
        <w:gridCol w:w="900"/>
        <w:gridCol w:w="873"/>
        <w:gridCol w:w="832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西畴县主要经济指标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5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  <w:tc>
          <w:tcPr>
            <w:tcW w:w="87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增速%</w:t>
            </w:r>
          </w:p>
        </w:tc>
        <w:tc>
          <w:tcPr>
            <w:tcW w:w="8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增速全州排位</w:t>
            </w:r>
          </w:p>
        </w:tc>
        <w:tc>
          <w:tcPr>
            <w:tcW w:w="8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两年平均增长%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一、地区生产总值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298104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其中:第一产业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38858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3.9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5.5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115101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21.3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11.5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144145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1.9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5.0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、规模以上工业增加值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-45.3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-34.6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、固定资产投资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9.1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、社会消费品零售额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177889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-0.5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24531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111.8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-46.2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15435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128.1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-49.5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地方一般公共财政预算支出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129008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-13.6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、金融机构人民币存款余额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762361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16.9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4.2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金融机构人民币贷款余额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731534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6.2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、城镇常住居民人均可支配收入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13424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4.7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3.3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6342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5.8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、州外引进内资实际到位资金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13554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-44.6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-5.3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省外实际到位资金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12154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-45.6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-11.1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、旅游人数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万人次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79.2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-0.6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8.1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亿元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7.91</w:t>
            </w: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2.2</w:t>
            </w:r>
          </w:p>
        </w:tc>
        <w:tc>
          <w:tcPr>
            <w:tcW w:w="873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2.2</w:t>
            </w:r>
          </w:p>
        </w:tc>
        <w:tc>
          <w:tcPr>
            <w:tcW w:w="83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—</w:t>
            </w:r>
          </w:p>
        </w:tc>
        <w:tc>
          <w:tcPr>
            <w:tcW w:w="844" w:type="dxa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text" w:horzAnchor="page" w:tblpX="1334" w:tblpY="-565"/>
        <w:tblW w:w="90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1"/>
        <w:gridCol w:w="2765"/>
        <w:gridCol w:w="31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联网直报单位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19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统计联网直报调查单位</w:t>
            </w:r>
          </w:p>
        </w:tc>
        <w:tc>
          <w:tcPr>
            <w:tcW w:w="27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31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联网直报调查单位合计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（个）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37</w:t>
            </w:r>
          </w:p>
        </w:tc>
        <w:tc>
          <w:tcPr>
            <w:tcW w:w="311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15.6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14.3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（二季度）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33.3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批发和零售业（大个体）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 w:firstLine="408" w:firstLineChars="17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住宿和餐饮业（大个体）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房地产业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3191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20" w:leftChars="-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重点服务业</w:t>
            </w:r>
          </w:p>
        </w:tc>
        <w:tc>
          <w:tcPr>
            <w:tcW w:w="276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15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0.0 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7" w:right="1587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18"/>
        <w:tblOverlap w:val="never"/>
        <w:tblW w:w="90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1561"/>
        <w:gridCol w:w="1669"/>
        <w:gridCol w:w="1748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90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地区生产总值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（GDP）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206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1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4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068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6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149306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298104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270766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其中：第一产业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38858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34990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64400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115101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97557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68803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144145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138219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按行业分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农林牧渔业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39291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35407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工业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12804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28208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37172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建筑业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51641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86939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60455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批发和零售业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7946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16713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交通运输、仓储和邮政业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8689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住宿餐饮业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3527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3127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金融业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13554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12518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房地产业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13916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26163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24149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其他服务业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38481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72616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1757"/>
        <w:gridCol w:w="1391"/>
        <w:gridCol w:w="162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67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92" w:type="dxa"/>
            <w:gridSpan w:val="4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67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3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一、农业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产值（现价）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24447 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69430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62761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1.农业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8167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27469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24307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2.畜牧业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5248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6784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7082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3.林业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8423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30636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27007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4.渔业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1753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2041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1928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856 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right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</w:tbl>
    <w:tbl>
      <w:tblPr>
        <w:tblStyle w:val="11"/>
        <w:tblpPr w:leftFromText="180" w:rightFromText="180" w:vertAnchor="text" w:horzAnchor="page" w:tblpX="1589" w:tblpY="-563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30"/>
        <w:gridCol w:w="1367"/>
        <w:gridCol w:w="1618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br w:type="page"/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4" w:hRule="exact"/>
        </w:trPr>
        <w:tc>
          <w:tcPr>
            <w:tcW w:w="36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3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-79.3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规模以上工业产值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 w:bidi="ar"/>
              </w:rPr>
              <w:t>成品糖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57181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54181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2.黄金（kg）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3.商品混凝土（m³）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18245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147894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54194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  <w:lang w:val="en-US" w:eastAsia="zh-CN" w:bidi="ar"/>
              </w:rPr>
              <w:t>锑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401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5.木材加工（m³）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991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6962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7700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6.自来水（万m³）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7.砖（万块）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5117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4198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8.铝土矿（万吨）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9.铁合金（吨）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15447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10.石材（㎡）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1165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8617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5168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11.钢结构(吨）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108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12.塑木（吨）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1881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547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13.打火机（万支）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5977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13700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14.点火枪（万支）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3645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15.锌粉（吨）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922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3121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</w:tr>
    </w:tbl>
    <w:tbl>
      <w:tblPr>
        <w:tblStyle w:val="11"/>
        <w:tblpPr w:leftFromText="180" w:rightFromText="180" w:vertAnchor="text" w:horzAnchor="page" w:tblpX="1544" w:tblpY="115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5"/>
        <w:gridCol w:w="1726"/>
        <w:gridCol w:w="1861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902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固定资产投资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不含农户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25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9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2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2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808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公共管理和社会团体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26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>二产业投资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-56.7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-1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2292"/>
        <w:gridCol w:w="27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房地产和建筑业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单位：个、万元、平方米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、千元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404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29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73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房地产开发经营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（一）房地产项目个数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房地产开发投资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7668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-73.9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（二）房屋施工面积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613061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500620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其中：本年新开工面积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15162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（三）本年商品销售面积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18839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（四）本年商品销售额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9794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6508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（五）房屋待售面积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76193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39312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二、建筑业（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季度）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（一）建筑业企业个数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（二）建筑业总产值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341111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建筑工程产值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340831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安装工程产值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-89.4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11"/>
        <w:tblpPr w:leftFromText="180" w:rightFromText="180" w:vertAnchor="text" w:horzAnchor="margin" w:tblpXSpec="center" w:tblpY="2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363"/>
        <w:gridCol w:w="1450"/>
        <w:gridCol w:w="1575"/>
        <w:gridCol w:w="12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136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4248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346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36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本月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楷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上年同期累计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bookmarkStart w:id="0" w:name="OLE_LINK11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一、财政总收入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2977 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24531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11584 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中央、省级收入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1116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9096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4816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88.9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其中：上划中央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987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6319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3291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highlight w:val="none"/>
              </w:rPr>
            </w:pPr>
            <w:bookmarkStart w:id="1" w:name="OLE_LINK12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137160</wp:posOffset>
                      </wp:positionV>
                      <wp:extent cx="2775585" cy="4399280"/>
                      <wp:effectExtent l="0" t="0" r="0" b="0"/>
                      <wp:wrapNone/>
                      <wp:docPr id="1" name="Pictu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439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19" o:spid="_x0000_s1026" o:spt="1" style="position:absolute;left:0pt;margin-left:14pt;margin-top:10.8pt;height:346.4pt;width:218.55pt;z-index:251659264;mso-width-relative:page;mso-height-relative:page;" filled="f" stroked="f" coordsize="21600,21600" o:gfxdata="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ZT9tuNoAAAAJAQAADwAAAAAAAAABACAAAAAiAAAAZHJzL2Rvd25yZXYueG1s&#10;UEsBAhQAFAAAAAgAh07iQGXWGr6EAQAADwMAAA4AAAAAAAAAAQAgAAAAKQEAAGRycy9lMm9Eb2Mu&#10;eG1sUEsFBgAAAAAGAAYAWQEAAB8FAAAAAA==&#10;">
                      <v:fill on="f" focussize="0,0"/>
                      <v:stroke on="f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公共财政预算收入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1861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15435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6768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其中：税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1815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10692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3951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      财政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4743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2817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二、公共财政预算支出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29376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129008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114566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一般公共服务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2344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8694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7549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公共安全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858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3143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3155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7447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27257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26224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科学技术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文化体育与传媒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717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563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社会保障和就业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3921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23626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23858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健康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5053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18348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16898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节能环保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1111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城乡社区事务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2399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14642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8706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农林水事务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6368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21818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17134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交通运输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1464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1029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资源勘探、商业金融国土资源等事务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7775 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8616 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-9.8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highlight w:val="none"/>
          <w:lang w:val="en-US" w:eastAsia="zh-CN"/>
        </w:rPr>
        <w:sectPr>
          <w:pgSz w:w="11906" w:h="16838"/>
          <w:pgMar w:top="1417" w:right="1587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2"/>
        <w:gridCol w:w="1854"/>
        <w:gridCol w:w="2102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3082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8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1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0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762361 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652173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（一）住户存款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553936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498136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（二）单位存款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204621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143310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42.8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1.非金融企业存款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92344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46054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2.机关团体存款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112277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97256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（三）财政性存款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3766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10673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-64.7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41052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18950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116.6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农业银行存款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177670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145981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49569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19679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151.9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邮政存款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89901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84747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6.1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农村信用社存款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400403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372143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731534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649620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50964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51936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131851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119427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25482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25968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557125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487885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205702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185927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351423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301958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16.4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283101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219363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29.1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121753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107511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23574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45496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-48.2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信用社贷款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303107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277250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9.3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484" w:tblpY="15"/>
        <w:tblW w:w="8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6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招商引资及旅游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val="en-US" w:eastAsia="zh-CN"/>
              </w:rPr>
              <w:t>2季度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一、招商引资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（一）州外引进内资项目数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省内州引进项目数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（二）州外引进内资实际到位资金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13554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12154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省内州外实际到位资金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二、旅游业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旅游人数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7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万人次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79.18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8"/>
                <w:sz w:val="24"/>
                <w:szCs w:val="24"/>
                <w:highlight w:val="none"/>
                <w:lang w:eastAsia="zh-CN"/>
              </w:rPr>
              <w:t>亿元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7.91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1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12"/>
        <w:gridCol w:w="1604"/>
        <w:gridCol w:w="1771"/>
        <w:gridCol w:w="1702"/>
        <w:gridCol w:w="1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916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2512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7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0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exact"/>
          <w:jc w:val="center"/>
        </w:trPr>
        <w:tc>
          <w:tcPr>
            <w:tcW w:w="251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7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7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7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exact"/>
          <w:jc w:val="center"/>
        </w:trPr>
        <w:tc>
          <w:tcPr>
            <w:tcW w:w="251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21149 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177889 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160900 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1" w:hRule="exact"/>
          <w:jc w:val="center"/>
        </w:trPr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限上四大行业收入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exact"/>
          <w:jc w:val="center"/>
        </w:trPr>
        <w:tc>
          <w:tcPr>
            <w:tcW w:w="2512" w:type="dxa"/>
            <w:tcBorders>
              <w:top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679 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4372 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17831 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exact"/>
          <w:jc w:val="center"/>
        </w:trPr>
        <w:tc>
          <w:tcPr>
            <w:tcW w:w="251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6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1237 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10227 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10493 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exact"/>
          <w:jc w:val="center"/>
        </w:trPr>
        <w:tc>
          <w:tcPr>
            <w:tcW w:w="251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60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270 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184 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exact"/>
          <w:jc w:val="center"/>
        </w:trPr>
        <w:tc>
          <w:tcPr>
            <w:tcW w:w="2512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4.餐饮业营业额</w:t>
            </w:r>
          </w:p>
        </w:tc>
        <w:tc>
          <w:tcPr>
            <w:tcW w:w="160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281 </w:t>
            </w:r>
          </w:p>
        </w:tc>
        <w:tc>
          <w:tcPr>
            <w:tcW w:w="177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1601 </w:t>
            </w:r>
          </w:p>
        </w:tc>
        <w:tc>
          <w:tcPr>
            <w:tcW w:w="170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1281 </w:t>
            </w:r>
          </w:p>
        </w:tc>
        <w:tc>
          <w:tcPr>
            <w:tcW w:w="1571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25.1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2317"/>
        <w:gridCol w:w="2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劳动工资和居民生活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22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1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单位：人、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21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5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（二季度）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二、从业人员工资总额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（二季度）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40849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40849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平均工资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（二季度）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4234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　　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4234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13424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6342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single" w:color="auto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single" w:color="auto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101.5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3"/>
        <w:gridCol w:w="1022"/>
        <w:gridCol w:w="1447"/>
        <w:gridCol w:w="1537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763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022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1—本月累计</w:t>
            </w:r>
          </w:p>
        </w:tc>
        <w:tc>
          <w:tcPr>
            <w:tcW w:w="153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8035 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22453 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2100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9017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13348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16759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12794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17675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9071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7"/>
        <w:gridCol w:w="1909"/>
        <w:gridCol w:w="186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160" w:firstLineChars="13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7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2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3542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3614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182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1505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1619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1863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1813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1394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1100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837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727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 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331 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B02AE66-D879-4B8B-86B8-80A36F8F1737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AA89D7E-31FE-4C0B-A59B-E869CD03BB8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78324BA2-5DBF-42EC-A756-961CB5A23A75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03D16955-12D4-4010-B0E3-3F2CCFB006E6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8C05CE7-A884-4D88-8816-F011D25EFF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cs="Times New Roman"/>
        <w:sz w:val="28"/>
        <w:szCs w:val="28"/>
      </w:rPr>
    </w:pPr>
    <w:r>
      <w:rPr>
        <w:rStyle w:val="15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cs="Times New Roman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hint="eastAsia" w:cs="Times New Roman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4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VlN2RmMzg3ODk2NTI4ODBiZDZmMjYyYTY1NzgifQ=="/>
  </w:docVars>
  <w:rsids>
    <w:rsidRoot w:val="00172A27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83661A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BB7034"/>
    <w:rsid w:val="04D1795A"/>
    <w:rsid w:val="05312BC5"/>
    <w:rsid w:val="058D3726"/>
    <w:rsid w:val="05954CAA"/>
    <w:rsid w:val="05E85224"/>
    <w:rsid w:val="05F57710"/>
    <w:rsid w:val="06231973"/>
    <w:rsid w:val="062324A7"/>
    <w:rsid w:val="062F5DC9"/>
    <w:rsid w:val="0640191C"/>
    <w:rsid w:val="065226CC"/>
    <w:rsid w:val="067214D8"/>
    <w:rsid w:val="06A71B8C"/>
    <w:rsid w:val="06B06FBC"/>
    <w:rsid w:val="06CC4DF6"/>
    <w:rsid w:val="07EA21F2"/>
    <w:rsid w:val="07F42807"/>
    <w:rsid w:val="08C01EBC"/>
    <w:rsid w:val="08D547CB"/>
    <w:rsid w:val="08FE64F9"/>
    <w:rsid w:val="090B1FB3"/>
    <w:rsid w:val="0937333E"/>
    <w:rsid w:val="0950452C"/>
    <w:rsid w:val="09611307"/>
    <w:rsid w:val="09672223"/>
    <w:rsid w:val="0A612082"/>
    <w:rsid w:val="0B0E7F25"/>
    <w:rsid w:val="0BF60901"/>
    <w:rsid w:val="0C28753F"/>
    <w:rsid w:val="0C6C4DBD"/>
    <w:rsid w:val="0C754B92"/>
    <w:rsid w:val="0C8426E5"/>
    <w:rsid w:val="0D59061B"/>
    <w:rsid w:val="0D976F15"/>
    <w:rsid w:val="0DAB3996"/>
    <w:rsid w:val="0DF76381"/>
    <w:rsid w:val="0E2D382C"/>
    <w:rsid w:val="0E7F22A6"/>
    <w:rsid w:val="0E8545C1"/>
    <w:rsid w:val="0EB52E84"/>
    <w:rsid w:val="0EF8718E"/>
    <w:rsid w:val="0EFD3A80"/>
    <w:rsid w:val="0F3B10EF"/>
    <w:rsid w:val="0F8F2DA9"/>
    <w:rsid w:val="0F95643E"/>
    <w:rsid w:val="0FBB3CE3"/>
    <w:rsid w:val="10506076"/>
    <w:rsid w:val="10556D13"/>
    <w:rsid w:val="10656020"/>
    <w:rsid w:val="107D19EC"/>
    <w:rsid w:val="109B78C8"/>
    <w:rsid w:val="10AA20FA"/>
    <w:rsid w:val="10FE767A"/>
    <w:rsid w:val="11FB1C6A"/>
    <w:rsid w:val="12146087"/>
    <w:rsid w:val="12744159"/>
    <w:rsid w:val="128C01EA"/>
    <w:rsid w:val="1296184A"/>
    <w:rsid w:val="12AD2315"/>
    <w:rsid w:val="12B9026F"/>
    <w:rsid w:val="131C35D8"/>
    <w:rsid w:val="13261D94"/>
    <w:rsid w:val="1363088F"/>
    <w:rsid w:val="138B1885"/>
    <w:rsid w:val="149427C2"/>
    <w:rsid w:val="152722B2"/>
    <w:rsid w:val="153A341E"/>
    <w:rsid w:val="154B28DB"/>
    <w:rsid w:val="157151B4"/>
    <w:rsid w:val="15F94C78"/>
    <w:rsid w:val="15FC2F2C"/>
    <w:rsid w:val="16774219"/>
    <w:rsid w:val="168C2AE3"/>
    <w:rsid w:val="1733482B"/>
    <w:rsid w:val="17536053"/>
    <w:rsid w:val="176E75B0"/>
    <w:rsid w:val="17E77829"/>
    <w:rsid w:val="17F97D3B"/>
    <w:rsid w:val="189F3225"/>
    <w:rsid w:val="18D02496"/>
    <w:rsid w:val="19157D18"/>
    <w:rsid w:val="197C272D"/>
    <w:rsid w:val="198A20F4"/>
    <w:rsid w:val="198D529B"/>
    <w:rsid w:val="19DA7091"/>
    <w:rsid w:val="19E7477E"/>
    <w:rsid w:val="1A144A04"/>
    <w:rsid w:val="1AB35CBE"/>
    <w:rsid w:val="1B170B16"/>
    <w:rsid w:val="1B2A0A6C"/>
    <w:rsid w:val="1B82444E"/>
    <w:rsid w:val="1B85520A"/>
    <w:rsid w:val="1BB30511"/>
    <w:rsid w:val="1BB87138"/>
    <w:rsid w:val="1BFE2BA6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341932"/>
    <w:rsid w:val="1E546642"/>
    <w:rsid w:val="1E590F21"/>
    <w:rsid w:val="1EA00FC8"/>
    <w:rsid w:val="1EBE0030"/>
    <w:rsid w:val="1F106022"/>
    <w:rsid w:val="1F295FFF"/>
    <w:rsid w:val="1F945A49"/>
    <w:rsid w:val="1FC63C6E"/>
    <w:rsid w:val="1FD922EB"/>
    <w:rsid w:val="1FE61349"/>
    <w:rsid w:val="200F40F3"/>
    <w:rsid w:val="202260E6"/>
    <w:rsid w:val="20D15129"/>
    <w:rsid w:val="20D65D04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23153B"/>
    <w:rsid w:val="24326778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E35888"/>
    <w:rsid w:val="274A0136"/>
    <w:rsid w:val="275B6401"/>
    <w:rsid w:val="276D7075"/>
    <w:rsid w:val="27A84395"/>
    <w:rsid w:val="27AD229F"/>
    <w:rsid w:val="27CF1547"/>
    <w:rsid w:val="27D876FC"/>
    <w:rsid w:val="27FE7724"/>
    <w:rsid w:val="28224FBF"/>
    <w:rsid w:val="28AB3902"/>
    <w:rsid w:val="28CB6B5D"/>
    <w:rsid w:val="28E551DF"/>
    <w:rsid w:val="29145556"/>
    <w:rsid w:val="29351217"/>
    <w:rsid w:val="29592F3E"/>
    <w:rsid w:val="2A1B1966"/>
    <w:rsid w:val="2A4B5CAC"/>
    <w:rsid w:val="2A964B58"/>
    <w:rsid w:val="2B16517E"/>
    <w:rsid w:val="2BAB6C2E"/>
    <w:rsid w:val="2C0660CD"/>
    <w:rsid w:val="2C0A492B"/>
    <w:rsid w:val="2C152D68"/>
    <w:rsid w:val="2C61767A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1596B"/>
    <w:rsid w:val="2EAD50A4"/>
    <w:rsid w:val="2EC6482D"/>
    <w:rsid w:val="2EC73F75"/>
    <w:rsid w:val="2F6959DB"/>
    <w:rsid w:val="2FE5663F"/>
    <w:rsid w:val="30156C9E"/>
    <w:rsid w:val="304E0168"/>
    <w:rsid w:val="309F3B1F"/>
    <w:rsid w:val="30D83342"/>
    <w:rsid w:val="31274763"/>
    <w:rsid w:val="3149243E"/>
    <w:rsid w:val="314976A8"/>
    <w:rsid w:val="315C4847"/>
    <w:rsid w:val="31682E2E"/>
    <w:rsid w:val="31712A78"/>
    <w:rsid w:val="317A1C63"/>
    <w:rsid w:val="32710929"/>
    <w:rsid w:val="328929AC"/>
    <w:rsid w:val="32975EAA"/>
    <w:rsid w:val="32A22A5F"/>
    <w:rsid w:val="33086B41"/>
    <w:rsid w:val="33237E18"/>
    <w:rsid w:val="335A484E"/>
    <w:rsid w:val="336A318A"/>
    <w:rsid w:val="3374280E"/>
    <w:rsid w:val="33A10BAC"/>
    <w:rsid w:val="33A8542A"/>
    <w:rsid w:val="33CD40B2"/>
    <w:rsid w:val="33ED7EE7"/>
    <w:rsid w:val="33F35104"/>
    <w:rsid w:val="3473176A"/>
    <w:rsid w:val="34CD61FC"/>
    <w:rsid w:val="34D3510E"/>
    <w:rsid w:val="355B0286"/>
    <w:rsid w:val="35C610B8"/>
    <w:rsid w:val="35C948A2"/>
    <w:rsid w:val="35DF1CCA"/>
    <w:rsid w:val="36610B8C"/>
    <w:rsid w:val="368C026B"/>
    <w:rsid w:val="36A419B8"/>
    <w:rsid w:val="36D03CED"/>
    <w:rsid w:val="36E175D3"/>
    <w:rsid w:val="36EE015E"/>
    <w:rsid w:val="372C47A4"/>
    <w:rsid w:val="37405C87"/>
    <w:rsid w:val="376E286C"/>
    <w:rsid w:val="37D3017F"/>
    <w:rsid w:val="387257D6"/>
    <w:rsid w:val="388F5CEE"/>
    <w:rsid w:val="38B16D7D"/>
    <w:rsid w:val="38E94306"/>
    <w:rsid w:val="38FC7825"/>
    <w:rsid w:val="39002369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202F15"/>
    <w:rsid w:val="3B3837E8"/>
    <w:rsid w:val="3B664EB8"/>
    <w:rsid w:val="3BEB60BE"/>
    <w:rsid w:val="3C5714CA"/>
    <w:rsid w:val="3C660AF7"/>
    <w:rsid w:val="3C78003B"/>
    <w:rsid w:val="3C807290"/>
    <w:rsid w:val="3CB8718D"/>
    <w:rsid w:val="3CBF392E"/>
    <w:rsid w:val="3CED7C42"/>
    <w:rsid w:val="3D2E093E"/>
    <w:rsid w:val="3D7415A4"/>
    <w:rsid w:val="3D794F67"/>
    <w:rsid w:val="3DAE167E"/>
    <w:rsid w:val="3DE84042"/>
    <w:rsid w:val="3E0148B1"/>
    <w:rsid w:val="3E6B6A89"/>
    <w:rsid w:val="3E890B9C"/>
    <w:rsid w:val="3EE50A82"/>
    <w:rsid w:val="3F0E65FB"/>
    <w:rsid w:val="3FEB101D"/>
    <w:rsid w:val="403D0AD4"/>
    <w:rsid w:val="40500EBE"/>
    <w:rsid w:val="40CA7D7C"/>
    <w:rsid w:val="40CE4715"/>
    <w:rsid w:val="411D6A5D"/>
    <w:rsid w:val="41475B10"/>
    <w:rsid w:val="414803DC"/>
    <w:rsid w:val="419E10BF"/>
    <w:rsid w:val="419F6F8A"/>
    <w:rsid w:val="41B76594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1D64F6"/>
    <w:rsid w:val="46996F4B"/>
    <w:rsid w:val="46D203DA"/>
    <w:rsid w:val="46FC5937"/>
    <w:rsid w:val="479B0522"/>
    <w:rsid w:val="47A45AA1"/>
    <w:rsid w:val="47A97C62"/>
    <w:rsid w:val="480B63CF"/>
    <w:rsid w:val="481C3ACF"/>
    <w:rsid w:val="48F4053D"/>
    <w:rsid w:val="49152A0A"/>
    <w:rsid w:val="4923096F"/>
    <w:rsid w:val="4956788D"/>
    <w:rsid w:val="49636B12"/>
    <w:rsid w:val="49674FC7"/>
    <w:rsid w:val="49961E1D"/>
    <w:rsid w:val="4A284D6B"/>
    <w:rsid w:val="4A433E8E"/>
    <w:rsid w:val="4A7C38DE"/>
    <w:rsid w:val="4A81664D"/>
    <w:rsid w:val="4A8A5A1E"/>
    <w:rsid w:val="4AA81FCA"/>
    <w:rsid w:val="4B1E4BE0"/>
    <w:rsid w:val="4B2256EF"/>
    <w:rsid w:val="4B6C4E75"/>
    <w:rsid w:val="4B7F5982"/>
    <w:rsid w:val="4BBC1BF8"/>
    <w:rsid w:val="4BC76785"/>
    <w:rsid w:val="4BD7779F"/>
    <w:rsid w:val="4C075D4B"/>
    <w:rsid w:val="4C767BD5"/>
    <w:rsid w:val="4C7E73A7"/>
    <w:rsid w:val="4C8D4EBC"/>
    <w:rsid w:val="4CF968FE"/>
    <w:rsid w:val="4D2450F0"/>
    <w:rsid w:val="4D9277B0"/>
    <w:rsid w:val="4E1E6BF2"/>
    <w:rsid w:val="4E821F2D"/>
    <w:rsid w:val="4E89583B"/>
    <w:rsid w:val="4F1C20D4"/>
    <w:rsid w:val="4F3B323C"/>
    <w:rsid w:val="4F590315"/>
    <w:rsid w:val="4F5972FA"/>
    <w:rsid w:val="4F96751E"/>
    <w:rsid w:val="4FAF10E3"/>
    <w:rsid w:val="4FBA57BC"/>
    <w:rsid w:val="505C1CA3"/>
    <w:rsid w:val="507014CA"/>
    <w:rsid w:val="50817072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B4C20"/>
    <w:rsid w:val="556C2A71"/>
    <w:rsid w:val="556E1AF8"/>
    <w:rsid w:val="56131C96"/>
    <w:rsid w:val="565C29A7"/>
    <w:rsid w:val="56D85521"/>
    <w:rsid w:val="57152C06"/>
    <w:rsid w:val="5744167C"/>
    <w:rsid w:val="574C0F05"/>
    <w:rsid w:val="578D120F"/>
    <w:rsid w:val="57C46FB9"/>
    <w:rsid w:val="57EE5DDF"/>
    <w:rsid w:val="58A3424F"/>
    <w:rsid w:val="58FF77F4"/>
    <w:rsid w:val="5904371C"/>
    <w:rsid w:val="59360FA9"/>
    <w:rsid w:val="598445FA"/>
    <w:rsid w:val="59D75A09"/>
    <w:rsid w:val="5A247C32"/>
    <w:rsid w:val="5A717F36"/>
    <w:rsid w:val="5ABF077A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C5785"/>
    <w:rsid w:val="5D016A58"/>
    <w:rsid w:val="5D180554"/>
    <w:rsid w:val="5D8B7789"/>
    <w:rsid w:val="5DDE7D56"/>
    <w:rsid w:val="5EAD4CDD"/>
    <w:rsid w:val="5F377AFB"/>
    <w:rsid w:val="5FB33D4F"/>
    <w:rsid w:val="5FC97C2E"/>
    <w:rsid w:val="5FD202ED"/>
    <w:rsid w:val="600D534A"/>
    <w:rsid w:val="6033712B"/>
    <w:rsid w:val="60DC41B9"/>
    <w:rsid w:val="60DF19E3"/>
    <w:rsid w:val="61220591"/>
    <w:rsid w:val="61240EB1"/>
    <w:rsid w:val="61CB488B"/>
    <w:rsid w:val="61D602F3"/>
    <w:rsid w:val="61DF50C2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1B4E92"/>
    <w:rsid w:val="666F1DE3"/>
    <w:rsid w:val="6679214B"/>
    <w:rsid w:val="66D61E17"/>
    <w:rsid w:val="670334C3"/>
    <w:rsid w:val="673D5E69"/>
    <w:rsid w:val="67453245"/>
    <w:rsid w:val="67516216"/>
    <w:rsid w:val="67744D5D"/>
    <w:rsid w:val="67A74BA6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AE6A95"/>
    <w:rsid w:val="6CC74FC7"/>
    <w:rsid w:val="6CEA6537"/>
    <w:rsid w:val="6CFB7CDE"/>
    <w:rsid w:val="6D3D6991"/>
    <w:rsid w:val="6D7E0BE9"/>
    <w:rsid w:val="6D7F0517"/>
    <w:rsid w:val="6D8608FC"/>
    <w:rsid w:val="6E795B85"/>
    <w:rsid w:val="6EB30896"/>
    <w:rsid w:val="6ECD1366"/>
    <w:rsid w:val="6ED603D4"/>
    <w:rsid w:val="6EDC6807"/>
    <w:rsid w:val="6F202EE2"/>
    <w:rsid w:val="6F643BA2"/>
    <w:rsid w:val="6FA9195D"/>
    <w:rsid w:val="6FB12A76"/>
    <w:rsid w:val="6FF9248B"/>
    <w:rsid w:val="7022207B"/>
    <w:rsid w:val="70803CE0"/>
    <w:rsid w:val="70DA60AB"/>
    <w:rsid w:val="71436346"/>
    <w:rsid w:val="715F731D"/>
    <w:rsid w:val="716807C8"/>
    <w:rsid w:val="71B07349"/>
    <w:rsid w:val="71BB0AC8"/>
    <w:rsid w:val="71EE4E62"/>
    <w:rsid w:val="72122206"/>
    <w:rsid w:val="72446CF4"/>
    <w:rsid w:val="729102A7"/>
    <w:rsid w:val="72D54373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C43761"/>
    <w:rsid w:val="75EB59C1"/>
    <w:rsid w:val="762D1300"/>
    <w:rsid w:val="76750E15"/>
    <w:rsid w:val="76863D06"/>
    <w:rsid w:val="77161E07"/>
    <w:rsid w:val="7747784E"/>
    <w:rsid w:val="77A87528"/>
    <w:rsid w:val="7814097C"/>
    <w:rsid w:val="78220224"/>
    <w:rsid w:val="78506B1C"/>
    <w:rsid w:val="789D4245"/>
    <w:rsid w:val="78C25DA2"/>
    <w:rsid w:val="7914087C"/>
    <w:rsid w:val="79B64416"/>
    <w:rsid w:val="7A0B4E0A"/>
    <w:rsid w:val="7A740F00"/>
    <w:rsid w:val="7A7C5D8C"/>
    <w:rsid w:val="7A977887"/>
    <w:rsid w:val="7AA57BBF"/>
    <w:rsid w:val="7AC21849"/>
    <w:rsid w:val="7B076A95"/>
    <w:rsid w:val="7B385380"/>
    <w:rsid w:val="7B5F3384"/>
    <w:rsid w:val="7BDE7B76"/>
    <w:rsid w:val="7BF41DB7"/>
    <w:rsid w:val="7D3028BD"/>
    <w:rsid w:val="7D3444AA"/>
    <w:rsid w:val="7D8D6446"/>
    <w:rsid w:val="7DAF4F9F"/>
    <w:rsid w:val="7DCA4F70"/>
    <w:rsid w:val="7DD2072C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11228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0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19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Arial Unicode MS"/>
      <w:sz w:val="32"/>
      <w:szCs w:val="24"/>
    </w:rPr>
  </w:style>
  <w:style w:type="paragraph" w:styleId="4">
    <w:name w:val="toa heading"/>
    <w:basedOn w:val="1"/>
    <w:next w:val="1"/>
    <w:qFormat/>
    <w:locked/>
    <w:uiPriority w:val="0"/>
    <w:pPr>
      <w:spacing w:afterLines="100"/>
    </w:pPr>
    <w:rPr>
      <w:rFonts w:ascii="Arial" w:hAnsi="Arial" w:eastAsia="仿宋"/>
      <w:sz w:val="32"/>
      <w:szCs w:val="22"/>
    </w:rPr>
  </w:style>
  <w:style w:type="paragraph" w:styleId="5">
    <w:name w:val="annotation text"/>
    <w:basedOn w:val="1"/>
    <w:link w:val="20"/>
    <w:semiHidden/>
    <w:qFormat/>
    <w:uiPriority w:val="99"/>
    <w:pPr>
      <w:jc w:val="left"/>
    </w:pPr>
  </w:style>
  <w:style w:type="paragraph" w:styleId="6">
    <w:name w:val="Balloon Text"/>
    <w:basedOn w:val="1"/>
    <w:link w:val="21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5"/>
    <w:next w:val="5"/>
    <w:link w:val="24"/>
    <w:semiHidden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locked/>
    <w:uiPriority w:val="99"/>
  </w:style>
  <w:style w:type="character" w:styleId="16">
    <w:name w:val="FollowedHyperlink"/>
    <w:basedOn w:val="13"/>
    <w:unhideWhenUsed/>
    <w:qFormat/>
    <w:locked/>
    <w:uiPriority w:val="99"/>
    <w:rPr>
      <w:color w:val="000000"/>
      <w:u w:val="none"/>
    </w:rPr>
  </w:style>
  <w:style w:type="character" w:styleId="17">
    <w:name w:val="Hyperlink"/>
    <w:qFormat/>
    <w:uiPriority w:val="99"/>
    <w:rPr>
      <w:color w:val="000000"/>
      <w:u w:val="none"/>
    </w:rPr>
  </w:style>
  <w:style w:type="character" w:styleId="18">
    <w:name w:val="annotation reference"/>
    <w:semiHidden/>
    <w:qFormat/>
    <w:uiPriority w:val="99"/>
    <w:rPr>
      <w:sz w:val="21"/>
      <w:szCs w:val="21"/>
    </w:rPr>
  </w:style>
  <w:style w:type="character" w:customStyle="1" w:styleId="19">
    <w:name w:val="标题 3 字符"/>
    <w:link w:val="3"/>
    <w:semiHidden/>
    <w:qFormat/>
    <w:locked/>
    <w:uiPriority w:val="99"/>
    <w:rPr>
      <w:b/>
      <w:bCs/>
      <w:sz w:val="32"/>
      <w:szCs w:val="32"/>
    </w:rPr>
  </w:style>
  <w:style w:type="character" w:customStyle="1" w:styleId="20">
    <w:name w:val="批注文字 字符"/>
    <w:link w:val="5"/>
    <w:qFormat/>
    <w:locked/>
    <w:uiPriority w:val="99"/>
    <w:rPr>
      <w:kern w:val="2"/>
      <w:sz w:val="24"/>
      <w:szCs w:val="24"/>
    </w:rPr>
  </w:style>
  <w:style w:type="character" w:customStyle="1" w:styleId="21">
    <w:name w:val="批注框文本 字符"/>
    <w:link w:val="6"/>
    <w:qFormat/>
    <w:locked/>
    <w:uiPriority w:val="99"/>
    <w:rPr>
      <w:kern w:val="2"/>
      <w:sz w:val="18"/>
      <w:szCs w:val="18"/>
    </w:rPr>
  </w:style>
  <w:style w:type="character" w:customStyle="1" w:styleId="22">
    <w:name w:val="页脚 字符"/>
    <w:link w:val="7"/>
    <w:qFormat/>
    <w:locked/>
    <w:uiPriority w:val="99"/>
    <w:rPr>
      <w:kern w:val="2"/>
      <w:sz w:val="18"/>
      <w:szCs w:val="18"/>
    </w:rPr>
  </w:style>
  <w:style w:type="character" w:customStyle="1" w:styleId="23">
    <w:name w:val="页眉 字符"/>
    <w:link w:val="8"/>
    <w:qFormat/>
    <w:locked/>
    <w:uiPriority w:val="99"/>
    <w:rPr>
      <w:kern w:val="2"/>
      <w:sz w:val="18"/>
      <w:szCs w:val="18"/>
    </w:rPr>
  </w:style>
  <w:style w:type="character" w:customStyle="1" w:styleId="24">
    <w:name w:val="批注主题 字符"/>
    <w:link w:val="10"/>
    <w:qFormat/>
    <w:locked/>
    <w:uiPriority w:val="99"/>
    <w:rPr>
      <w:b/>
      <w:bCs/>
      <w:kern w:val="2"/>
      <w:sz w:val="24"/>
      <w:szCs w:val="24"/>
    </w:rPr>
  </w:style>
  <w:style w:type="character" w:customStyle="1" w:styleId="25">
    <w:name w:val="font41"/>
    <w:basedOn w:val="13"/>
    <w:qFormat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6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8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9">
    <w:name w:val="正文 + 小四号 首行缩进:  2 字符"/>
    <w:basedOn w:val="1"/>
    <w:qFormat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30">
    <w:name w:val="font81"/>
    <w:basedOn w:val="1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1">
    <w:name w:val="font11"/>
    <w:basedOn w:val="13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3308</Words>
  <Characters>5374</Characters>
  <Lines>24</Lines>
  <Paragraphs>6</Paragraphs>
  <TotalTime>2</TotalTime>
  <ScaleCrop>false</ScaleCrop>
  <LinksUpToDate>false</LinksUpToDate>
  <CharactersWithSpaces>6019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2022-04-29T06:48:00Z</cp:lastPrinted>
  <dcterms:modified xsi:type="dcterms:W3CDTF">2023-08-08T02:46:58Z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2F4E501821AC43B98411C867F101B37B_13</vt:lpwstr>
  </property>
</Properties>
</file>