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pacing w:val="-20"/>
          <w:sz w:val="44"/>
          <w:szCs w:val="44"/>
          <w:lang w:eastAsia="zh-CN"/>
        </w:rPr>
      </w:pPr>
      <w:r>
        <w:rPr>
          <w:rFonts w:hint="default" w:ascii="Times New Roman" w:hAnsi="Times New Roman" w:eastAsia="方正小标宋_GBK" w:cs="Times New Roman"/>
          <w:spacing w:val="-20"/>
          <w:sz w:val="44"/>
          <w:szCs w:val="44"/>
          <w:lang w:eastAsia="zh-CN"/>
        </w:rPr>
        <w:t>广南（那洒）至西畴（兴街）高速公路土建</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pacing w:val="-20"/>
          <w:sz w:val="44"/>
          <w:szCs w:val="44"/>
          <w:lang w:eastAsia="zh-CN"/>
        </w:rPr>
      </w:pPr>
      <w:r>
        <w:rPr>
          <w:rFonts w:hint="default" w:ascii="Times New Roman" w:hAnsi="Times New Roman" w:eastAsia="方正小标宋_GBK" w:cs="Times New Roman"/>
          <w:spacing w:val="-20"/>
          <w:sz w:val="44"/>
          <w:szCs w:val="44"/>
          <w:lang w:eastAsia="zh-CN"/>
        </w:rPr>
        <w:t>十三分部混凝土拌合站建设项目</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sz w:val="44"/>
          <w:szCs w:val="44"/>
          <w:shd w:val="clear" w:color="auto" w:fill="FFFFFF"/>
          <w:lang w:eastAsia="zh-CN"/>
        </w:rPr>
      </w:pPr>
      <w:r>
        <w:rPr>
          <w:rFonts w:hint="eastAsia" w:ascii="Times New Roman" w:hAnsi="Times New Roman" w:eastAsia="方正小标宋_GBK" w:cs="Times New Roman"/>
          <w:spacing w:val="-20"/>
          <w:sz w:val="44"/>
          <w:szCs w:val="44"/>
          <w:lang w:eastAsia="zh-CN"/>
        </w:rPr>
        <w:t>环境影响评价</w:t>
      </w:r>
      <w:r>
        <w:rPr>
          <w:rFonts w:hint="eastAsia" w:eastAsia="方正小标宋_GBK" w:cs="Times New Roman"/>
          <w:spacing w:val="-20"/>
          <w:sz w:val="44"/>
          <w:szCs w:val="44"/>
          <w:lang w:eastAsia="zh-CN"/>
        </w:rPr>
        <w:t>拟审批公示</w:t>
      </w:r>
      <w:bookmarkStart w:id="0" w:name="_GoBack"/>
      <w:bookmarkEnd w:id="0"/>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cs="方正仿宋简体"/>
          <w:color w:val="000000"/>
          <w:sz w:val="32"/>
          <w:szCs w:val="32"/>
          <w:shd w:val="clear" w:color="auto" w:fill="FFFFFF"/>
          <w:lang w:eastAsia="zh-CN"/>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sz w:val="32"/>
          <w:szCs w:val="32"/>
          <w:shd w:val="clear" w:color="auto" w:fill="FFFFFF"/>
          <w:lang w:eastAsia="zh-CN"/>
        </w:rPr>
      </w:pPr>
      <w:r>
        <w:rPr>
          <w:rFonts w:hint="eastAsia" w:ascii="方正仿宋_GBK" w:hAnsi="方正仿宋_GBK" w:eastAsia="方正仿宋_GBK" w:cs="方正仿宋_GBK"/>
          <w:color w:val="000000"/>
          <w:sz w:val="32"/>
          <w:szCs w:val="32"/>
          <w:shd w:val="clear" w:color="auto" w:fill="FFFFFF"/>
          <w:lang w:eastAsia="zh-CN"/>
        </w:rPr>
        <w:t>我局拟对《广南（那洒）至西畴（兴街）高速公路土建十三分部混凝土拌合站建设项目环境影响报告表》进行审批，现就项目环评相关情况予以公示。如有意见，请在公示期内向我局来信来电进行反映。</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sz w:val="32"/>
          <w:szCs w:val="32"/>
          <w:shd w:val="clear" w:color="auto" w:fill="FFFFFF"/>
          <w:lang w:eastAsia="zh-CN"/>
        </w:rPr>
      </w:pPr>
      <w:r>
        <w:rPr>
          <w:rFonts w:hint="eastAsia" w:ascii="方正仿宋_GBK" w:hAnsi="方正仿宋_GBK" w:eastAsia="方正仿宋_GBK" w:cs="方正仿宋_GBK"/>
          <w:color w:val="000000"/>
          <w:sz w:val="32"/>
          <w:szCs w:val="32"/>
          <w:shd w:val="clear" w:color="auto" w:fill="FFFFFF"/>
          <w:lang w:eastAsia="zh-CN"/>
        </w:rPr>
        <w:t>公示期：</w:t>
      </w:r>
      <w:r>
        <w:rPr>
          <w:rFonts w:hint="eastAsia" w:ascii="Times New Roman" w:hAnsi="Times New Roman" w:eastAsia="方正仿宋_GBK" w:cs="Times New Roman"/>
          <w:bCs/>
          <w:sz w:val="32"/>
          <w:szCs w:val="32"/>
          <w:lang w:eastAsia="zh-CN"/>
        </w:rPr>
        <w:t>202</w:t>
      </w:r>
      <w:r>
        <w:rPr>
          <w:rFonts w:hint="eastAsia" w:ascii="Times New Roman" w:hAnsi="Times New Roman" w:eastAsia="方正仿宋_GBK" w:cs="Times New Roman"/>
          <w:bCs/>
          <w:sz w:val="32"/>
          <w:szCs w:val="32"/>
          <w:lang w:val="en-US" w:eastAsia="zh-CN"/>
        </w:rPr>
        <w:t>2</w:t>
      </w:r>
      <w:r>
        <w:rPr>
          <w:rFonts w:hint="eastAsia" w:ascii="方正仿宋_GBK" w:hAnsi="方正仿宋_GBK" w:eastAsia="方正仿宋_GBK" w:cs="方正仿宋_GBK"/>
          <w:color w:val="000000"/>
          <w:sz w:val="32"/>
          <w:szCs w:val="32"/>
          <w:shd w:val="clear" w:color="auto" w:fill="FFFFFF"/>
          <w:lang w:eastAsia="zh-CN"/>
        </w:rPr>
        <w:t>年</w:t>
      </w:r>
      <w:r>
        <w:rPr>
          <w:rFonts w:hint="eastAsia" w:ascii="Times New Roman" w:hAnsi="Times New Roman" w:eastAsia="方正仿宋_GBK" w:cs="Times New Roman"/>
          <w:bCs/>
          <w:sz w:val="32"/>
          <w:szCs w:val="32"/>
          <w:lang w:val="en-US" w:eastAsia="zh-CN"/>
        </w:rPr>
        <w:t>6</w:t>
      </w:r>
      <w:r>
        <w:rPr>
          <w:rFonts w:hint="eastAsia" w:ascii="方正仿宋_GBK" w:hAnsi="方正仿宋_GBK" w:eastAsia="方正仿宋_GBK" w:cs="方正仿宋_GBK"/>
          <w:color w:val="000000"/>
          <w:sz w:val="32"/>
          <w:szCs w:val="32"/>
          <w:shd w:val="clear" w:color="auto" w:fill="FFFFFF"/>
          <w:lang w:eastAsia="zh-CN"/>
        </w:rPr>
        <w:t>月</w:t>
      </w:r>
      <w:r>
        <w:rPr>
          <w:rFonts w:hint="eastAsia" w:ascii="Times New Roman" w:hAnsi="Times New Roman" w:eastAsia="方正仿宋_GBK" w:cs="Times New Roman"/>
          <w:bCs/>
          <w:sz w:val="32"/>
          <w:szCs w:val="32"/>
          <w:lang w:val="en-US" w:eastAsia="zh-CN"/>
        </w:rPr>
        <w:t>19</w:t>
      </w:r>
      <w:r>
        <w:rPr>
          <w:rFonts w:hint="eastAsia" w:ascii="Times New Roman" w:hAnsi="Times New Roman" w:eastAsia="方正仿宋_GBK" w:cs="Times New Roman"/>
          <w:bCs/>
          <w:sz w:val="32"/>
          <w:szCs w:val="32"/>
          <w:lang w:eastAsia="zh-CN"/>
        </w:rPr>
        <w:t>日</w:t>
      </w:r>
      <w:r>
        <w:rPr>
          <w:rFonts w:hint="eastAsia" w:ascii="方正仿宋_GBK" w:hAnsi="方正仿宋_GBK" w:eastAsia="方正仿宋_GBK" w:cs="方正仿宋_GBK"/>
          <w:color w:val="000000"/>
          <w:sz w:val="32"/>
          <w:szCs w:val="32"/>
          <w:shd w:val="clear" w:color="auto" w:fill="FFFFFF"/>
          <w:lang w:eastAsia="zh-CN"/>
        </w:rPr>
        <w:t>至</w:t>
      </w:r>
      <w:r>
        <w:rPr>
          <w:rFonts w:hint="eastAsia" w:ascii="Times New Roman" w:hAnsi="Times New Roman" w:eastAsia="方正仿宋_GBK" w:cs="Times New Roman"/>
          <w:bCs/>
          <w:sz w:val="32"/>
          <w:szCs w:val="32"/>
          <w:lang w:eastAsia="zh-CN"/>
        </w:rPr>
        <w:t>20</w:t>
      </w:r>
      <w:r>
        <w:rPr>
          <w:rFonts w:hint="eastAsia" w:ascii="Times New Roman" w:hAnsi="Times New Roman" w:eastAsia="方正仿宋_GBK" w:cs="Times New Roman"/>
          <w:bCs/>
          <w:sz w:val="32"/>
          <w:szCs w:val="32"/>
          <w:lang w:val="en-US" w:eastAsia="zh-CN"/>
        </w:rPr>
        <w:t>22</w:t>
      </w:r>
      <w:r>
        <w:rPr>
          <w:rFonts w:hint="eastAsia" w:ascii="Times New Roman" w:hAnsi="Times New Roman" w:eastAsia="方正仿宋_GBK" w:cs="Times New Roman"/>
          <w:bCs/>
          <w:sz w:val="32"/>
          <w:szCs w:val="32"/>
          <w:lang w:eastAsia="zh-CN"/>
        </w:rPr>
        <w:t>年</w:t>
      </w:r>
      <w:r>
        <w:rPr>
          <w:rFonts w:hint="eastAsia" w:ascii="Times New Roman" w:hAnsi="Times New Roman" w:eastAsia="方正仿宋_GBK" w:cs="Times New Roman"/>
          <w:bCs/>
          <w:sz w:val="32"/>
          <w:szCs w:val="32"/>
          <w:lang w:val="en-US" w:eastAsia="zh-CN"/>
        </w:rPr>
        <w:t>6</w:t>
      </w:r>
      <w:r>
        <w:rPr>
          <w:rFonts w:hint="eastAsia" w:ascii="Times New Roman" w:hAnsi="Times New Roman" w:eastAsia="方正仿宋_GBK" w:cs="Times New Roman"/>
          <w:bCs/>
          <w:sz w:val="32"/>
          <w:szCs w:val="32"/>
          <w:lang w:eastAsia="zh-CN"/>
        </w:rPr>
        <w:t>月</w:t>
      </w:r>
      <w:r>
        <w:rPr>
          <w:rFonts w:hint="eastAsia" w:ascii="Times New Roman" w:hAnsi="Times New Roman" w:eastAsia="方正仿宋_GBK" w:cs="Times New Roman"/>
          <w:bCs/>
          <w:sz w:val="32"/>
          <w:szCs w:val="32"/>
          <w:lang w:val="en-US" w:eastAsia="zh-CN"/>
        </w:rPr>
        <w:t>26</w:t>
      </w:r>
      <w:r>
        <w:rPr>
          <w:rFonts w:hint="eastAsia" w:ascii="Times New Roman" w:hAnsi="Times New Roman" w:eastAsia="方正仿宋_GBK" w:cs="Times New Roman"/>
          <w:bCs/>
          <w:sz w:val="32"/>
          <w:szCs w:val="32"/>
          <w:lang w:eastAsia="zh-CN"/>
        </w:rPr>
        <w:t>日</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sz w:val="32"/>
          <w:szCs w:val="32"/>
          <w:shd w:val="clear" w:color="auto" w:fill="FFFFFF"/>
          <w:lang w:eastAsia="zh-CN"/>
        </w:rPr>
      </w:pPr>
      <w:r>
        <w:rPr>
          <w:rFonts w:hint="eastAsia" w:ascii="方正仿宋_GBK" w:hAnsi="方正仿宋_GBK" w:eastAsia="方正仿宋_GBK" w:cs="方正仿宋_GBK"/>
          <w:color w:val="000000"/>
          <w:sz w:val="32"/>
          <w:szCs w:val="32"/>
          <w:shd w:val="clear" w:color="auto" w:fill="FFFFFF"/>
          <w:lang w:eastAsia="zh-CN"/>
        </w:rPr>
        <w:t>联系地址：文山州生态环境局西畴分局法规与行政审批股</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sz w:val="32"/>
          <w:szCs w:val="32"/>
          <w:shd w:val="clear" w:color="auto" w:fill="FFFFFF"/>
          <w:lang w:eastAsia="zh-CN"/>
        </w:rPr>
      </w:pPr>
      <w:r>
        <w:rPr>
          <w:rFonts w:hint="eastAsia" w:ascii="方正仿宋_GBK" w:hAnsi="方正仿宋_GBK" w:eastAsia="方正仿宋_GBK" w:cs="方正仿宋_GBK"/>
          <w:color w:val="000000"/>
          <w:sz w:val="32"/>
          <w:szCs w:val="32"/>
          <w:shd w:val="clear" w:color="auto" w:fill="FFFFFF"/>
          <w:lang w:eastAsia="zh-CN"/>
        </w:rPr>
        <w:t>联系电话：</w:t>
      </w:r>
      <w:r>
        <w:rPr>
          <w:rFonts w:hint="eastAsia" w:ascii="Times New Roman" w:hAnsi="Times New Roman" w:eastAsia="方正仿宋_GBK" w:cs="Times New Roman"/>
          <w:bCs/>
          <w:sz w:val="32"/>
          <w:szCs w:val="32"/>
          <w:lang w:eastAsia="zh-CN"/>
        </w:rPr>
        <w:t>0876-3032248</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sz w:val="32"/>
          <w:szCs w:val="32"/>
          <w:shd w:val="clear" w:color="auto" w:fill="FFFFFF"/>
          <w:lang w:eastAsia="zh-CN"/>
        </w:rPr>
      </w:pPr>
      <w:r>
        <w:rPr>
          <w:rFonts w:hint="eastAsia" w:ascii="方正仿宋_GBK" w:hAnsi="方正仿宋_GBK" w:eastAsia="方正仿宋_GBK" w:cs="方正仿宋_GBK"/>
          <w:color w:val="000000"/>
          <w:sz w:val="32"/>
          <w:szCs w:val="32"/>
          <w:shd w:val="clear" w:color="auto" w:fill="FFFFFF"/>
          <w:lang w:eastAsia="zh-CN"/>
        </w:rPr>
        <w:t>听证告知：依据《中华人民共和国行政许可法》，自公示之日起五个工作日内申请人、利害关系人可对以下拟作出的建设项目环境影响评价文件批复决定提出听证申请。</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仿宋" w:hAnsi="仿宋" w:eastAsia="仿宋" w:cs="方正仿宋简体"/>
          <w:color w:val="000000"/>
          <w:sz w:val="32"/>
          <w:szCs w:val="32"/>
          <w:shd w:val="clear" w:color="auto" w:fill="FFFFFF"/>
          <w:lang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840" w:rightChars="400"/>
        <w:jc w:val="right"/>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文山州生态环境局西畴分局</w:t>
      </w:r>
    </w:p>
    <w:p>
      <w:pPr>
        <w:keepNext w:val="0"/>
        <w:keepLines w:val="0"/>
        <w:pageBreakBefore w:val="0"/>
        <w:widowControl w:val="0"/>
        <w:kinsoku/>
        <w:wordWrap w:val="0"/>
        <w:overflowPunct/>
        <w:topLinePunct w:val="0"/>
        <w:autoSpaceDE/>
        <w:autoSpaceDN/>
        <w:bidi w:val="0"/>
        <w:adjustRightInd/>
        <w:snapToGrid/>
        <w:spacing w:line="560" w:lineRule="exact"/>
        <w:ind w:right="840" w:rightChars="400"/>
        <w:jc w:val="right"/>
        <w:textAlignment w:val="auto"/>
        <w:rPr>
          <w:rFonts w:hint="eastAsia" w:ascii="方正仿宋_GBK" w:hAnsi="方正仿宋_GBK" w:eastAsia="方正仿宋_GBK" w:cs="方正仿宋_GBK"/>
          <w:bCs/>
          <w:sz w:val="32"/>
          <w:szCs w:val="32"/>
          <w:lang w:val="en-US" w:eastAsia="zh-CN"/>
        </w:rPr>
      </w:pPr>
      <w:r>
        <w:rPr>
          <w:rFonts w:hint="eastAsia" w:ascii="Times New Roman" w:hAnsi="Times New Roman" w:eastAsia="方正仿宋_GBK" w:cs="Times New Roman"/>
          <w:bCs/>
          <w:sz w:val="32"/>
          <w:szCs w:val="32"/>
        </w:rPr>
        <w:t>20</w:t>
      </w:r>
      <w:r>
        <w:rPr>
          <w:rFonts w:hint="eastAsia" w:ascii="Times New Roman" w:hAnsi="Times New Roman" w:eastAsia="方正仿宋_GBK" w:cs="Times New Roman"/>
          <w:bCs/>
          <w:sz w:val="32"/>
          <w:szCs w:val="32"/>
          <w:lang w:val="en-US" w:eastAsia="zh-CN"/>
        </w:rPr>
        <w:t>22</w:t>
      </w:r>
      <w:r>
        <w:rPr>
          <w:rFonts w:hint="eastAsia" w:ascii="方正仿宋_GBK" w:hAnsi="方正仿宋_GBK" w:eastAsia="方正仿宋_GBK" w:cs="方正仿宋_GBK"/>
          <w:bCs/>
          <w:sz w:val="32"/>
          <w:szCs w:val="32"/>
        </w:rPr>
        <w:t>年</w:t>
      </w:r>
      <w:r>
        <w:rPr>
          <w:rFonts w:hint="eastAsia" w:ascii="Times New Roman" w:hAnsi="Times New Roman" w:eastAsia="方正仿宋_GBK" w:cs="Times New Roman"/>
          <w:bCs/>
          <w:sz w:val="32"/>
          <w:szCs w:val="32"/>
          <w:lang w:val="en-US" w:eastAsia="zh-CN"/>
        </w:rPr>
        <w:t>6</w:t>
      </w:r>
      <w:r>
        <w:rPr>
          <w:rFonts w:hint="eastAsia" w:ascii="方正仿宋_GBK" w:hAnsi="方正仿宋_GBK" w:eastAsia="方正仿宋_GBK" w:cs="方正仿宋_GBK"/>
          <w:bCs/>
          <w:sz w:val="32"/>
          <w:szCs w:val="32"/>
        </w:rPr>
        <w:t>月</w:t>
      </w:r>
      <w:r>
        <w:rPr>
          <w:rFonts w:hint="eastAsia" w:ascii="Times New Roman" w:hAnsi="Times New Roman" w:eastAsia="方正仿宋_GBK" w:cs="Times New Roman"/>
          <w:bCs/>
          <w:sz w:val="32"/>
          <w:szCs w:val="32"/>
          <w:lang w:val="en-US" w:eastAsia="zh-CN"/>
        </w:rPr>
        <w:t>19</w:t>
      </w:r>
      <w:r>
        <w:rPr>
          <w:rFonts w:hint="eastAsia" w:ascii="方正仿宋_GBK" w:hAnsi="方正仿宋_GBK" w:eastAsia="方正仿宋_GBK" w:cs="方正仿宋_GBK"/>
          <w:bCs/>
          <w:sz w:val="32"/>
          <w:szCs w:val="32"/>
        </w:rPr>
        <w:t>日</w:t>
      </w:r>
      <w:r>
        <w:rPr>
          <w:rFonts w:hint="eastAsia" w:ascii="方正仿宋_GBK" w:hAnsi="方正仿宋_GBK" w:eastAsia="方正仿宋_GBK" w:cs="方正仿宋_GBK"/>
          <w:bCs/>
          <w:sz w:val="32"/>
          <w:szCs w:val="32"/>
          <w:lang w:val="en-US" w:eastAsia="zh-CN"/>
        </w:rPr>
        <w:t xml:space="preserve">   </w:t>
      </w:r>
    </w:p>
    <w:p>
      <w:pPr>
        <w:rPr>
          <w:rFonts w:hint="eastAsia" w:ascii="方正仿宋_GBK" w:hAnsi="方正仿宋_GBK" w:eastAsia="方正仿宋_GBK" w:cs="方正仿宋_GBK"/>
          <w:sz w:val="32"/>
          <w:szCs w:val="32"/>
        </w:rPr>
      </w:pPr>
    </w:p>
    <w:p>
      <w:pPr>
        <w:rPr>
          <w:rFonts w:hint="default" w:ascii="Times New Roman" w:hAnsi="Times New Roman" w:eastAsia="方正仿宋_GBK" w:cs="Times New Roman"/>
          <w:bCs/>
          <w:sz w:val="32"/>
          <w:szCs w:val="32"/>
        </w:rPr>
      </w:pPr>
    </w:p>
    <w:p>
      <w:pPr>
        <w:pStyle w:val="2"/>
        <w:rPr>
          <w:rFonts w:hint="default" w:ascii="Times New Roman" w:hAnsi="Times New Roman" w:eastAsia="方正仿宋_GBK" w:cs="Times New Roman"/>
          <w:bCs/>
          <w:sz w:val="32"/>
          <w:szCs w:val="32"/>
        </w:rPr>
      </w:pPr>
    </w:p>
    <w:p>
      <w:pPr>
        <w:pStyle w:val="5"/>
        <w:rPr>
          <w:rFonts w:hint="default" w:ascii="Times New Roman" w:hAnsi="Times New Roman" w:eastAsia="方正仿宋_GBK" w:cs="Times New Roman"/>
          <w:bCs/>
          <w:sz w:val="32"/>
          <w:szCs w:val="32"/>
        </w:rPr>
      </w:pPr>
    </w:p>
    <w:p>
      <w:pPr>
        <w:pStyle w:val="2"/>
        <w:ind w:left="0" w:leftChars="0" w:firstLine="0" w:firstLineChars="0"/>
        <w:rPr>
          <w:rFonts w:hint="default" w:ascii="Times New Roman" w:hAnsi="Times New Roman" w:eastAsia="方正仿宋_GBK" w:cs="Times New Roman"/>
          <w:bCs/>
          <w:sz w:val="32"/>
          <w:szCs w:val="32"/>
        </w:rPr>
      </w:pPr>
    </w:p>
    <w:tbl>
      <w:tblPr>
        <w:tblStyle w:val="10"/>
        <w:tblW w:w="10279" w:type="dxa"/>
        <w:tblInd w:w="-6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952"/>
        <w:gridCol w:w="9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1046" w:hRule="atLeast"/>
        </w:trPr>
        <w:tc>
          <w:tcPr>
            <w:tcW w:w="952" w:type="dxa"/>
            <w:shd w:val="clear" w:color="auto" w:fill="FFFFFF"/>
            <w:noWrap w:val="0"/>
            <w:tcMar>
              <w:top w:w="0" w:type="dxa"/>
              <w:left w:w="108" w:type="dxa"/>
              <w:bottom w:w="0" w:type="dxa"/>
              <w:right w:w="108" w:type="dxa"/>
            </w:tcMar>
            <w:vAlign w:val="center"/>
          </w:tcPr>
          <w:p>
            <w:pPr>
              <w:pStyle w:val="9"/>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建设地点</w:t>
            </w:r>
          </w:p>
        </w:tc>
        <w:tc>
          <w:tcPr>
            <w:tcW w:w="9327" w:type="dxa"/>
            <w:shd w:val="clear" w:color="auto" w:fill="FFFFFF"/>
            <w:noWrap w:val="0"/>
            <w:tcMar>
              <w:top w:w="0" w:type="dxa"/>
              <w:left w:w="108" w:type="dxa"/>
              <w:bottom w:w="0" w:type="dxa"/>
              <w:right w:w="108" w:type="dxa"/>
            </w:tcMar>
            <w:vAlign w:val="center"/>
          </w:tcPr>
          <w:p>
            <w:pPr>
              <w:pStyle w:val="9"/>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eastAsia" w:ascii="Times New Roman" w:hAnsi="Times New Roman" w:eastAsia="方正仿宋_GBK" w:cs="Times New Roman"/>
                <w:b/>
                <w:bCs/>
                <w:color w:val="000000"/>
                <w:sz w:val="24"/>
                <w:szCs w:val="24"/>
                <w:highlight w:val="none"/>
                <w:shd w:val="clear" w:color="auto" w:fill="FFFFFF"/>
                <w:lang w:eastAsia="zh-CN"/>
              </w:rPr>
            </w:pPr>
            <w:r>
              <w:rPr>
                <w:rFonts w:hint="default" w:ascii="Times New Roman" w:hAnsi="Times New Roman" w:eastAsia="方正仿宋_GBK" w:cs="Times New Roman"/>
                <w:color w:val="000000"/>
                <w:kern w:val="2"/>
                <w:sz w:val="24"/>
                <w:szCs w:val="24"/>
                <w:highlight w:val="none"/>
                <w:shd w:val="clear" w:color="auto" w:fill="FFFFFF"/>
                <w:lang w:val="en-US" w:eastAsia="zh-CN" w:bidi="ar-SA"/>
              </w:rPr>
              <w:t>云南省文山州西畴县西洒镇瓦厂村东侧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752" w:hRule="atLeast"/>
        </w:trPr>
        <w:tc>
          <w:tcPr>
            <w:tcW w:w="952" w:type="dxa"/>
            <w:shd w:val="clear" w:color="auto" w:fill="FFFFFF"/>
            <w:noWrap w:val="0"/>
            <w:tcMar>
              <w:top w:w="0" w:type="dxa"/>
              <w:left w:w="108" w:type="dxa"/>
              <w:bottom w:w="0" w:type="dxa"/>
              <w:right w:w="108" w:type="dxa"/>
            </w:tcMar>
            <w:vAlign w:val="center"/>
          </w:tcPr>
          <w:p>
            <w:pPr>
              <w:pStyle w:val="9"/>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建设单位</w:t>
            </w:r>
          </w:p>
        </w:tc>
        <w:tc>
          <w:tcPr>
            <w:tcW w:w="9327" w:type="dxa"/>
            <w:shd w:val="clear" w:color="auto" w:fill="FFFFFF"/>
            <w:noWrap w:val="0"/>
            <w:tcMar>
              <w:top w:w="0" w:type="dxa"/>
              <w:left w:w="108" w:type="dxa"/>
              <w:bottom w:w="0" w:type="dxa"/>
              <w:right w:w="108" w:type="dxa"/>
            </w:tcMar>
            <w:vAlign w:val="center"/>
          </w:tcPr>
          <w:p>
            <w:pPr>
              <w:pStyle w:val="9"/>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highlight w:val="none"/>
                <w:shd w:val="clear" w:color="auto" w:fill="FFFFFF"/>
                <w:lang w:eastAsia="zh-CN"/>
              </w:rPr>
            </w:pPr>
            <w:r>
              <w:rPr>
                <w:rFonts w:hint="default" w:ascii="Times New Roman" w:hAnsi="Times New Roman" w:eastAsia="方正仿宋_GBK" w:cs="Times New Roman"/>
                <w:color w:val="000000"/>
                <w:sz w:val="24"/>
                <w:szCs w:val="24"/>
                <w:highlight w:val="none"/>
                <w:shd w:val="clear" w:color="auto" w:fill="FFFFFF"/>
                <w:lang w:val="en-US" w:eastAsia="zh-CN"/>
              </w:rPr>
              <w:t>西南交通建设集团股份有限公司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918" w:hRule="atLeast"/>
        </w:trPr>
        <w:tc>
          <w:tcPr>
            <w:tcW w:w="952" w:type="dxa"/>
            <w:shd w:val="clear" w:color="auto" w:fill="FFFFFF"/>
            <w:noWrap w:val="0"/>
            <w:tcMar>
              <w:top w:w="0" w:type="dxa"/>
              <w:left w:w="108" w:type="dxa"/>
              <w:bottom w:w="0" w:type="dxa"/>
              <w:right w:w="108" w:type="dxa"/>
            </w:tcMar>
            <w:vAlign w:val="top"/>
          </w:tcPr>
          <w:p>
            <w:pPr>
              <w:pStyle w:val="9"/>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环境影响评价机构</w:t>
            </w:r>
          </w:p>
        </w:tc>
        <w:tc>
          <w:tcPr>
            <w:tcW w:w="9327" w:type="dxa"/>
            <w:shd w:val="clear" w:color="auto" w:fill="FFFFFF"/>
            <w:noWrap w:val="0"/>
            <w:tcMar>
              <w:top w:w="0" w:type="dxa"/>
              <w:left w:w="108" w:type="dxa"/>
              <w:bottom w:w="0" w:type="dxa"/>
              <w:right w:w="108" w:type="dxa"/>
            </w:tcMar>
            <w:vAlign w:val="center"/>
          </w:tcPr>
          <w:p>
            <w:pPr>
              <w:pStyle w:val="9"/>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eastAsia" w:ascii="Times New Roman" w:hAnsi="Times New Roman" w:eastAsia="方正仿宋_GBK" w:cs="Times New Roman"/>
                <w:color w:val="000000"/>
                <w:sz w:val="24"/>
                <w:szCs w:val="24"/>
                <w:shd w:val="clear" w:color="auto" w:fill="FFFFFF"/>
                <w:lang w:val="en-US" w:eastAsia="zh-CN"/>
              </w:rPr>
            </w:pPr>
            <w:r>
              <w:rPr>
                <w:rFonts w:hint="eastAsia" w:ascii="Times New Roman" w:hAnsi="Times New Roman" w:eastAsia="方正仿宋_GBK" w:cs="Times New Roman"/>
                <w:color w:val="000000"/>
                <w:sz w:val="24"/>
                <w:szCs w:val="24"/>
                <w:shd w:val="clear" w:color="auto" w:fill="FFFFFF"/>
                <w:lang w:val="en-US" w:eastAsia="zh-CN"/>
              </w:rPr>
              <w:t>云南协同环保工程有限公司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11045" w:hRule="atLeast"/>
        </w:trPr>
        <w:tc>
          <w:tcPr>
            <w:tcW w:w="952" w:type="dxa"/>
            <w:shd w:val="clear" w:color="auto" w:fill="FFFFFF"/>
            <w:noWrap w:val="0"/>
            <w:tcMar>
              <w:top w:w="0" w:type="dxa"/>
              <w:left w:w="108" w:type="dxa"/>
              <w:bottom w:w="0" w:type="dxa"/>
              <w:right w:w="108" w:type="dxa"/>
            </w:tcMar>
            <w:vAlign w:val="top"/>
          </w:tcPr>
          <w:p>
            <w:pPr>
              <w:pStyle w:val="9"/>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项目概况</w:t>
            </w:r>
          </w:p>
        </w:tc>
        <w:tc>
          <w:tcPr>
            <w:tcW w:w="9327" w:type="dxa"/>
            <w:shd w:val="clear" w:color="auto" w:fill="FFFFFF"/>
            <w:noWrap w:val="0"/>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480" w:firstLineChars="200"/>
              <w:jc w:val="left"/>
              <w:textAlignment w:val="auto"/>
              <w:rPr>
                <w:rFonts w:hint="default" w:ascii="Times New Roman" w:hAnsi="Times New Roman" w:eastAsia="方正仿宋_GBK" w:cs="Times New Roman"/>
                <w:color w:val="000000"/>
                <w:kern w:val="2"/>
                <w:sz w:val="24"/>
                <w:szCs w:val="24"/>
                <w:highlight w:val="none"/>
                <w:shd w:val="clear" w:color="auto" w:fill="FFFFFF"/>
                <w:lang w:val="en-US" w:eastAsia="zh-CN" w:bidi="ar-SA"/>
              </w:rPr>
            </w:pPr>
            <w:r>
              <w:rPr>
                <w:rFonts w:hint="default" w:ascii="Times New Roman" w:hAnsi="Times New Roman" w:eastAsia="方正仿宋_GBK" w:cs="Times New Roman"/>
                <w:color w:val="000000"/>
                <w:kern w:val="2"/>
                <w:sz w:val="24"/>
                <w:szCs w:val="24"/>
                <w:highlight w:val="none"/>
                <w:shd w:val="clear" w:color="auto" w:fill="FFFFFF"/>
                <w:lang w:val="en-US" w:eastAsia="zh-CN" w:bidi="ar-SA"/>
              </w:rPr>
              <w:t>项目名称：广南（那洒）至西畴（兴街）高速公路土建十三分部混凝土拌合站建设项目</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建设性质：新建（补办）</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建设地点：西畴县西洒镇瓦厂村东侧</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建设单位：西南交通建设集团股份有限公司</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建设规模：7358</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，项目投产后混凝土年生产量达到10万</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该项目为临时工程，待相关工程结束后，建设单位将按照政府相关部门要求进行搬迁或拆除，不作为永久性设施，由标段工程指挥部委托有资质单位对该建设场地进行还原复垦，复垦后的旱地还给现有承包权的农户。</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480" w:firstLineChars="200"/>
              <w:jc w:val="left"/>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default" w:ascii="Times New Roman" w:hAnsi="Times New Roman" w:eastAsia="方正仿宋_GBK" w:cs="Times New Roman"/>
                <w:color w:val="000000"/>
                <w:kern w:val="2"/>
                <w:sz w:val="24"/>
                <w:szCs w:val="24"/>
                <w:highlight w:val="none"/>
                <w:shd w:val="clear" w:color="auto" w:fill="FFFFFF"/>
                <w:lang w:val="en-US" w:eastAsia="zh-CN" w:bidi="ar-SA"/>
              </w:rPr>
              <w:t>项目主要由混凝土生产区、砂石料堆场、办公生活区、职工宿舍、厨房等主体工程、公用工程、辅助工程和环保工程等构成，项目建设1条HZS120型混凝土生产线及配套设施，年产商品混凝土10万</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/a</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项目厂区出入口在厂区的西南侧，生产区及原料库房位于厂区中部和东侧，办公生活区主要布置于北侧，与生产区之间功能分区明确；原料仓位于项目东侧，地面进行硬化处理，拟采用三面+顶彩钢瓦封闭，进出物料口设置为敞开式，并且设置相应的喷淋设施，</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在物料进出口和装卸处不定期洒水降尘</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混凝土生产区位于厂区中部，皮带输送机上方安装彩钢防尘罩，对其进行封闭处理；上料棚位于原料库房和拌合楼之间；生产废水沉淀池、洗车区位于拌合楼北侧。生产设备均布置于拌合楼及筒仓内，通过墙体隔声、减震垫等措施后，噪声对环境影响不大。化粪池设置于办公生活区和卫生间北侧，便于污水收集、处理，</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在厨房设置1个容积为1</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的一体化油水分离器，用于处理厨房废水</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，整个工艺流程产污环节少，污染物排放量少，平面布局合理。</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480" w:firstLineChars="200"/>
              <w:jc w:val="left"/>
              <w:textAlignment w:val="auto"/>
              <w:rPr>
                <w:rFonts w:hint="default"/>
                <w:lang w:val="en-US" w:eastAsia="zh-CN"/>
              </w:rPr>
            </w:pPr>
            <w:r>
              <w:rPr>
                <w:rFonts w:hint="default" w:ascii="Times New Roman" w:hAnsi="Times New Roman" w:eastAsia="方正仿宋_GBK" w:cs="Times New Roman"/>
                <w:color w:val="000000"/>
                <w:kern w:val="2"/>
                <w:sz w:val="24"/>
                <w:szCs w:val="24"/>
                <w:highlight w:val="none"/>
                <w:shd w:val="clear" w:color="auto" w:fill="FFFFFF"/>
                <w:lang w:val="en-US" w:eastAsia="zh-CN" w:bidi="ar-SA"/>
              </w:rPr>
              <w:t>项目不占用生态保护范围，符合“三线一单”的相关要求，项目选址合理可行。项目总投资</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200</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万元，其中环保投资</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74</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万元，占总投资的</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37</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项目已于20</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2</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2年9月建成投产，</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现依据《文山州生态环境局 文山州交通运输局转发云南省生态环境厅 云南省交通运输厅关于加强高等级公路建设项目施工扬尘污染防治的通知》以及《文山州生态环境局关于全州国省干线养护生产拌合站环评工作的函》相关文件，补办环评手续。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13513" w:hRule="atLeast"/>
        </w:trPr>
        <w:tc>
          <w:tcPr>
            <w:tcW w:w="952" w:type="dxa"/>
            <w:shd w:val="clear" w:color="auto" w:fill="FFFFFF"/>
            <w:noWrap w:val="0"/>
            <w:tcMar>
              <w:top w:w="0" w:type="dxa"/>
              <w:left w:w="108" w:type="dxa"/>
              <w:bottom w:w="0" w:type="dxa"/>
              <w:right w:w="108" w:type="dxa"/>
            </w:tcMar>
            <w:vAlign w:val="top"/>
          </w:tcPr>
          <w:p>
            <w:pPr>
              <w:pStyle w:val="9"/>
              <w:keepNext w:val="0"/>
              <w:keepLines w:val="0"/>
              <w:pageBreakBefore w:val="0"/>
              <w:widowControl/>
              <w:shd w:val="clear" w:color="auto" w:fill="FFFFFF"/>
              <w:kinsoku/>
              <w:wordWrap/>
              <w:overflowPunct/>
              <w:topLinePunct w:val="0"/>
              <w:autoSpaceDE/>
              <w:autoSpaceDN/>
              <w:bidi w:val="0"/>
              <w:spacing w:line="300" w:lineRule="exact"/>
              <w:textAlignment w:val="auto"/>
              <w:rPr>
                <w:rFonts w:hint="eastAsia" w:ascii="方正仿宋_GBK" w:hAnsi="方正仿宋_GBK" w:eastAsia="方正仿宋_GBK" w:cs="方正仿宋_GBK"/>
                <w:color w:val="000000"/>
                <w:sz w:val="24"/>
                <w:szCs w:val="24"/>
                <w:shd w:val="clear" w:color="auto" w:fill="FFFFFF"/>
                <w:lang w:eastAsia="zh-CN"/>
              </w:rPr>
            </w:pPr>
            <w:r>
              <w:rPr>
                <w:rFonts w:hint="eastAsia" w:ascii="方正仿宋_GBK" w:hAnsi="方正仿宋_GBK" w:eastAsia="方正仿宋_GBK" w:cs="方正仿宋_GBK"/>
                <w:color w:val="000000"/>
                <w:sz w:val="24"/>
                <w:szCs w:val="24"/>
                <w:shd w:val="clear" w:color="auto" w:fill="FFFFFF"/>
                <w:lang w:eastAsia="zh-CN"/>
              </w:rPr>
              <w:t>主要环境影响及预防或者减轻不良环境影响的对策和措施</w:t>
            </w:r>
          </w:p>
        </w:tc>
        <w:tc>
          <w:tcPr>
            <w:tcW w:w="9327" w:type="dxa"/>
            <w:shd w:val="clear" w:color="auto" w:fill="FFFFFF"/>
            <w:noWrap w:val="0"/>
            <w:tcMar>
              <w:top w:w="0" w:type="dxa"/>
              <w:left w:w="108" w:type="dxa"/>
              <w:bottom w:w="0" w:type="dxa"/>
              <w:right w:w="108" w:type="dxa"/>
            </w:tcMar>
            <w:vAlign w:val="top"/>
          </w:tcPr>
          <w:tbl>
            <w:tblPr>
              <w:tblStyle w:val="10"/>
              <w:tblW w:w="8800" w:type="dxa"/>
              <w:jc w:val="center"/>
              <w:tblInd w:w="14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1750"/>
              <w:gridCol w:w="1125"/>
              <w:gridCol w:w="2335"/>
              <w:gridCol w:w="22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1318" w:type="dxa"/>
                  <w:tcBorders>
                    <w:tl2br w:val="single" w:color="auto" w:sz="4" w:space="0"/>
                  </w:tcBorders>
                  <w:noWrap w:val="0"/>
                  <w:vAlign w:val="top"/>
                </w:tcPr>
                <w:p>
                  <w:pPr>
                    <w:ind w:firstLine="632" w:firstLineChars="300"/>
                    <w:rPr>
                      <w:b/>
                      <w:bCs/>
                      <w:szCs w:val="21"/>
                    </w:rPr>
                  </w:pPr>
                  <w:r>
                    <w:rPr>
                      <w:b/>
                      <w:bCs/>
                      <w:szCs w:val="21"/>
                    </w:rPr>
                    <w:t>内容</w:t>
                  </w:r>
                </w:p>
                <w:p>
                  <w:pPr>
                    <w:rPr>
                      <w:b/>
                      <w:bCs/>
                      <w:szCs w:val="21"/>
                    </w:rPr>
                  </w:pPr>
                  <w:r>
                    <w:rPr>
                      <w:b/>
                      <w:bCs/>
                      <w:szCs w:val="21"/>
                    </w:rPr>
                    <w:t>要素</w:t>
                  </w:r>
                </w:p>
              </w:tc>
              <w:tc>
                <w:tcPr>
                  <w:tcW w:w="1750" w:type="dxa"/>
                  <w:noWrap w:val="0"/>
                  <w:vAlign w:val="center"/>
                </w:tcPr>
                <w:p>
                  <w:pPr>
                    <w:jc w:val="center"/>
                    <w:rPr>
                      <w:b/>
                      <w:bCs/>
                      <w:szCs w:val="21"/>
                    </w:rPr>
                  </w:pPr>
                  <w:r>
                    <w:rPr>
                      <w:b/>
                      <w:bCs/>
                      <w:szCs w:val="21"/>
                    </w:rPr>
                    <w:t>排放口(编号、</w:t>
                  </w:r>
                </w:p>
                <w:p>
                  <w:pPr>
                    <w:jc w:val="center"/>
                    <w:rPr>
                      <w:b/>
                      <w:bCs/>
                      <w:szCs w:val="21"/>
                    </w:rPr>
                  </w:pPr>
                  <w:r>
                    <w:rPr>
                      <w:b/>
                      <w:bCs/>
                      <w:szCs w:val="21"/>
                    </w:rPr>
                    <w:t>名称)/污染源</w:t>
                  </w:r>
                </w:p>
              </w:tc>
              <w:tc>
                <w:tcPr>
                  <w:tcW w:w="1125" w:type="dxa"/>
                  <w:noWrap w:val="0"/>
                  <w:vAlign w:val="center"/>
                </w:tcPr>
                <w:p>
                  <w:pPr>
                    <w:jc w:val="center"/>
                    <w:rPr>
                      <w:b/>
                      <w:bCs/>
                      <w:szCs w:val="21"/>
                    </w:rPr>
                  </w:pPr>
                  <w:r>
                    <w:rPr>
                      <w:b/>
                      <w:bCs/>
                      <w:szCs w:val="21"/>
                    </w:rPr>
                    <w:t>污染物项目</w:t>
                  </w:r>
                </w:p>
              </w:tc>
              <w:tc>
                <w:tcPr>
                  <w:tcW w:w="2335" w:type="dxa"/>
                  <w:noWrap w:val="0"/>
                  <w:vAlign w:val="center"/>
                </w:tcPr>
                <w:p>
                  <w:pPr>
                    <w:jc w:val="center"/>
                    <w:rPr>
                      <w:b/>
                      <w:bCs/>
                      <w:szCs w:val="21"/>
                    </w:rPr>
                  </w:pPr>
                  <w:r>
                    <w:rPr>
                      <w:b/>
                      <w:bCs/>
                      <w:szCs w:val="21"/>
                    </w:rPr>
                    <w:t>环境保护措施</w:t>
                  </w:r>
                </w:p>
              </w:tc>
              <w:tc>
                <w:tcPr>
                  <w:tcW w:w="2272" w:type="dxa"/>
                  <w:noWrap w:val="0"/>
                  <w:vAlign w:val="center"/>
                </w:tcPr>
                <w:p>
                  <w:pPr>
                    <w:jc w:val="center"/>
                    <w:rPr>
                      <w:b/>
                      <w:bCs/>
                      <w:szCs w:val="21"/>
                    </w:rPr>
                  </w:pPr>
                  <w:r>
                    <w:rPr>
                      <w:b/>
                      <w:bCs/>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318" w:type="dxa"/>
                  <w:vMerge w:val="restart"/>
                  <w:noWrap w:val="0"/>
                  <w:vAlign w:val="center"/>
                </w:tcPr>
                <w:p>
                  <w:pPr>
                    <w:jc w:val="center"/>
                    <w:rPr>
                      <w:b/>
                      <w:bCs/>
                      <w:szCs w:val="21"/>
                    </w:rPr>
                  </w:pPr>
                  <w:r>
                    <w:rPr>
                      <w:b/>
                      <w:bCs/>
                      <w:szCs w:val="21"/>
                    </w:rPr>
                    <w:t>大气环境</w:t>
                  </w:r>
                </w:p>
              </w:tc>
              <w:tc>
                <w:tcPr>
                  <w:tcW w:w="1750" w:type="dxa"/>
                  <w:noWrap w:val="0"/>
                  <w:vAlign w:val="center"/>
                </w:tcPr>
                <w:p>
                  <w:pPr>
                    <w:jc w:val="center"/>
                    <w:rPr>
                      <w:szCs w:val="21"/>
                    </w:rPr>
                  </w:pPr>
                  <w:r>
                    <w:rPr>
                      <w:rFonts w:hint="eastAsia"/>
                      <w:lang w:val="en-US" w:eastAsia="zh-CN"/>
                    </w:rPr>
                    <w:t>4</w:t>
                  </w:r>
                  <w:r>
                    <w:rPr>
                      <w:rFonts w:hint="eastAsia"/>
                    </w:rPr>
                    <w:t>个细粉料筒仓</w:t>
                  </w:r>
                </w:p>
              </w:tc>
              <w:tc>
                <w:tcPr>
                  <w:tcW w:w="1125" w:type="dxa"/>
                  <w:noWrap w:val="0"/>
                  <w:vAlign w:val="center"/>
                </w:tcPr>
                <w:p>
                  <w:pPr>
                    <w:jc w:val="center"/>
                    <w:rPr>
                      <w:szCs w:val="21"/>
                    </w:rPr>
                  </w:pPr>
                  <w:r>
                    <w:rPr>
                      <w:rFonts w:hint="eastAsia"/>
                    </w:rPr>
                    <w:t>颗粒物</w:t>
                  </w:r>
                </w:p>
              </w:tc>
              <w:tc>
                <w:tcPr>
                  <w:tcW w:w="2335" w:type="dxa"/>
                  <w:tcBorders>
                    <w:bottom w:val="single" w:color="auto" w:sz="4" w:space="0"/>
                  </w:tcBorders>
                  <w:noWrap w:val="0"/>
                  <w:vAlign w:val="center"/>
                </w:tcPr>
                <w:p>
                  <w:pPr>
                    <w:jc w:val="center"/>
                    <w:rPr>
                      <w:szCs w:val="21"/>
                    </w:rPr>
                  </w:pPr>
                  <w:r>
                    <w:rPr>
                      <w:rFonts w:hint="eastAsia"/>
                      <w:lang w:val="en-US" w:eastAsia="zh-CN"/>
                    </w:rPr>
                    <w:t>4</w:t>
                  </w:r>
                  <w:r>
                    <w:rPr>
                      <w:rFonts w:hint="eastAsia"/>
                    </w:rPr>
                    <w:t>个简仓仓顶脉冲布袋单机除尘器,处理效率99%,风机风量:</w:t>
                  </w:r>
                  <w:r>
                    <w:rPr>
                      <w:rFonts w:hint="eastAsia"/>
                      <w:lang w:val="en-US" w:eastAsia="zh-CN"/>
                    </w:rPr>
                    <w:t>25</w:t>
                  </w:r>
                  <w:r>
                    <w:t>00</w:t>
                  </w:r>
                  <w:r>
                    <w:rPr>
                      <w:rFonts w:hint="eastAsia"/>
                    </w:rPr>
                    <w:t>m</w:t>
                  </w:r>
                  <w:r>
                    <w:rPr>
                      <w:vertAlign w:val="superscript"/>
                    </w:rPr>
                    <w:t>3</w:t>
                  </w:r>
                  <w:r>
                    <w:rPr>
                      <w:rFonts w:hint="eastAsia"/>
                    </w:rPr>
                    <w:t>/h</w:t>
                  </w:r>
                </w:p>
              </w:tc>
              <w:tc>
                <w:tcPr>
                  <w:tcW w:w="2272" w:type="dxa"/>
                  <w:tcBorders>
                    <w:bottom w:val="single" w:color="auto" w:sz="4" w:space="0"/>
                  </w:tcBorders>
                  <w:noWrap w:val="0"/>
                  <w:vAlign w:val="center"/>
                </w:tcPr>
                <w:p>
                  <w:pPr>
                    <w:jc w:val="center"/>
                    <w:rPr>
                      <w:szCs w:val="21"/>
                    </w:rPr>
                  </w:pPr>
                  <w:r>
                    <w:rPr>
                      <w:rFonts w:hint="eastAsia"/>
                      <w:snapToGrid w:val="0"/>
                      <w:kern w:val="0"/>
                      <w:szCs w:val="21"/>
                    </w:rPr>
                    <w:t>满足</w:t>
                  </w:r>
                  <w:r>
                    <w:rPr>
                      <w:snapToGrid w:val="0"/>
                      <w:kern w:val="0"/>
                      <w:szCs w:val="21"/>
                    </w:rPr>
                    <w:t>《水泥工业大气污染物排放标准》（GB4915-2013）最高允许排放浓度≤</w:t>
                  </w:r>
                  <w:r>
                    <w:rPr>
                      <w:rFonts w:hint="eastAsia"/>
                      <w:snapToGrid w:val="0"/>
                      <w:kern w:val="0"/>
                      <w:szCs w:val="21"/>
                    </w:rPr>
                    <w:t>2</w:t>
                  </w:r>
                  <w:r>
                    <w:rPr>
                      <w:snapToGrid w:val="0"/>
                      <w:kern w:val="0"/>
                      <w:szCs w:val="21"/>
                    </w:rPr>
                    <w:t>0mg/Nm</w:t>
                  </w:r>
                  <w:r>
                    <w:rPr>
                      <w:snapToGrid w:val="0"/>
                      <w:kern w:val="0"/>
                      <w:szCs w:val="21"/>
                      <w:vertAlign w:val="superscript"/>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jc w:val="center"/>
              </w:trPr>
              <w:tc>
                <w:tcPr>
                  <w:tcW w:w="1318" w:type="dxa"/>
                  <w:vMerge w:val="continue"/>
                  <w:noWrap w:val="0"/>
                  <w:vAlign w:val="center"/>
                </w:tcPr>
                <w:p>
                  <w:pPr>
                    <w:jc w:val="center"/>
                    <w:rPr>
                      <w:b/>
                      <w:bCs/>
                      <w:szCs w:val="21"/>
                    </w:rPr>
                  </w:pPr>
                </w:p>
              </w:tc>
              <w:tc>
                <w:tcPr>
                  <w:tcW w:w="1750" w:type="dxa"/>
                  <w:noWrap w:val="0"/>
                  <w:vAlign w:val="center"/>
                </w:tcPr>
                <w:p>
                  <w:pPr>
                    <w:jc w:val="center"/>
                    <w:rPr>
                      <w:szCs w:val="21"/>
                    </w:rPr>
                  </w:pPr>
                  <w:r>
                    <w:rPr>
                      <w:rFonts w:hint="eastAsia"/>
                    </w:rPr>
                    <w:t>搅拌楼</w:t>
                  </w:r>
                </w:p>
              </w:tc>
              <w:tc>
                <w:tcPr>
                  <w:tcW w:w="1125" w:type="dxa"/>
                  <w:noWrap w:val="0"/>
                  <w:vAlign w:val="center"/>
                </w:tcPr>
                <w:p>
                  <w:pPr>
                    <w:jc w:val="center"/>
                    <w:rPr>
                      <w:szCs w:val="21"/>
                    </w:rPr>
                  </w:pPr>
                  <w:r>
                    <w:rPr>
                      <w:rFonts w:hint="eastAsia"/>
                    </w:rPr>
                    <w:t>颗粒物</w:t>
                  </w:r>
                </w:p>
              </w:tc>
              <w:tc>
                <w:tcPr>
                  <w:tcW w:w="2335" w:type="dxa"/>
                  <w:tcBorders>
                    <w:top w:val="single" w:color="auto" w:sz="4" w:space="0"/>
                    <w:bottom w:val="single" w:color="auto" w:sz="4" w:space="0"/>
                  </w:tcBorders>
                  <w:noWrap w:val="0"/>
                  <w:vAlign w:val="center"/>
                </w:tcPr>
                <w:p>
                  <w:pPr>
                    <w:jc w:val="center"/>
                    <w:rPr>
                      <w:szCs w:val="21"/>
                    </w:rPr>
                  </w:pPr>
                  <w:r>
                    <w:rPr>
                      <w:rFonts w:hint="eastAsia"/>
                    </w:rPr>
                    <w:t>搅拌</w:t>
                  </w:r>
                  <w:r>
                    <w:rPr>
                      <w:rFonts w:hint="eastAsia" w:cs="Times New Roman"/>
                    </w:rPr>
                    <w:t>楼主机自带</w:t>
                  </w:r>
                  <w:r>
                    <w:rPr>
                      <w:rFonts w:hint="eastAsia" w:cs="Times New Roman"/>
                      <w:lang w:val="en-US" w:eastAsia="zh-CN"/>
                    </w:rPr>
                    <w:t>1</w:t>
                  </w:r>
                  <w:r>
                    <w:rPr>
                      <w:rFonts w:hint="eastAsia" w:cs="Times New Roman"/>
                    </w:rPr>
                    <w:t>套脉冲布袋除尘器,处理效率99%</w:t>
                  </w:r>
                  <w:r>
                    <w:rPr>
                      <w:rFonts w:hint="default" w:cs="Times New Roman"/>
                    </w:rPr>
                    <w:t>并对搅拌楼进行全封闭处理</w:t>
                  </w:r>
                  <w:r>
                    <w:rPr>
                      <w:rFonts w:hint="default" w:cs="Times New Roman"/>
                      <w:lang w:eastAsia="zh-CN"/>
                    </w:rPr>
                    <w:t>，</w:t>
                  </w:r>
                  <w:r>
                    <w:rPr>
                      <w:rFonts w:hint="default" w:cs="Times New Roman"/>
                      <w:lang w:val="en-US" w:eastAsia="zh-CN"/>
                    </w:rPr>
                    <w:t>在搅拌楼内布袋除尘器排气区域设置1台小型雾炮机</w:t>
                  </w:r>
                </w:p>
              </w:tc>
              <w:tc>
                <w:tcPr>
                  <w:tcW w:w="2272" w:type="dxa"/>
                  <w:vMerge w:val="restart"/>
                  <w:tcBorders>
                    <w:top w:val="single" w:color="auto" w:sz="4" w:space="0"/>
                  </w:tcBorders>
                  <w:noWrap w:val="0"/>
                  <w:vAlign w:val="center"/>
                </w:tcPr>
                <w:p>
                  <w:pPr>
                    <w:jc w:val="center"/>
                    <w:rPr>
                      <w:szCs w:val="21"/>
                    </w:rPr>
                  </w:pPr>
                  <w:r>
                    <w:rPr>
                      <w:snapToGrid w:val="0"/>
                      <w:kern w:val="0"/>
                      <w:szCs w:val="21"/>
                    </w:rPr>
                    <w:t>达到《水泥工业大气污染物排放标准》（GB4915-20</w:t>
                  </w:r>
                  <w:r>
                    <w:rPr>
                      <w:rFonts w:hint="eastAsia"/>
                      <w:snapToGrid w:val="0"/>
                      <w:kern w:val="0"/>
                      <w:szCs w:val="21"/>
                    </w:rPr>
                    <w:t>13</w:t>
                  </w:r>
                  <w:r>
                    <w:rPr>
                      <w:snapToGrid w:val="0"/>
                      <w:kern w:val="0"/>
                      <w:szCs w:val="21"/>
                    </w:rPr>
                    <w:t>）中</w:t>
                  </w:r>
                  <w:r>
                    <w:rPr>
                      <w:rFonts w:hint="eastAsia"/>
                      <w:snapToGrid w:val="0"/>
                      <w:kern w:val="0"/>
                      <w:szCs w:val="21"/>
                    </w:rPr>
                    <w:t>的</w:t>
                  </w:r>
                  <w:r>
                    <w:rPr>
                      <w:snapToGrid w:val="0"/>
                      <w:kern w:val="0"/>
                      <w:szCs w:val="21"/>
                    </w:rPr>
                    <w:t>无组织排放监控浓度限值≤</w:t>
                  </w:r>
                  <w:r>
                    <w:rPr>
                      <w:rFonts w:hint="eastAsia"/>
                      <w:snapToGrid w:val="0"/>
                      <w:kern w:val="0"/>
                      <w:szCs w:val="21"/>
                    </w:rPr>
                    <w:t>0.5</w:t>
                  </w:r>
                  <w:r>
                    <w:rPr>
                      <w:snapToGrid w:val="0"/>
                      <w:kern w:val="0"/>
                      <w:szCs w:val="21"/>
                    </w:rPr>
                    <w:t>mg/m</w:t>
                  </w:r>
                  <w:r>
                    <w:rPr>
                      <w:snapToGrid w:val="0"/>
                      <w:kern w:val="0"/>
                      <w:szCs w:val="21"/>
                      <w:vertAlign w:val="superscript"/>
                    </w:rPr>
                    <w:t>3</w:t>
                  </w:r>
                  <w:r>
                    <w:rPr>
                      <w:rFonts w:hint="eastAsia"/>
                      <w:snapToGrid w:val="0"/>
                      <w:kern w:val="0"/>
                      <w:szCs w:val="21"/>
                    </w:rPr>
                    <w:t>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jc w:val="center"/>
              </w:trPr>
              <w:tc>
                <w:tcPr>
                  <w:tcW w:w="1318" w:type="dxa"/>
                  <w:vMerge w:val="continue"/>
                  <w:noWrap w:val="0"/>
                  <w:vAlign w:val="center"/>
                </w:tcPr>
                <w:p>
                  <w:pPr>
                    <w:jc w:val="center"/>
                    <w:rPr>
                      <w:b/>
                      <w:bCs/>
                      <w:szCs w:val="21"/>
                    </w:rPr>
                  </w:pPr>
                </w:p>
              </w:tc>
              <w:tc>
                <w:tcPr>
                  <w:tcW w:w="1750" w:type="dxa"/>
                  <w:noWrap w:val="0"/>
                  <w:vAlign w:val="center"/>
                </w:tcPr>
                <w:p>
                  <w:pPr>
                    <w:jc w:val="center"/>
                  </w:pPr>
                  <w:r>
                    <w:rPr>
                      <w:rFonts w:hint="eastAsia"/>
                    </w:rPr>
                    <w:t>骨料皮带输送机</w:t>
                  </w:r>
                </w:p>
              </w:tc>
              <w:tc>
                <w:tcPr>
                  <w:tcW w:w="1125" w:type="dxa"/>
                  <w:noWrap w:val="0"/>
                  <w:vAlign w:val="center"/>
                </w:tcPr>
                <w:p>
                  <w:pPr>
                    <w:jc w:val="center"/>
                    <w:rPr>
                      <w:rFonts w:hint="eastAsia"/>
                      <w:szCs w:val="21"/>
                    </w:rPr>
                  </w:pPr>
                  <w:r>
                    <w:rPr>
                      <w:rFonts w:hint="eastAsia"/>
                    </w:rPr>
                    <w:t>颗粒物</w:t>
                  </w:r>
                </w:p>
              </w:tc>
              <w:tc>
                <w:tcPr>
                  <w:tcW w:w="2335" w:type="dxa"/>
                  <w:tcBorders>
                    <w:top w:val="single" w:color="auto" w:sz="4" w:space="0"/>
                    <w:bottom w:val="single" w:color="auto" w:sz="4" w:space="0"/>
                  </w:tcBorders>
                  <w:noWrap w:val="0"/>
                  <w:vAlign w:val="center"/>
                </w:tcPr>
                <w:p>
                  <w:pPr>
                    <w:jc w:val="center"/>
                    <w:rPr>
                      <w:rFonts w:hint="eastAsia"/>
                      <w:szCs w:val="21"/>
                    </w:rPr>
                  </w:pPr>
                  <w:r>
                    <w:rPr>
                      <w:rFonts w:hint="eastAsia"/>
                    </w:rPr>
                    <w:t>皮带输送机廊道上部拟加盖侧面密封,下部设置收料盘,进行封闭处理</w:t>
                  </w:r>
                </w:p>
              </w:tc>
              <w:tc>
                <w:tcPr>
                  <w:tcW w:w="2272" w:type="dxa"/>
                  <w:vMerge w:val="continue"/>
                  <w:noWrap w:val="0"/>
                  <w:vAlign w:val="center"/>
                </w:tcPr>
                <w:p>
                  <w:pPr>
                    <w:jc w:val="center"/>
                    <w:rPr>
                      <w:rFonts w:hint="eastAsia"/>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jc w:val="center"/>
              </w:trPr>
              <w:tc>
                <w:tcPr>
                  <w:tcW w:w="1318" w:type="dxa"/>
                  <w:vMerge w:val="continue"/>
                  <w:noWrap w:val="0"/>
                  <w:vAlign w:val="center"/>
                </w:tcPr>
                <w:p>
                  <w:pPr>
                    <w:jc w:val="center"/>
                    <w:rPr>
                      <w:b/>
                      <w:bCs/>
                      <w:szCs w:val="21"/>
                    </w:rPr>
                  </w:pPr>
                </w:p>
              </w:tc>
              <w:tc>
                <w:tcPr>
                  <w:tcW w:w="1750" w:type="dxa"/>
                  <w:noWrap w:val="0"/>
                  <w:vAlign w:val="center"/>
                </w:tcPr>
                <w:p>
                  <w:pPr>
                    <w:jc w:val="center"/>
                    <w:rPr>
                      <w:rFonts w:hint="eastAsia" w:eastAsia="宋体"/>
                      <w:lang w:eastAsia="zh-CN"/>
                    </w:rPr>
                  </w:pPr>
                  <w:r>
                    <w:rPr>
                      <w:rFonts w:hint="eastAsia"/>
                      <w:lang w:eastAsia="zh-CN"/>
                    </w:rPr>
                    <w:t>砂石料堆场</w:t>
                  </w:r>
                </w:p>
              </w:tc>
              <w:tc>
                <w:tcPr>
                  <w:tcW w:w="1125" w:type="dxa"/>
                  <w:noWrap w:val="0"/>
                  <w:vAlign w:val="center"/>
                </w:tcPr>
                <w:p>
                  <w:pPr>
                    <w:jc w:val="center"/>
                    <w:rPr>
                      <w:rFonts w:hint="eastAsia"/>
                      <w:szCs w:val="21"/>
                    </w:rPr>
                  </w:pPr>
                  <w:r>
                    <w:rPr>
                      <w:rFonts w:hint="eastAsia"/>
                    </w:rPr>
                    <w:t>颗粒物</w:t>
                  </w:r>
                </w:p>
              </w:tc>
              <w:tc>
                <w:tcPr>
                  <w:tcW w:w="2335" w:type="dxa"/>
                  <w:tcBorders>
                    <w:top w:val="single" w:color="auto" w:sz="4" w:space="0"/>
                    <w:bottom w:val="single" w:color="auto" w:sz="4" w:space="0"/>
                  </w:tcBorders>
                  <w:noWrap w:val="0"/>
                  <w:vAlign w:val="center"/>
                </w:tcPr>
                <w:p>
                  <w:pPr>
                    <w:jc w:val="center"/>
                    <w:rPr>
                      <w:rFonts w:hint="eastAsia"/>
                      <w:szCs w:val="21"/>
                    </w:rPr>
                  </w:pPr>
                  <w:r>
                    <w:rPr>
                      <w:rFonts w:hint="eastAsia"/>
                      <w:lang w:eastAsia="zh-CN"/>
                    </w:rPr>
                    <w:t>砂石料堆场</w:t>
                  </w:r>
                  <w:r>
                    <w:rPr>
                      <w:rFonts w:hint="eastAsia"/>
                    </w:rPr>
                    <w:t>拟采用带顶棚的彩钢瓦进行全封闭遮挡降尘,拟对地面进行硬化;顶部安装喷淋抑尘装置:卸料、进料时均开启</w:t>
                  </w:r>
                  <w:r>
                    <w:rPr>
                      <w:rFonts w:hint="eastAsia"/>
                      <w:lang w:eastAsia="zh-CN"/>
                    </w:rPr>
                    <w:t>喷淋系统及洒水车</w:t>
                  </w:r>
                  <w:r>
                    <w:rPr>
                      <w:rFonts w:hint="eastAsia"/>
                    </w:rPr>
                    <w:t>进行喷雾降尘</w:t>
                  </w:r>
                </w:p>
              </w:tc>
              <w:tc>
                <w:tcPr>
                  <w:tcW w:w="2272" w:type="dxa"/>
                  <w:vMerge w:val="continue"/>
                  <w:noWrap w:val="0"/>
                  <w:vAlign w:val="center"/>
                </w:tcPr>
                <w:p>
                  <w:pPr>
                    <w:jc w:val="center"/>
                    <w:rPr>
                      <w:rFonts w:hint="eastAsia"/>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jc w:val="center"/>
              </w:trPr>
              <w:tc>
                <w:tcPr>
                  <w:tcW w:w="1318" w:type="dxa"/>
                  <w:vMerge w:val="continue"/>
                  <w:noWrap w:val="0"/>
                  <w:vAlign w:val="center"/>
                </w:tcPr>
                <w:p>
                  <w:pPr>
                    <w:jc w:val="center"/>
                    <w:rPr>
                      <w:b/>
                      <w:bCs/>
                      <w:szCs w:val="21"/>
                    </w:rPr>
                  </w:pPr>
                </w:p>
              </w:tc>
              <w:tc>
                <w:tcPr>
                  <w:tcW w:w="1750" w:type="dxa"/>
                  <w:noWrap w:val="0"/>
                  <w:vAlign w:val="center"/>
                </w:tcPr>
                <w:p>
                  <w:pPr>
                    <w:jc w:val="center"/>
                  </w:pPr>
                  <w:r>
                    <w:rPr>
                      <w:rFonts w:hint="eastAsia"/>
                    </w:rPr>
                    <w:t>厂区物料运输</w:t>
                  </w:r>
                </w:p>
              </w:tc>
              <w:tc>
                <w:tcPr>
                  <w:tcW w:w="1125" w:type="dxa"/>
                  <w:noWrap w:val="0"/>
                  <w:vAlign w:val="center"/>
                </w:tcPr>
                <w:p>
                  <w:pPr>
                    <w:jc w:val="center"/>
                    <w:rPr>
                      <w:rFonts w:hint="eastAsia"/>
                      <w:szCs w:val="21"/>
                    </w:rPr>
                  </w:pPr>
                  <w:r>
                    <w:rPr>
                      <w:rFonts w:hint="eastAsia"/>
                    </w:rPr>
                    <w:t>颗粒物</w:t>
                  </w:r>
                </w:p>
              </w:tc>
              <w:tc>
                <w:tcPr>
                  <w:tcW w:w="2335" w:type="dxa"/>
                  <w:tcBorders>
                    <w:top w:val="single" w:color="auto" w:sz="4" w:space="0"/>
                    <w:bottom w:val="single" w:color="auto" w:sz="4" w:space="0"/>
                  </w:tcBorders>
                  <w:noWrap w:val="0"/>
                  <w:vAlign w:val="center"/>
                </w:tcPr>
                <w:p>
                  <w:pPr>
                    <w:jc w:val="center"/>
                    <w:rPr>
                      <w:rFonts w:hint="eastAsia"/>
                      <w:szCs w:val="21"/>
                    </w:rPr>
                  </w:pPr>
                  <w:r>
                    <w:rPr>
                      <w:rFonts w:hint="eastAsia"/>
                    </w:rPr>
                    <w:t>拟在原料库房进出道路及进出口处设置喷淋设施,在厂区内拟设置</w:t>
                  </w:r>
                  <w:r>
                    <w:rPr>
                      <w:rFonts w:hint="eastAsia"/>
                      <w:lang w:val="en-US" w:eastAsia="zh-CN"/>
                    </w:rPr>
                    <w:t>1</w:t>
                  </w:r>
                  <w:r>
                    <w:rPr>
                      <w:rFonts w:hint="eastAsia"/>
                      <w:lang w:eastAsia="zh-CN"/>
                    </w:rPr>
                    <w:t>辆洒水车</w:t>
                  </w:r>
                  <w:r>
                    <w:rPr>
                      <w:rFonts w:hint="eastAsia"/>
                    </w:rPr>
                    <w:t>进行降尘,在罐车运输场地及厂区出入口处设置洒水车进行</w:t>
                  </w:r>
                  <w:r>
                    <w:rPr>
                      <w:rFonts w:hint="eastAsia"/>
                      <w:lang w:eastAsia="zh-CN"/>
                    </w:rPr>
                    <w:t>洒</w:t>
                  </w:r>
                  <w:r>
                    <w:rPr>
                      <w:rFonts w:hint="eastAsia"/>
                    </w:rPr>
                    <w:t>水降尘;对生产区域及场地硬化区域每天洒水冲洗2次</w:t>
                  </w:r>
                </w:p>
              </w:tc>
              <w:tc>
                <w:tcPr>
                  <w:tcW w:w="2272" w:type="dxa"/>
                  <w:vMerge w:val="continue"/>
                  <w:tcBorders>
                    <w:bottom w:val="single" w:color="auto" w:sz="4" w:space="0"/>
                  </w:tcBorders>
                  <w:noWrap w:val="0"/>
                  <w:vAlign w:val="center"/>
                </w:tcPr>
                <w:p>
                  <w:pPr>
                    <w:jc w:val="center"/>
                    <w:rPr>
                      <w:rFonts w:hint="eastAsia"/>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jc w:val="center"/>
              </w:trPr>
              <w:tc>
                <w:tcPr>
                  <w:tcW w:w="1318" w:type="dxa"/>
                  <w:vMerge w:val="continue"/>
                  <w:noWrap w:val="0"/>
                  <w:vAlign w:val="center"/>
                </w:tcPr>
                <w:p>
                  <w:pPr>
                    <w:jc w:val="center"/>
                    <w:rPr>
                      <w:b/>
                      <w:bCs/>
                      <w:szCs w:val="21"/>
                    </w:rPr>
                  </w:pPr>
                </w:p>
              </w:tc>
              <w:tc>
                <w:tcPr>
                  <w:tcW w:w="1750" w:type="dxa"/>
                  <w:noWrap w:val="0"/>
                  <w:vAlign w:val="center"/>
                </w:tcPr>
                <w:p>
                  <w:pPr>
                    <w:jc w:val="center"/>
                    <w:rPr>
                      <w:rFonts w:hint="eastAsia" w:eastAsia="宋体"/>
                      <w:lang w:eastAsia="zh-CN"/>
                    </w:rPr>
                  </w:pPr>
                  <w:r>
                    <w:rPr>
                      <w:rFonts w:hint="eastAsia"/>
                      <w:lang w:eastAsia="zh-CN"/>
                    </w:rPr>
                    <w:t>厨房</w:t>
                  </w:r>
                </w:p>
              </w:tc>
              <w:tc>
                <w:tcPr>
                  <w:tcW w:w="1125" w:type="dxa"/>
                  <w:noWrap w:val="0"/>
                  <w:vAlign w:val="center"/>
                </w:tcPr>
                <w:p>
                  <w:pPr>
                    <w:jc w:val="center"/>
                    <w:rPr>
                      <w:rFonts w:hint="eastAsia"/>
                      <w:szCs w:val="21"/>
                    </w:rPr>
                  </w:pPr>
                  <w:r>
                    <w:rPr>
                      <w:rFonts w:hint="eastAsia"/>
                    </w:rPr>
                    <w:t>油烟废气</w:t>
                  </w:r>
                </w:p>
              </w:tc>
              <w:tc>
                <w:tcPr>
                  <w:tcW w:w="2335" w:type="dxa"/>
                  <w:tcBorders>
                    <w:top w:val="single" w:color="auto" w:sz="4" w:space="0"/>
                    <w:bottom w:val="single" w:color="auto" w:sz="4" w:space="0"/>
                  </w:tcBorders>
                  <w:noWrap w:val="0"/>
                  <w:vAlign w:val="center"/>
                </w:tcPr>
                <w:p>
                  <w:pPr>
                    <w:jc w:val="center"/>
                    <w:rPr>
                      <w:rFonts w:hint="eastAsia"/>
                      <w:szCs w:val="21"/>
                    </w:rPr>
                  </w:pPr>
                  <w:r>
                    <w:rPr>
                      <w:rFonts w:hint="default" w:ascii="Times New Roman" w:hAnsi="Times New Roman" w:cs="Times New Roman"/>
                      <w:color w:val="auto"/>
                      <w:sz w:val="21"/>
                      <w:szCs w:val="21"/>
                      <w:lang w:val="en-US" w:eastAsia="zh-CN"/>
                    </w:rPr>
                    <w:t>经抽油烟机抽吸后自然稀释扩散</w:t>
                  </w:r>
                </w:p>
              </w:tc>
              <w:tc>
                <w:tcPr>
                  <w:tcW w:w="2272" w:type="dxa"/>
                  <w:tcBorders>
                    <w:top w:val="single" w:color="auto" w:sz="4" w:space="0"/>
                    <w:bottom w:val="single" w:color="auto" w:sz="4" w:space="0"/>
                  </w:tcBorders>
                  <w:noWrap w:val="0"/>
                  <w:vAlign w:val="center"/>
                </w:tcPr>
                <w:p>
                  <w:pPr>
                    <w:jc w:val="center"/>
                    <w:rPr>
                      <w:rFonts w:hint="eastAsia"/>
                      <w:snapToGrid w:val="0"/>
                      <w:kern w:val="0"/>
                      <w:szCs w:val="21"/>
                    </w:rPr>
                  </w:pPr>
                  <w:r>
                    <w:rPr>
                      <w:rFonts w:hint="eastAsia"/>
                      <w:snapToGrid w:val="0"/>
                      <w:kern w:val="0"/>
                      <w:szCs w:val="21"/>
                    </w:rPr>
                    <w:t>满足GB18483-2001《饮食业油烟排放标准（试行）》小型标准要求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jc w:val="center"/>
              </w:trPr>
              <w:tc>
                <w:tcPr>
                  <w:tcW w:w="1318" w:type="dxa"/>
                  <w:vMerge w:val="restart"/>
                  <w:noWrap w:val="0"/>
                  <w:vAlign w:val="center"/>
                </w:tcPr>
                <w:p>
                  <w:pPr>
                    <w:jc w:val="center"/>
                    <w:rPr>
                      <w:b/>
                      <w:bCs/>
                      <w:szCs w:val="21"/>
                    </w:rPr>
                  </w:pPr>
                  <w:r>
                    <w:rPr>
                      <w:b/>
                      <w:bCs/>
                      <w:szCs w:val="21"/>
                    </w:rPr>
                    <w:t>地表水环境</w:t>
                  </w:r>
                </w:p>
              </w:tc>
              <w:tc>
                <w:tcPr>
                  <w:tcW w:w="1750" w:type="dxa"/>
                  <w:noWrap w:val="0"/>
                  <w:vAlign w:val="center"/>
                </w:tcPr>
                <w:p>
                  <w:pPr>
                    <w:jc w:val="center"/>
                    <w:rPr>
                      <w:snapToGrid w:val="0"/>
                      <w:kern w:val="0"/>
                      <w:szCs w:val="21"/>
                    </w:rPr>
                  </w:pPr>
                  <w:r>
                    <w:rPr>
                      <w:rFonts w:hint="eastAsia"/>
                      <w:snapToGrid w:val="0"/>
                      <w:kern w:val="0"/>
                      <w:szCs w:val="21"/>
                    </w:rPr>
                    <w:t>生产废水</w:t>
                  </w:r>
                </w:p>
              </w:tc>
              <w:tc>
                <w:tcPr>
                  <w:tcW w:w="1125" w:type="dxa"/>
                  <w:noWrap w:val="0"/>
                  <w:vAlign w:val="center"/>
                </w:tcPr>
                <w:p>
                  <w:pPr>
                    <w:jc w:val="center"/>
                    <w:rPr>
                      <w:snapToGrid w:val="0"/>
                      <w:kern w:val="0"/>
                      <w:szCs w:val="21"/>
                    </w:rPr>
                  </w:pPr>
                  <w:r>
                    <w:rPr>
                      <w:rFonts w:hint="eastAsia"/>
                      <w:snapToGrid w:val="0"/>
                      <w:kern w:val="0"/>
                      <w:szCs w:val="21"/>
                    </w:rPr>
                    <w:t>S</w:t>
                  </w:r>
                  <w:r>
                    <w:rPr>
                      <w:snapToGrid w:val="0"/>
                      <w:kern w:val="0"/>
                      <w:szCs w:val="21"/>
                    </w:rPr>
                    <w:t>S</w:t>
                  </w:r>
                </w:p>
              </w:tc>
              <w:tc>
                <w:tcPr>
                  <w:tcW w:w="2335" w:type="dxa"/>
                  <w:noWrap w:val="0"/>
                  <w:vAlign w:val="center"/>
                </w:tcPr>
                <w:p>
                  <w:pPr>
                    <w:jc w:val="center"/>
                    <w:rPr>
                      <w:szCs w:val="21"/>
                    </w:rPr>
                  </w:pPr>
                  <w:r>
                    <w:rPr>
                      <w:rFonts w:hint="eastAsia"/>
                      <w:szCs w:val="21"/>
                      <w:lang w:val="en-US" w:eastAsia="zh-CN"/>
                    </w:rPr>
                    <w:t>3</w:t>
                  </w:r>
                  <w:r>
                    <w:rPr>
                      <w:rFonts w:hint="eastAsia"/>
                      <w:szCs w:val="21"/>
                    </w:rPr>
                    <w:t>个容</w:t>
                  </w:r>
                  <w:r>
                    <w:rPr>
                      <w:rFonts w:hint="eastAsia" w:cs="Times New Roman"/>
                    </w:rPr>
                    <w:t xml:space="preserve">积为 </w:t>
                  </w:r>
                  <w:r>
                    <w:rPr>
                      <w:rFonts w:hint="eastAsia" w:cs="Times New Roman"/>
                      <w:lang w:val="en-US" w:eastAsia="zh-CN"/>
                    </w:rPr>
                    <w:t>20㎥/个的沉淀池，</w:t>
                  </w:r>
                  <w:r>
                    <w:rPr>
                      <w:rFonts w:hint="default" w:cs="Times New Roman"/>
                    </w:rPr>
                    <w:t>用于处理生产废水，废水处理后回</w:t>
                  </w:r>
                  <w:r>
                    <w:rPr>
                      <w:rFonts w:hint="default" w:ascii="Times New Roman" w:hAnsi="Times New Roman" w:cs="Times New Roman"/>
                      <w:bCs/>
                      <w:color w:val="auto"/>
                      <w:sz w:val="21"/>
                      <w:szCs w:val="21"/>
                    </w:rPr>
                    <w:t>用于混凝土生产，不外排。</w:t>
                  </w:r>
                </w:p>
              </w:tc>
              <w:tc>
                <w:tcPr>
                  <w:tcW w:w="2272" w:type="dxa"/>
                  <w:noWrap w:val="0"/>
                  <w:vAlign w:val="center"/>
                </w:tcPr>
                <w:p>
                  <w:pPr>
                    <w:jc w:val="center"/>
                    <w:rPr>
                      <w:szCs w:val="21"/>
                    </w:rPr>
                  </w:pPr>
                  <w:r>
                    <w:rPr>
                      <w:rFonts w:hint="eastAsia"/>
                      <w:szCs w:val="21"/>
                    </w:rPr>
                    <w:t>无废水外排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595" w:hRule="atLeast"/>
                <w:jc w:val="center"/>
              </w:trPr>
              <w:tc>
                <w:tcPr>
                  <w:tcW w:w="1318" w:type="dxa"/>
                  <w:vMerge w:val="continue"/>
                  <w:noWrap w:val="0"/>
                  <w:vAlign w:val="center"/>
                </w:tcPr>
                <w:p>
                  <w:pPr>
                    <w:jc w:val="center"/>
                    <w:rPr>
                      <w:b/>
                      <w:bCs/>
                      <w:szCs w:val="21"/>
                    </w:rPr>
                  </w:pPr>
                </w:p>
              </w:tc>
              <w:tc>
                <w:tcPr>
                  <w:tcW w:w="1750" w:type="dxa"/>
                  <w:noWrap w:val="0"/>
                  <w:vAlign w:val="center"/>
                </w:tcPr>
                <w:p>
                  <w:pPr>
                    <w:jc w:val="center"/>
                    <w:rPr>
                      <w:snapToGrid w:val="0"/>
                      <w:kern w:val="0"/>
                      <w:szCs w:val="21"/>
                    </w:rPr>
                  </w:pPr>
                  <w:r>
                    <w:rPr>
                      <w:snapToGrid w:val="0"/>
                      <w:kern w:val="0"/>
                      <w:szCs w:val="21"/>
                    </w:rPr>
                    <w:t>生活废水</w:t>
                  </w:r>
                </w:p>
              </w:tc>
              <w:tc>
                <w:tcPr>
                  <w:tcW w:w="1125" w:type="dxa"/>
                  <w:noWrap w:val="0"/>
                  <w:vAlign w:val="center"/>
                </w:tcPr>
                <w:p>
                  <w:pPr>
                    <w:jc w:val="center"/>
                    <w:rPr>
                      <w:snapToGrid w:val="0"/>
                      <w:kern w:val="0"/>
                      <w:szCs w:val="21"/>
                    </w:rPr>
                  </w:pPr>
                  <w:r>
                    <w:rPr>
                      <w:rFonts w:hint="default" w:ascii="Times New Roman" w:hAnsi="Times New Roman" w:cs="Times New Roman"/>
                      <w:color w:val="auto"/>
                      <w:sz w:val="21"/>
                      <w:szCs w:val="21"/>
                    </w:rPr>
                    <w:t>CODcr、BOD</w:t>
                  </w:r>
                  <w:r>
                    <w:rPr>
                      <w:rFonts w:hint="default" w:ascii="Times New Roman" w:hAnsi="Times New Roman" w:cs="Times New Roman"/>
                      <w:color w:val="auto"/>
                      <w:sz w:val="21"/>
                      <w:szCs w:val="21"/>
                      <w:vertAlign w:val="subscript"/>
                    </w:rPr>
                    <w:t>5</w:t>
                  </w:r>
                  <w:r>
                    <w:rPr>
                      <w:rFonts w:hint="default" w:ascii="Times New Roman" w:hAnsi="Times New Roman" w:cs="Times New Roman"/>
                      <w:color w:val="auto"/>
                      <w:sz w:val="21"/>
                      <w:szCs w:val="21"/>
                    </w:rPr>
                    <w:t>、SS、氨氮、动植物油、总磷</w:t>
                  </w:r>
                </w:p>
              </w:tc>
              <w:tc>
                <w:tcPr>
                  <w:tcW w:w="2335" w:type="dxa"/>
                  <w:noWrap w:val="0"/>
                  <w:vAlign w:val="center"/>
                </w:tcPr>
                <w:p>
                  <w:pPr>
                    <w:jc w:val="center"/>
                    <w:rPr>
                      <w:rFonts w:hint="eastAsia"/>
                      <w:szCs w:val="21"/>
                    </w:rPr>
                  </w:pPr>
                  <w:r>
                    <w:rPr>
                      <w:rFonts w:hint="default" w:ascii="Times New Roman" w:hAnsi="Times New Roman" w:eastAsia="宋体" w:cs="Times New Roman"/>
                      <w:color w:val="auto"/>
                      <w:sz w:val="21"/>
                      <w:szCs w:val="21"/>
                      <w:lang w:val="en-US" w:eastAsia="zh-CN"/>
                    </w:rPr>
                    <w:t>项</w:t>
                  </w:r>
                  <w:r>
                    <w:rPr>
                      <w:rFonts w:hint="default" w:ascii="Times New Roman" w:hAnsi="Times New Roman" w:cs="Times New Roman"/>
                      <w:bCs/>
                      <w:color w:val="auto"/>
                      <w:sz w:val="21"/>
                      <w:szCs w:val="21"/>
                      <w:lang w:val="en-US" w:eastAsia="zh-CN"/>
                    </w:rPr>
                    <w:t>目拟在厨房设置1个容积不低于1m</w:t>
                  </w:r>
                  <w:r>
                    <w:rPr>
                      <w:rFonts w:hint="default" w:ascii="Times New Roman" w:hAnsi="Times New Roman" w:cs="Times New Roman"/>
                      <w:bCs/>
                      <w:color w:val="auto"/>
                      <w:sz w:val="21"/>
                      <w:szCs w:val="21"/>
                      <w:vertAlign w:val="superscript"/>
                      <w:lang w:val="en-US" w:eastAsia="zh-CN"/>
                    </w:rPr>
                    <w:t>3</w:t>
                  </w:r>
                  <w:r>
                    <w:rPr>
                      <w:rFonts w:hint="default" w:ascii="Times New Roman" w:hAnsi="Times New Roman" w:cs="Times New Roman"/>
                      <w:bCs/>
                      <w:color w:val="auto"/>
                      <w:sz w:val="21"/>
                      <w:szCs w:val="21"/>
                      <w:lang w:val="en-US" w:eastAsia="zh-CN"/>
                    </w:rPr>
                    <w:t>的一体化油水分离器，厂区内设置1座容积为12m</w:t>
                  </w:r>
                  <w:r>
                    <w:rPr>
                      <w:rFonts w:hint="default" w:ascii="Times New Roman" w:hAnsi="Times New Roman" w:cs="Times New Roman"/>
                      <w:bCs/>
                      <w:color w:val="auto"/>
                      <w:sz w:val="21"/>
                      <w:szCs w:val="21"/>
                      <w:vertAlign w:val="superscript"/>
                      <w:lang w:val="en-US" w:eastAsia="zh-CN"/>
                    </w:rPr>
                    <w:t>3</w:t>
                  </w:r>
                  <w:r>
                    <w:rPr>
                      <w:rFonts w:hint="default" w:ascii="Times New Roman" w:hAnsi="Times New Roman" w:cs="Times New Roman"/>
                      <w:bCs/>
                      <w:color w:val="auto"/>
                      <w:sz w:val="21"/>
                      <w:szCs w:val="21"/>
                      <w:lang w:val="en-US" w:eastAsia="zh-CN"/>
                    </w:rPr>
                    <w:t>的化粪池。项目</w:t>
                  </w:r>
                  <w:r>
                    <w:rPr>
                      <w:rFonts w:hint="default" w:ascii="Times New Roman" w:hAnsi="Times New Roman" w:cs="Times New Roman"/>
                      <w:color w:val="auto"/>
                      <w:sz w:val="21"/>
                      <w:szCs w:val="21"/>
                      <w:highlight w:val="none"/>
                      <w:lang w:val="en-US" w:eastAsia="zh-CN"/>
                    </w:rPr>
                    <w:t>生活污水经一体化油水分离器、化粪池预处理后委托周边农户定期清掏清运作为农肥，废水均不外排。</w:t>
                  </w:r>
                </w:p>
              </w:tc>
              <w:tc>
                <w:tcPr>
                  <w:tcW w:w="2272" w:type="dxa"/>
                  <w:noWrap w:val="0"/>
                  <w:vAlign w:val="center"/>
                </w:tcPr>
                <w:p>
                  <w:pPr>
                    <w:jc w:val="center"/>
                    <w:rPr>
                      <w:szCs w:val="21"/>
                    </w:rPr>
                  </w:pPr>
                  <w:r>
                    <w:rPr>
                      <w:szCs w:val="21"/>
                    </w:rPr>
                    <w:t>无废水外排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595" w:hRule="atLeast"/>
                <w:jc w:val="center"/>
              </w:trPr>
              <w:tc>
                <w:tcPr>
                  <w:tcW w:w="1318" w:type="dxa"/>
                  <w:vMerge w:val="continue"/>
                  <w:noWrap w:val="0"/>
                  <w:vAlign w:val="center"/>
                </w:tcPr>
                <w:p>
                  <w:pPr>
                    <w:jc w:val="center"/>
                    <w:rPr>
                      <w:b/>
                      <w:bCs/>
                      <w:szCs w:val="21"/>
                    </w:rPr>
                  </w:pPr>
                </w:p>
              </w:tc>
              <w:tc>
                <w:tcPr>
                  <w:tcW w:w="1750" w:type="dxa"/>
                  <w:noWrap w:val="0"/>
                  <w:vAlign w:val="center"/>
                </w:tcPr>
                <w:p>
                  <w:pPr>
                    <w:jc w:val="center"/>
                    <w:rPr>
                      <w:snapToGrid w:val="0"/>
                      <w:kern w:val="0"/>
                      <w:szCs w:val="21"/>
                    </w:rPr>
                  </w:pPr>
                  <w:r>
                    <w:rPr>
                      <w:rFonts w:hint="eastAsia"/>
                      <w:snapToGrid w:val="0"/>
                      <w:kern w:val="0"/>
                      <w:szCs w:val="21"/>
                    </w:rPr>
                    <w:t>初期雨水</w:t>
                  </w:r>
                </w:p>
              </w:tc>
              <w:tc>
                <w:tcPr>
                  <w:tcW w:w="1125" w:type="dxa"/>
                  <w:noWrap w:val="0"/>
                  <w:vAlign w:val="center"/>
                </w:tcPr>
                <w:p>
                  <w:pPr>
                    <w:jc w:val="center"/>
                    <w:rPr>
                      <w:snapToGrid w:val="0"/>
                      <w:kern w:val="0"/>
                      <w:szCs w:val="21"/>
                    </w:rPr>
                  </w:pPr>
                  <w:r>
                    <w:rPr>
                      <w:rFonts w:hint="eastAsia"/>
                      <w:snapToGrid w:val="0"/>
                      <w:kern w:val="0"/>
                      <w:szCs w:val="21"/>
                    </w:rPr>
                    <w:t>S</w:t>
                  </w:r>
                  <w:r>
                    <w:rPr>
                      <w:snapToGrid w:val="0"/>
                      <w:kern w:val="0"/>
                      <w:szCs w:val="21"/>
                    </w:rPr>
                    <w:t>S</w:t>
                  </w:r>
                </w:p>
              </w:tc>
              <w:tc>
                <w:tcPr>
                  <w:tcW w:w="2335" w:type="dxa"/>
                  <w:noWrap w:val="0"/>
                  <w:vAlign w:val="center"/>
                </w:tcPr>
                <w:p>
                  <w:pPr>
                    <w:jc w:val="center"/>
                    <w:rPr>
                      <w:rFonts w:hint="eastAsia"/>
                      <w:szCs w:val="21"/>
                    </w:rPr>
                  </w:pPr>
                  <w:r>
                    <w:rPr>
                      <w:rFonts w:hint="default" w:ascii="Times New Roman" w:hAnsi="Times New Roman" w:cs="Times New Roman"/>
                      <w:color w:val="auto"/>
                      <w:sz w:val="21"/>
                      <w:szCs w:val="21"/>
                      <w:lang w:val="en-US" w:eastAsia="zh-CN"/>
                    </w:rPr>
                    <w:t>经项目区2个总容积为</w:t>
                  </w:r>
                  <w:r>
                    <w:rPr>
                      <w:rFonts w:hint="default" w:ascii="Times New Roman" w:hAnsi="Times New Roman" w:cs="Times New Roman"/>
                      <w:color w:val="auto"/>
                      <w:sz w:val="21"/>
                      <w:szCs w:val="21"/>
                      <w:highlight w:val="none"/>
                      <w:lang w:val="en-US" w:eastAsia="zh-CN"/>
                    </w:rPr>
                    <w:t>10m</w:t>
                  </w:r>
                  <w:r>
                    <w:rPr>
                      <w:rFonts w:hint="default" w:ascii="Times New Roman" w:hAnsi="Times New Roman" w:cs="Times New Roman"/>
                      <w:color w:val="auto"/>
                      <w:sz w:val="21"/>
                      <w:szCs w:val="21"/>
                      <w:highlight w:val="none"/>
                      <w:vertAlign w:val="superscript"/>
                      <w:lang w:val="en-US" w:eastAsia="zh-CN"/>
                    </w:rPr>
                    <w:t>3</w:t>
                  </w:r>
                  <w:r>
                    <w:rPr>
                      <w:rFonts w:hint="default" w:ascii="Times New Roman" w:hAnsi="Times New Roman" w:cs="Times New Roman"/>
                      <w:color w:val="auto"/>
                      <w:sz w:val="21"/>
                      <w:szCs w:val="21"/>
                      <w:lang w:val="en-US" w:eastAsia="zh-CN"/>
                    </w:rPr>
                    <w:t>的初期雨水收集池沉淀处理后回用于生产，不外排</w:t>
                  </w:r>
                </w:p>
              </w:tc>
              <w:tc>
                <w:tcPr>
                  <w:tcW w:w="2272" w:type="dxa"/>
                  <w:noWrap w:val="0"/>
                  <w:vAlign w:val="center"/>
                </w:tcPr>
                <w:p>
                  <w:pPr>
                    <w:jc w:val="center"/>
                    <w:rPr>
                      <w:rFonts w:hint="eastAsia"/>
                      <w:szCs w:val="21"/>
                    </w:rPr>
                  </w:pPr>
                  <w:r>
                    <w:rPr>
                      <w:rFonts w:hint="eastAsia"/>
                      <w:szCs w:val="21"/>
                    </w:rPr>
                    <w:t>处理初期雨水回用于项目区洒水降尘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318" w:type="dxa"/>
                  <w:noWrap w:val="0"/>
                  <w:vAlign w:val="center"/>
                </w:tcPr>
                <w:p>
                  <w:pPr>
                    <w:jc w:val="center"/>
                    <w:rPr>
                      <w:b/>
                      <w:bCs/>
                      <w:szCs w:val="21"/>
                    </w:rPr>
                  </w:pPr>
                  <w:r>
                    <w:rPr>
                      <w:b/>
                      <w:bCs/>
                      <w:szCs w:val="21"/>
                    </w:rPr>
                    <w:t>声环境</w:t>
                  </w:r>
                </w:p>
              </w:tc>
              <w:tc>
                <w:tcPr>
                  <w:tcW w:w="1750" w:type="dxa"/>
                  <w:noWrap w:val="0"/>
                  <w:vAlign w:val="center"/>
                </w:tcPr>
                <w:p>
                  <w:pPr>
                    <w:jc w:val="center"/>
                    <w:rPr>
                      <w:szCs w:val="21"/>
                    </w:rPr>
                  </w:pPr>
                  <w:r>
                    <w:rPr>
                      <w:szCs w:val="21"/>
                    </w:rPr>
                    <w:t>生产设备噪声</w:t>
                  </w:r>
                </w:p>
              </w:tc>
              <w:tc>
                <w:tcPr>
                  <w:tcW w:w="1125" w:type="dxa"/>
                  <w:noWrap w:val="0"/>
                  <w:vAlign w:val="center"/>
                </w:tcPr>
                <w:p>
                  <w:pPr>
                    <w:jc w:val="center"/>
                    <w:rPr>
                      <w:szCs w:val="21"/>
                    </w:rPr>
                  </w:pPr>
                  <w:r>
                    <w:rPr>
                      <w:rFonts w:hint="default" w:ascii="Times New Roman" w:hAnsi="Times New Roman" w:eastAsia="TimesNewRomanPSMT" w:cs="Times New Roman"/>
                      <w:color w:val="auto"/>
                      <w:sz w:val="21"/>
                      <w:szCs w:val="21"/>
                    </w:rPr>
                    <w:t>Leq</w:t>
                  </w:r>
                  <w:r>
                    <w:rPr>
                      <w:rFonts w:hint="default" w:ascii="Times New Roman" w:hAnsi="Times New Roman" w:eastAsia="宋体" w:cs="Times New Roman"/>
                      <w:color w:val="auto"/>
                      <w:sz w:val="21"/>
                      <w:szCs w:val="21"/>
                    </w:rPr>
                    <w:t>（</w:t>
                  </w:r>
                  <w:r>
                    <w:rPr>
                      <w:rFonts w:hint="default" w:ascii="Times New Roman" w:hAnsi="Times New Roman" w:eastAsia="TimesNewRomanPSMT" w:cs="Times New Roman"/>
                      <w:color w:val="auto"/>
                      <w:sz w:val="21"/>
                      <w:szCs w:val="21"/>
                    </w:rPr>
                    <w:t>A</w:t>
                  </w:r>
                  <w:r>
                    <w:rPr>
                      <w:rFonts w:hint="default" w:ascii="Times New Roman" w:hAnsi="Times New Roman" w:eastAsia="宋体" w:cs="Times New Roman"/>
                      <w:color w:val="auto"/>
                      <w:sz w:val="21"/>
                      <w:szCs w:val="21"/>
                    </w:rPr>
                    <w:t>）</w:t>
                  </w:r>
                </w:p>
              </w:tc>
              <w:tc>
                <w:tcPr>
                  <w:tcW w:w="2335" w:type="dxa"/>
                  <w:noWrap w:val="0"/>
                  <w:vAlign w:val="center"/>
                </w:tcPr>
                <w:p>
                  <w:pPr>
                    <w:jc w:val="center"/>
                    <w:rPr>
                      <w:szCs w:val="21"/>
                    </w:rPr>
                  </w:pPr>
                  <w:r>
                    <w:rPr>
                      <w:rFonts w:hint="eastAsia"/>
                    </w:rPr>
                    <w:t>安装减震、厂房隔声、距离衰减</w:t>
                  </w:r>
                </w:p>
              </w:tc>
              <w:tc>
                <w:tcPr>
                  <w:tcW w:w="2272" w:type="dxa"/>
                  <w:noWrap w:val="0"/>
                  <w:vAlign w:val="center"/>
                </w:tcPr>
                <w:p>
                  <w:pPr>
                    <w:jc w:val="center"/>
                    <w:rPr>
                      <w:szCs w:val="21"/>
                    </w:rPr>
                  </w:pPr>
                  <w:r>
                    <w:rPr>
                      <w:rFonts w:hint="eastAsia"/>
                    </w:rPr>
                    <w:t>达到《工业企业厂界环境噪声排放标准》（GB12348-2008）2类标准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318" w:type="dxa"/>
                  <w:vMerge w:val="restart"/>
                  <w:noWrap w:val="0"/>
                  <w:vAlign w:val="center"/>
                </w:tcPr>
                <w:p>
                  <w:pPr>
                    <w:jc w:val="center"/>
                    <w:rPr>
                      <w:b/>
                      <w:bCs/>
                      <w:szCs w:val="21"/>
                    </w:rPr>
                  </w:pPr>
                  <w:r>
                    <w:rPr>
                      <w:b/>
                      <w:bCs/>
                      <w:szCs w:val="21"/>
                    </w:rPr>
                    <w:t>电磁辐射</w:t>
                  </w:r>
                </w:p>
              </w:tc>
              <w:tc>
                <w:tcPr>
                  <w:tcW w:w="1750" w:type="dxa"/>
                  <w:noWrap w:val="0"/>
                  <w:vAlign w:val="center"/>
                </w:tcPr>
                <w:p>
                  <w:pPr>
                    <w:jc w:val="center"/>
                    <w:rPr>
                      <w:szCs w:val="21"/>
                    </w:rPr>
                  </w:pPr>
                  <w:r>
                    <w:rPr>
                      <w:szCs w:val="21"/>
                    </w:rPr>
                    <w:t>/</w:t>
                  </w:r>
                </w:p>
              </w:tc>
              <w:tc>
                <w:tcPr>
                  <w:tcW w:w="1125" w:type="dxa"/>
                  <w:noWrap w:val="0"/>
                  <w:vAlign w:val="center"/>
                </w:tcPr>
                <w:p>
                  <w:pPr>
                    <w:jc w:val="center"/>
                    <w:rPr>
                      <w:szCs w:val="21"/>
                    </w:rPr>
                  </w:pPr>
                  <w:r>
                    <w:rPr>
                      <w:szCs w:val="21"/>
                    </w:rPr>
                    <w:t>/</w:t>
                  </w:r>
                </w:p>
              </w:tc>
              <w:tc>
                <w:tcPr>
                  <w:tcW w:w="2335" w:type="dxa"/>
                  <w:noWrap w:val="0"/>
                  <w:vAlign w:val="center"/>
                </w:tcPr>
                <w:p>
                  <w:pPr>
                    <w:jc w:val="center"/>
                    <w:rPr>
                      <w:szCs w:val="21"/>
                    </w:rPr>
                  </w:pPr>
                  <w:r>
                    <w:rPr>
                      <w:szCs w:val="21"/>
                    </w:rPr>
                    <w:t>/</w:t>
                  </w:r>
                </w:p>
              </w:tc>
              <w:tc>
                <w:tcPr>
                  <w:tcW w:w="2272" w:type="dxa"/>
                  <w:noWrap w:val="0"/>
                  <w:vAlign w:val="center"/>
                </w:tcPr>
                <w:p>
                  <w:pPr>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318" w:type="dxa"/>
                  <w:vMerge w:val="continue"/>
                  <w:noWrap w:val="0"/>
                  <w:vAlign w:val="center"/>
                </w:tcPr>
                <w:p>
                  <w:pPr>
                    <w:jc w:val="center"/>
                    <w:rPr>
                      <w:b/>
                      <w:bCs/>
                      <w:szCs w:val="21"/>
                    </w:rPr>
                  </w:pPr>
                </w:p>
              </w:tc>
              <w:tc>
                <w:tcPr>
                  <w:tcW w:w="1750" w:type="dxa"/>
                  <w:noWrap w:val="0"/>
                  <w:vAlign w:val="center"/>
                </w:tcPr>
                <w:p>
                  <w:pPr>
                    <w:jc w:val="center"/>
                    <w:rPr>
                      <w:szCs w:val="21"/>
                    </w:rPr>
                  </w:pPr>
                  <w:r>
                    <w:rPr>
                      <w:szCs w:val="21"/>
                    </w:rPr>
                    <w:t>/</w:t>
                  </w:r>
                </w:p>
              </w:tc>
              <w:tc>
                <w:tcPr>
                  <w:tcW w:w="1125" w:type="dxa"/>
                  <w:noWrap w:val="0"/>
                  <w:vAlign w:val="center"/>
                </w:tcPr>
                <w:p>
                  <w:pPr>
                    <w:jc w:val="center"/>
                    <w:rPr>
                      <w:szCs w:val="21"/>
                    </w:rPr>
                  </w:pPr>
                  <w:r>
                    <w:rPr>
                      <w:szCs w:val="21"/>
                    </w:rPr>
                    <w:t>/</w:t>
                  </w:r>
                </w:p>
              </w:tc>
              <w:tc>
                <w:tcPr>
                  <w:tcW w:w="2335" w:type="dxa"/>
                  <w:noWrap w:val="0"/>
                  <w:vAlign w:val="center"/>
                </w:tcPr>
                <w:p>
                  <w:pPr>
                    <w:jc w:val="center"/>
                    <w:rPr>
                      <w:szCs w:val="21"/>
                    </w:rPr>
                  </w:pPr>
                  <w:r>
                    <w:rPr>
                      <w:szCs w:val="21"/>
                    </w:rPr>
                    <w:t>/</w:t>
                  </w:r>
                </w:p>
              </w:tc>
              <w:tc>
                <w:tcPr>
                  <w:tcW w:w="2272" w:type="dxa"/>
                  <w:noWrap w:val="0"/>
                  <w:vAlign w:val="center"/>
                </w:tcPr>
                <w:p>
                  <w:pPr>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318" w:type="dxa"/>
                  <w:vMerge w:val="continue"/>
                  <w:noWrap w:val="0"/>
                  <w:vAlign w:val="center"/>
                </w:tcPr>
                <w:p>
                  <w:pPr>
                    <w:jc w:val="center"/>
                    <w:rPr>
                      <w:b/>
                      <w:bCs/>
                      <w:szCs w:val="21"/>
                    </w:rPr>
                  </w:pPr>
                </w:p>
              </w:tc>
              <w:tc>
                <w:tcPr>
                  <w:tcW w:w="1750" w:type="dxa"/>
                  <w:noWrap w:val="0"/>
                  <w:vAlign w:val="center"/>
                </w:tcPr>
                <w:p>
                  <w:pPr>
                    <w:jc w:val="center"/>
                    <w:rPr>
                      <w:szCs w:val="21"/>
                    </w:rPr>
                  </w:pPr>
                  <w:r>
                    <w:rPr>
                      <w:szCs w:val="21"/>
                    </w:rPr>
                    <w:t>/</w:t>
                  </w:r>
                </w:p>
              </w:tc>
              <w:tc>
                <w:tcPr>
                  <w:tcW w:w="1125" w:type="dxa"/>
                  <w:noWrap w:val="0"/>
                  <w:vAlign w:val="center"/>
                </w:tcPr>
                <w:p>
                  <w:pPr>
                    <w:jc w:val="center"/>
                    <w:rPr>
                      <w:szCs w:val="21"/>
                    </w:rPr>
                  </w:pPr>
                  <w:r>
                    <w:rPr>
                      <w:szCs w:val="21"/>
                    </w:rPr>
                    <w:t>/</w:t>
                  </w:r>
                </w:p>
              </w:tc>
              <w:tc>
                <w:tcPr>
                  <w:tcW w:w="2335" w:type="dxa"/>
                  <w:noWrap w:val="0"/>
                  <w:vAlign w:val="center"/>
                </w:tcPr>
                <w:p>
                  <w:pPr>
                    <w:jc w:val="center"/>
                    <w:rPr>
                      <w:szCs w:val="21"/>
                    </w:rPr>
                  </w:pPr>
                  <w:r>
                    <w:rPr>
                      <w:szCs w:val="21"/>
                    </w:rPr>
                    <w:t>/</w:t>
                  </w:r>
                </w:p>
              </w:tc>
              <w:tc>
                <w:tcPr>
                  <w:tcW w:w="2272" w:type="dxa"/>
                  <w:noWrap w:val="0"/>
                  <w:vAlign w:val="center"/>
                </w:tcPr>
                <w:p>
                  <w:pPr>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59" w:hRule="atLeast"/>
                <w:jc w:val="center"/>
              </w:trPr>
              <w:tc>
                <w:tcPr>
                  <w:tcW w:w="1318" w:type="dxa"/>
                  <w:noWrap w:val="0"/>
                  <w:vAlign w:val="center"/>
                </w:tcPr>
                <w:p>
                  <w:pPr>
                    <w:jc w:val="center"/>
                    <w:rPr>
                      <w:b/>
                      <w:bCs/>
                      <w:szCs w:val="21"/>
                    </w:rPr>
                  </w:pPr>
                  <w:r>
                    <w:rPr>
                      <w:b/>
                      <w:bCs/>
                      <w:szCs w:val="21"/>
                    </w:rPr>
                    <w:t>固体废物</w:t>
                  </w:r>
                </w:p>
              </w:tc>
              <w:tc>
                <w:tcPr>
                  <w:tcW w:w="7482" w:type="dxa"/>
                  <w:gridSpan w:val="4"/>
                  <w:noWrap w:val="0"/>
                  <w:vAlign w:val="center"/>
                </w:tcPr>
                <w:p>
                  <w:pPr>
                    <w:pStyle w:val="5"/>
                    <w:adjustRightInd w:val="0"/>
                    <w:spacing w:before="0" w:after="0" w:line="240" w:lineRule="auto"/>
                    <w:ind w:firstLineChars="200"/>
                    <w:rPr>
                      <w:rFonts w:hint="eastAsia"/>
                    </w:rPr>
                  </w:pPr>
                  <w:r>
                    <w:rPr>
                      <w:rFonts w:hint="default" w:ascii="Calibri" w:hAnsi="Calibri" w:eastAsia="宋体" w:cs="Times New Roman"/>
                      <w:kern w:val="2"/>
                      <w:sz w:val="24"/>
                      <w:szCs w:val="24"/>
                      <w:lang w:val="en-US" w:eastAsia="zh-CN" w:bidi="ar-SA"/>
                    </w:rPr>
                    <w:t>项目除尘设备收集的粉尘、搅拌机清洗产生的混凝土、混凝土运输罐车清洗产生的混凝土、生产废水沉淀池产生的沉淀泥砂均回用于生产；实验室混凝土块堆存在项目砂石料堆场区，定期外运用于垫路；厨房泔水经收集在泔水桶内由周边农户拉走作为饲料；生活垃圾统一收集于垃圾桶内，定期由环卫部门清运处理；含油抹布经收集后委托环卫部门统一收集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jc w:val="center"/>
              </w:trPr>
              <w:tc>
                <w:tcPr>
                  <w:tcW w:w="1318" w:type="dxa"/>
                  <w:noWrap w:val="0"/>
                  <w:vAlign w:val="center"/>
                </w:tcPr>
                <w:p>
                  <w:pPr>
                    <w:jc w:val="center"/>
                    <w:rPr>
                      <w:b/>
                      <w:bCs/>
                      <w:szCs w:val="21"/>
                    </w:rPr>
                  </w:pPr>
                  <w:r>
                    <w:rPr>
                      <w:b/>
                      <w:bCs/>
                      <w:szCs w:val="21"/>
                    </w:rPr>
                    <w:t>土壤及地下水污染防治措施</w:t>
                  </w:r>
                </w:p>
              </w:tc>
              <w:tc>
                <w:tcPr>
                  <w:tcW w:w="7482" w:type="dxa"/>
                  <w:gridSpan w:val="4"/>
                  <w:noWrap w:val="0"/>
                  <w:vAlign w:val="center"/>
                </w:tcPr>
                <w:p>
                  <w:pPr>
                    <w:ind w:firstLine="420" w:firstLineChars="200"/>
                    <w:jc w:val="center"/>
                    <w:rPr>
                      <w:rFonts w:hint="eastAsia" w:eastAsia="宋体"/>
                      <w:szCs w:val="21"/>
                      <w:lang w:eastAsia="zh-CN"/>
                    </w:rPr>
                  </w:pPr>
                  <w:r>
                    <w:rPr>
                      <w:rFonts w:hint="eastAsia"/>
                      <w:szCs w:val="21"/>
                      <w:lang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1318" w:type="dxa"/>
                  <w:noWrap w:val="0"/>
                  <w:vAlign w:val="center"/>
                </w:tcPr>
                <w:p>
                  <w:pPr>
                    <w:jc w:val="center"/>
                    <w:rPr>
                      <w:b/>
                      <w:bCs/>
                      <w:szCs w:val="21"/>
                    </w:rPr>
                  </w:pPr>
                  <w:r>
                    <w:rPr>
                      <w:b/>
                      <w:bCs/>
                      <w:szCs w:val="21"/>
                    </w:rPr>
                    <w:t>生态保护措施</w:t>
                  </w:r>
                </w:p>
              </w:tc>
              <w:tc>
                <w:tcPr>
                  <w:tcW w:w="7482" w:type="dxa"/>
                  <w:gridSpan w:val="4"/>
                  <w:noWrap w:val="0"/>
                  <w:vAlign w:val="center"/>
                </w:tcPr>
                <w:p>
                  <w:pPr>
                    <w:jc w:val="center"/>
                    <w:rPr>
                      <w:rFonts w:hint="eastAsia"/>
                      <w:szCs w:val="21"/>
                    </w:rPr>
                  </w:pPr>
                  <w:r>
                    <w:rPr>
                      <w:rFonts w:hint="eastAsia"/>
                      <w:szCs w:val="21"/>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318" w:type="dxa"/>
                  <w:noWrap w:val="0"/>
                  <w:vAlign w:val="center"/>
                </w:tcPr>
                <w:p>
                  <w:pPr>
                    <w:jc w:val="center"/>
                    <w:rPr>
                      <w:b/>
                      <w:bCs/>
                      <w:spacing w:val="-8"/>
                      <w:szCs w:val="21"/>
                    </w:rPr>
                  </w:pPr>
                  <w:r>
                    <w:rPr>
                      <w:b/>
                      <w:bCs/>
                      <w:spacing w:val="-8"/>
                      <w:szCs w:val="21"/>
                    </w:rPr>
                    <w:t>环境风险</w:t>
                  </w:r>
                </w:p>
                <w:p>
                  <w:pPr>
                    <w:jc w:val="center"/>
                    <w:rPr>
                      <w:b/>
                      <w:bCs/>
                      <w:spacing w:val="-8"/>
                      <w:szCs w:val="21"/>
                    </w:rPr>
                  </w:pPr>
                  <w:r>
                    <w:rPr>
                      <w:b/>
                      <w:bCs/>
                      <w:spacing w:val="-8"/>
                      <w:szCs w:val="21"/>
                    </w:rPr>
                    <w:t>防范措施</w:t>
                  </w:r>
                </w:p>
              </w:tc>
              <w:tc>
                <w:tcPr>
                  <w:tcW w:w="7482" w:type="dxa"/>
                  <w:gridSpan w:val="4"/>
                  <w:noWrap w:val="0"/>
                  <w:vAlign w:val="center"/>
                </w:tcPr>
                <w:p>
                  <w:pPr>
                    <w:pStyle w:val="14"/>
                  </w:pPr>
                  <w:r>
                    <w:rPr>
                      <w:rFonts w:hint="eastAsia"/>
                    </w:rPr>
                    <w:t>①柴油储存间</w:t>
                  </w:r>
                </w:p>
                <w:p>
                  <w:pPr>
                    <w:pStyle w:val="14"/>
                    <w:rPr>
                      <w:rFonts w:hint="eastAsia"/>
                    </w:rPr>
                  </w:pPr>
                  <w:r>
                    <w:t>a</w:t>
                  </w:r>
                  <w:r>
                    <w:rPr>
                      <w:rFonts w:hint="eastAsia"/>
                    </w:rPr>
                    <w:t>、严格执行国家有关安全生产的规定，采取乙类生产、贮存的安全技术措施，遵守乙类工业设计防火规定和规范。</w:t>
                  </w:r>
                </w:p>
                <w:p>
                  <w:pPr>
                    <w:pStyle w:val="14"/>
                    <w:rPr>
                      <w:rFonts w:hint="eastAsia"/>
                    </w:rPr>
                  </w:pPr>
                  <w:r>
                    <w:t>b</w:t>
                  </w:r>
                  <w:r>
                    <w:rPr>
                      <w:rFonts w:hint="eastAsia"/>
                    </w:rPr>
                    <w:t>、建立健全安全生产责任制实行定期性安全检查，定期对油桶进行检修，及时发现事故隐患并迅速给以消除。</w:t>
                  </w:r>
                </w:p>
                <w:p>
                  <w:pPr>
                    <w:pStyle w:val="14"/>
                    <w:rPr>
                      <w:rFonts w:hint="eastAsia"/>
                    </w:rPr>
                  </w:pPr>
                  <w:r>
                    <w:rPr>
                      <w:rFonts w:hint="eastAsia"/>
                    </w:rPr>
                    <w:t>c、增强安全意识，加强安全教育，增强职工安全意识，认真贯彻安全法规和制度，防止人的错误行为，制定相应的应急措施。</w:t>
                  </w:r>
                </w:p>
                <w:p>
                  <w:pPr>
                    <w:pStyle w:val="14"/>
                  </w:pPr>
                  <w:r>
                    <w:rPr>
                      <w:rFonts w:hint="eastAsia"/>
                    </w:rPr>
                    <w:t>d、项目需在储存间柴油桶周围设置围堰对泄漏的柴油进行收集，收集后委托相关部门进行处理。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color w:val="auto"/>
                      <w:sz w:val="21"/>
                      <w:szCs w:val="21"/>
                    </w:rPr>
                  </w:pPr>
                  <w:r>
                    <w:rPr>
                      <w:rFonts w:hint="eastAsia"/>
                    </w:rPr>
                    <w:t>②</w:t>
                  </w:r>
                  <w:r>
                    <w:rPr>
                      <w:rFonts w:hint="default" w:ascii="Times New Roman" w:hAnsi="Times New Roman" w:cs="Times New Roman"/>
                      <w:bCs/>
                      <w:color w:val="auto"/>
                      <w:sz w:val="21"/>
                      <w:szCs w:val="21"/>
                      <w:lang w:eastAsia="zh-CN"/>
                    </w:rPr>
                    <w:t>后期及时编制突发环境事件应急预案并完成备案；开展相应应急演练。</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eastAsia="宋体"/>
                      <w:szCs w:val="21"/>
                      <w:lang w:eastAsia="zh-CN"/>
                    </w:rPr>
                  </w:pPr>
                  <w:r>
                    <w:rPr>
                      <w:rFonts w:hint="eastAsia"/>
                      <w:szCs w:val="21"/>
                      <w:lang w:eastAsia="zh-CN"/>
                    </w:rPr>
                    <w:t>③</w:t>
                  </w:r>
                  <w:r>
                    <w:rPr>
                      <w:rFonts w:hint="default" w:ascii="Times New Roman" w:hAnsi="Times New Roman" w:cs="Times New Roman"/>
                      <w:bCs/>
                      <w:color w:val="auto"/>
                      <w:sz w:val="21"/>
                      <w:szCs w:val="21"/>
                      <w:lang w:eastAsia="zh-CN"/>
                    </w:rPr>
                    <w:t>应急物资：</w:t>
                  </w:r>
                  <w:r>
                    <w:rPr>
                      <w:rFonts w:hint="default" w:ascii="Times New Roman" w:hAnsi="Times New Roman" w:cs="Times New Roman"/>
                      <w:bCs/>
                      <w:color w:val="auto"/>
                      <w:sz w:val="21"/>
                      <w:szCs w:val="21"/>
                    </w:rPr>
                    <w:t>自备防护服、防护口罩</w:t>
                  </w:r>
                  <w:r>
                    <w:rPr>
                      <w:rFonts w:hint="default" w:ascii="Times New Roman" w:hAnsi="Times New Roman" w:cs="Times New Roman"/>
                      <w:bCs/>
                      <w:color w:val="auto"/>
                      <w:sz w:val="21"/>
                      <w:szCs w:val="21"/>
                      <w:lang w:eastAsia="zh-CN"/>
                    </w:rPr>
                    <w:t>、</w:t>
                  </w:r>
                  <w:r>
                    <w:rPr>
                      <w:rFonts w:hint="default" w:ascii="Times New Roman" w:hAnsi="Times New Roman" w:cs="Times New Roman"/>
                      <w:bCs/>
                      <w:color w:val="auto"/>
                      <w:sz w:val="21"/>
                      <w:szCs w:val="21"/>
                    </w:rPr>
                    <w:t>灭火器等消防灭火器材；119火警电话、120急救电话及应急通讯装置。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51" w:hRule="atLeast"/>
                <w:jc w:val="center"/>
              </w:trPr>
              <w:tc>
                <w:tcPr>
                  <w:tcW w:w="1318" w:type="dxa"/>
                  <w:noWrap w:val="0"/>
                  <w:vAlign w:val="center"/>
                </w:tcPr>
                <w:p>
                  <w:pPr>
                    <w:jc w:val="center"/>
                    <w:rPr>
                      <w:b/>
                      <w:bCs/>
                      <w:spacing w:val="-8"/>
                      <w:szCs w:val="21"/>
                    </w:rPr>
                  </w:pPr>
                  <w:r>
                    <w:rPr>
                      <w:b/>
                      <w:bCs/>
                      <w:spacing w:val="-8"/>
                      <w:szCs w:val="21"/>
                    </w:rPr>
                    <w:t>其他环境</w:t>
                  </w:r>
                </w:p>
                <w:p>
                  <w:pPr>
                    <w:jc w:val="center"/>
                    <w:rPr>
                      <w:b/>
                      <w:bCs/>
                      <w:spacing w:val="-8"/>
                      <w:szCs w:val="21"/>
                    </w:rPr>
                  </w:pPr>
                  <w:r>
                    <w:rPr>
                      <w:b/>
                      <w:bCs/>
                      <w:spacing w:val="-8"/>
                      <w:szCs w:val="21"/>
                    </w:rPr>
                    <w:t>管理要求</w:t>
                  </w:r>
                </w:p>
              </w:tc>
              <w:tc>
                <w:tcPr>
                  <w:tcW w:w="7482" w:type="dxa"/>
                  <w:gridSpan w:val="4"/>
                  <w:noWrap w:val="0"/>
                  <w:vAlign w:val="center"/>
                </w:tcPr>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）项目竣工环境保护验收</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根据《建设项目环境保护管理条例》（国务院第682号令）、《建设项目竣工环境保护验收暂行办法》（国环规环评</w:t>
                  </w:r>
                  <w:r>
                    <w:rPr>
                      <w:rFonts w:hint="eastAsia" w:ascii="宋体" w:hAnsi="宋体" w:cs="宋体"/>
                      <w:szCs w:val="21"/>
                    </w:rPr>
                    <w:t>〔2</w:t>
                  </w:r>
                  <w:r>
                    <w:rPr>
                      <w:rFonts w:ascii="宋体" w:hAnsi="宋体" w:cs="宋体"/>
                      <w:szCs w:val="21"/>
                    </w:rPr>
                    <w:t>017</w:t>
                  </w:r>
                  <w:r>
                    <w:rPr>
                      <w:rFonts w:hint="eastAsia" w:ascii="宋体" w:hAnsi="宋体" w:cs="宋体"/>
                      <w:szCs w:val="21"/>
                    </w:rPr>
                    <w:t>〕</w:t>
                  </w:r>
                  <w:r>
                    <w:rPr>
                      <w:rFonts w:ascii="宋体" w:hAnsi="宋体" w:cs="宋体"/>
                      <w:szCs w:val="21"/>
                    </w:rPr>
                    <w:t>4号）的相关要求：项目建成后，应进行竣工环境保护验收，建设项目在试生产期间，建设单位应当依据环评文件及其审批意见，委托第三方机构或自行编制建设项目环境保护设施竣工验收报告，</w:t>
                  </w:r>
                  <w:r>
                    <w:rPr>
                      <w:rFonts w:hint="eastAsia" w:ascii="宋体" w:hAnsi="宋体" w:cs="宋体"/>
                      <w:szCs w:val="21"/>
                    </w:rPr>
                    <w:t>企业自行组织验收，</w:t>
                  </w:r>
                  <w:r>
                    <w:rPr>
                      <w:rFonts w:ascii="宋体" w:hAnsi="宋体" w:cs="宋体"/>
                      <w:szCs w:val="21"/>
                    </w:rPr>
                    <w:t>向社会公开并向环保部门备案。</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建设项目需要配套建设的环境保护设施，必须与主体工程同时设计、同时施工、同步投产使用。建设单位应按照环境保护行政主管部门规定的标准和程序，对配套建设的环境保护设施进行验收，编制验收报告。除按照国家规定需要保密的情形外，建设单位应当依法向社会公开验收报告。建设项目配套建设的环境保护设施经验收合格，方可投入生产或者使用；未经验收或者验收不合格的，不得投入生产或者使用</w:t>
                  </w:r>
                  <w:r>
                    <w:rPr>
                      <w:rFonts w:ascii="宋体" w:hAnsi="宋体" w:cs="宋体"/>
                      <w:szCs w:val="21"/>
                    </w:rPr>
                    <w:t>。</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）排污许可</w:t>
                  </w:r>
                </w:p>
                <w:p>
                  <w:pPr>
                    <w:adjustRightInd w:val="0"/>
                    <w:snapToGrid w:val="0"/>
                    <w:spacing w:line="360" w:lineRule="auto"/>
                    <w:ind w:firstLine="420" w:firstLineChars="200"/>
                    <w:rPr>
                      <w:szCs w:val="21"/>
                    </w:rPr>
                  </w:pPr>
                  <w:r>
                    <w:rPr>
                      <w:szCs w:val="21"/>
                    </w:rPr>
                    <w:t>根据《关于做好环境影响评价制度与排污许可制衔接相关工作的通知》（环办环评〔2017〕84号），建设项目发生实际排污行为之前，排污单位应当按照国家环境保护相关法律法规以及排污许可证申请与核发技术规范要求申请排污许可证，不得无证排污或不按证排污。</w:t>
                  </w:r>
                </w:p>
                <w:p>
                  <w:pPr>
                    <w:adjustRightInd w:val="0"/>
                    <w:snapToGrid w:val="0"/>
                    <w:spacing w:line="360" w:lineRule="auto"/>
                    <w:ind w:firstLine="420" w:firstLineChars="200"/>
                    <w:rPr>
                      <w:szCs w:val="21"/>
                    </w:rPr>
                  </w:pPr>
                  <w:r>
                    <w:rPr>
                      <w:szCs w:val="21"/>
                    </w:rPr>
                    <w:t>根据《固定污染源排污许可分类管理名录（2019年版）》，本项目属于</w:t>
                  </w:r>
                  <w:r>
                    <w:rPr>
                      <w:b/>
                      <w:bCs/>
                      <w:szCs w:val="21"/>
                    </w:rPr>
                    <w:t>“</w:t>
                  </w:r>
                  <w:r>
                    <w:rPr>
                      <w:rFonts w:hint="eastAsia"/>
                      <w:b/>
                      <w:bCs/>
                      <w:szCs w:val="21"/>
                    </w:rPr>
                    <w:t>二十五、非金属矿物制品业 30</w:t>
                  </w:r>
                  <w:r>
                    <w:rPr>
                      <w:b/>
                      <w:bCs/>
                      <w:szCs w:val="21"/>
                    </w:rPr>
                    <w:t>—63</w:t>
                  </w:r>
                  <w:r>
                    <w:rPr>
                      <w:rFonts w:hint="eastAsia"/>
                      <w:b/>
                      <w:bCs/>
                      <w:szCs w:val="21"/>
                    </w:rPr>
                    <w:t>、水泥、石灰和石膏制造 301，石膏、水泥制品及类似制品制造 302</w:t>
                  </w:r>
                  <w:r>
                    <w:rPr>
                      <w:b/>
                      <w:bCs/>
                      <w:szCs w:val="21"/>
                    </w:rPr>
                    <w:t>—</w:t>
                  </w:r>
                  <w:r>
                    <w:rPr>
                      <w:rFonts w:hint="eastAsia"/>
                      <w:b/>
                      <w:bCs/>
                      <w:szCs w:val="21"/>
                    </w:rPr>
                    <w:t>水泥制品制造 3021</w:t>
                  </w:r>
                  <w:r>
                    <w:rPr>
                      <w:b/>
                      <w:bCs/>
                      <w:szCs w:val="21"/>
                    </w:rPr>
                    <w:t>*”</w:t>
                  </w:r>
                  <w:r>
                    <w:rPr>
                      <w:szCs w:val="21"/>
                    </w:rPr>
                    <w:t>，项目属于登记管理的项目。</w:t>
                  </w:r>
                </w:p>
                <w:p>
                  <w:pPr>
                    <w:adjustRightInd w:val="0"/>
                    <w:snapToGrid w:val="0"/>
                    <w:spacing w:line="360" w:lineRule="auto"/>
                    <w:ind w:firstLine="420" w:firstLineChars="200"/>
                    <w:jc w:val="left"/>
                    <w:rPr>
                      <w:rFonts w:ascii="宋体" w:hAnsi="宋体" w:cs="宋体"/>
                      <w:szCs w:val="21"/>
                    </w:rPr>
                  </w:pPr>
                  <w:r>
                    <w:rPr>
                      <w:szCs w:val="21"/>
                    </w:rPr>
                    <w:t>综合分析，项目应当在（http://permit.mee.gov.cn/）全国排污许可证管理信息平台填报排污登记表，登记基本信息、污染物排放去向、执行的污染物排放标准以及采取的污染防治措施等信息</w:t>
                  </w:r>
                  <w:r>
                    <w:rPr>
                      <w:rFonts w:hint="eastAsia" w:ascii="宋体" w:hAnsi="宋体" w:cs="宋体"/>
                      <w:szCs w:val="21"/>
                    </w:rPr>
                    <w:t>。</w:t>
                  </w:r>
                </w:p>
                <w:p>
                  <w:pPr>
                    <w:pStyle w:val="15"/>
                    <w:ind w:firstLine="0" w:firstLineChars="0"/>
                    <w:rPr>
                      <w:rFonts w:hint="eastAsia"/>
                    </w:rPr>
                  </w:pPr>
                </w:p>
              </w:tc>
            </w:tr>
          </w:tbl>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default" w:ascii="方正仿宋_GBK" w:hAnsi="方正仿宋_GBK" w:eastAsia="方正仿宋_GBK" w:cs="方正仿宋_GBK"/>
                <w:color w:val="000000"/>
                <w:kern w:val="2"/>
                <w:sz w:val="24"/>
                <w:szCs w:val="24"/>
                <w:shd w:val="clear" w:color="auto" w:fill="FFFFFF"/>
                <w:lang w:val="en-US" w:eastAsia="zh-CN" w:bidi="ar-SA"/>
              </w:rPr>
            </w:pPr>
            <w:r>
              <w:rPr>
                <w:rFonts w:hint="default" w:ascii="Times New Roman" w:hAnsi="Times New Roman" w:eastAsia="方正仿宋_GBK" w:cs="Times New Roman"/>
                <w:color w:val="000000"/>
                <w:kern w:val="2"/>
                <w:sz w:val="24"/>
                <w:szCs w:val="24"/>
                <w:highlight w:val="none"/>
                <w:shd w:val="clear" w:color="auto" w:fill="FFFFFF"/>
                <w:lang w:val="en-US" w:eastAsia="zh-CN" w:bidi="ar-SA"/>
              </w:rPr>
              <w:t>本项目建设符合国家产业政策。产生的环境影响因素包括废气、废水、噪声、固废等，在采取必要的防治措施后，可以得到有效控制，满足国家控制标准，不会对周围环境产生显著的影响。项目在建设过程中如果严格按“三同时”的原则设计和施工，落实环评报告中提出的治理措施,后期项目投产后需加强环境管理，通过以上分析，从环境影响的角度评价，项目的建设是可行的。</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TimesNewRomanPSMT">
    <w:altName w:val="Times New Roman"/>
    <w:panose1 w:val="00000000000000000000"/>
    <w:charset w:val="80"/>
    <w:family w:val="auto"/>
    <w:pitch w:val="default"/>
    <w:sig w:usb0="00000000" w:usb1="00000000" w:usb2="00000000" w:usb3="00000000" w:csb0="00020000" w:csb1="00000000"/>
  </w:font>
  <w:font w:name="Guli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ED8FB"/>
    <w:multiLevelType w:val="singleLevel"/>
    <w:tmpl w:val="1FFED8FB"/>
    <w:lvl w:ilvl="0" w:tentative="0">
      <w:start w:val="1"/>
      <w:numFmt w:val="bullet"/>
      <w:pStyle w:val="7"/>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800DED"/>
    <w:rsid w:val="01594C9F"/>
    <w:rsid w:val="01A713EB"/>
    <w:rsid w:val="07C524B8"/>
    <w:rsid w:val="08666437"/>
    <w:rsid w:val="0989468D"/>
    <w:rsid w:val="0D75484E"/>
    <w:rsid w:val="0E5863A6"/>
    <w:rsid w:val="11484B39"/>
    <w:rsid w:val="14C94390"/>
    <w:rsid w:val="15AF630E"/>
    <w:rsid w:val="176F7B69"/>
    <w:rsid w:val="1C800DED"/>
    <w:rsid w:val="1D827358"/>
    <w:rsid w:val="1DE51BD3"/>
    <w:rsid w:val="1E572C23"/>
    <w:rsid w:val="1F0C1C14"/>
    <w:rsid w:val="22740BEC"/>
    <w:rsid w:val="2582154E"/>
    <w:rsid w:val="2703457D"/>
    <w:rsid w:val="2F360CFB"/>
    <w:rsid w:val="2F4740AB"/>
    <w:rsid w:val="2FC07975"/>
    <w:rsid w:val="326C0058"/>
    <w:rsid w:val="32B17DDB"/>
    <w:rsid w:val="330632BA"/>
    <w:rsid w:val="33CA252A"/>
    <w:rsid w:val="3403474F"/>
    <w:rsid w:val="34DB165D"/>
    <w:rsid w:val="36076C9A"/>
    <w:rsid w:val="36326B13"/>
    <w:rsid w:val="38275498"/>
    <w:rsid w:val="3AF44E0C"/>
    <w:rsid w:val="3B834A7C"/>
    <w:rsid w:val="3BB93FFE"/>
    <w:rsid w:val="3D657E62"/>
    <w:rsid w:val="3D81346E"/>
    <w:rsid w:val="3ECB6894"/>
    <w:rsid w:val="40E5693C"/>
    <w:rsid w:val="42B1592A"/>
    <w:rsid w:val="42F65232"/>
    <w:rsid w:val="43B23412"/>
    <w:rsid w:val="472B1A05"/>
    <w:rsid w:val="48873DB8"/>
    <w:rsid w:val="4AAF22C7"/>
    <w:rsid w:val="4B5F93E1"/>
    <w:rsid w:val="4DE6289A"/>
    <w:rsid w:val="4FE171BC"/>
    <w:rsid w:val="531743B1"/>
    <w:rsid w:val="533073F3"/>
    <w:rsid w:val="57D5566E"/>
    <w:rsid w:val="594D6B86"/>
    <w:rsid w:val="59B35B52"/>
    <w:rsid w:val="59EC129F"/>
    <w:rsid w:val="5B75E78E"/>
    <w:rsid w:val="5C061416"/>
    <w:rsid w:val="5EF65A05"/>
    <w:rsid w:val="61422A43"/>
    <w:rsid w:val="65455AFC"/>
    <w:rsid w:val="672E7FAC"/>
    <w:rsid w:val="672F0288"/>
    <w:rsid w:val="683B1B4D"/>
    <w:rsid w:val="690134C0"/>
    <w:rsid w:val="6970566E"/>
    <w:rsid w:val="6ABF7E9B"/>
    <w:rsid w:val="6AD51D8B"/>
    <w:rsid w:val="6C5A2033"/>
    <w:rsid w:val="6DD27AA9"/>
    <w:rsid w:val="6F64016F"/>
    <w:rsid w:val="71482403"/>
    <w:rsid w:val="72197B59"/>
    <w:rsid w:val="73562A17"/>
    <w:rsid w:val="76FE1467"/>
    <w:rsid w:val="7B4D0851"/>
    <w:rsid w:val="7D103A42"/>
    <w:rsid w:val="7D2128F9"/>
    <w:rsid w:val="7DDF4D8D"/>
    <w:rsid w:val="F7FD46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Style w:val="10"/>
      <w:tblLayout w:type="fixed"/>
      <w:tblCellMar>
        <w:top w:w="0" w:type="dxa"/>
        <w:left w:w="108" w:type="dxa"/>
        <w:bottom w:w="0" w:type="dxa"/>
        <w:right w:w="108" w:type="dxa"/>
      </w:tblCellMar>
    </w:tblPr>
  </w:style>
  <w:style w:type="paragraph" w:styleId="2">
    <w:name w:val="Body Text First Indent 2"/>
    <w:basedOn w:val="3"/>
    <w:next w:val="5"/>
    <w:qFormat/>
    <w:uiPriority w:val="0"/>
    <w:pPr>
      <w:tabs>
        <w:tab w:val="left" w:pos="8607"/>
      </w:tabs>
      <w:ind w:firstLine="420"/>
    </w:pPr>
  </w:style>
  <w:style w:type="paragraph" w:styleId="3">
    <w:name w:val="Body Text Indent"/>
    <w:basedOn w:val="1"/>
    <w:next w:val="4"/>
    <w:qFormat/>
    <w:uiPriority w:val="0"/>
    <w:pPr>
      <w:tabs>
        <w:tab w:val="left" w:pos="8607"/>
      </w:tabs>
      <w:spacing w:line="400" w:lineRule="exact"/>
      <w:ind w:firstLine="556"/>
    </w:pPr>
    <w:rPr>
      <w:sz w:val="28"/>
    </w:rPr>
  </w:style>
  <w:style w:type="paragraph" w:customStyle="1" w:styleId="4">
    <w:name w:val="样式 正文文本缩进 + 行距: 1.5 倍行距"/>
    <w:basedOn w:val="3"/>
    <w:qFormat/>
    <w:uiPriority w:val="0"/>
    <w:pPr>
      <w:spacing w:line="360" w:lineRule="auto"/>
      <w:ind w:left="0" w:leftChars="0" w:firstLine="560" w:firstLineChars="200"/>
    </w:pPr>
    <w:rPr>
      <w:rFonts w:cs="宋体"/>
      <w:b/>
      <w:bCs/>
      <w:sz w:val="28"/>
      <w:szCs w:val="20"/>
    </w:rPr>
  </w:style>
  <w:style w:type="paragraph" w:styleId="5">
    <w:name w:val="Body Text First Indent"/>
    <w:basedOn w:val="1"/>
    <w:next w:val="1"/>
    <w:qFormat/>
    <w:uiPriority w:val="0"/>
    <w:pPr>
      <w:spacing w:after="120" w:line="240" w:lineRule="auto"/>
      <w:ind w:firstLine="420" w:firstLineChars="100"/>
      <w:jc w:val="both"/>
    </w:pPr>
  </w:style>
  <w:style w:type="paragraph" w:styleId="6">
    <w:name w:val="Body Text"/>
    <w:basedOn w:val="1"/>
    <w:next w:val="7"/>
    <w:qFormat/>
    <w:uiPriority w:val="0"/>
    <w:pPr>
      <w:spacing w:line="460" w:lineRule="exact"/>
      <w:jc w:val="center"/>
    </w:pPr>
    <w:rPr>
      <w:color w:val="000000"/>
      <w:w w:val="90"/>
      <w:sz w:val="24"/>
      <w:szCs w:val="20"/>
    </w:rPr>
  </w:style>
  <w:style w:type="paragraph" w:styleId="7">
    <w:name w:val="List Bullet 5"/>
    <w:basedOn w:val="1"/>
    <w:qFormat/>
    <w:uiPriority w:val="0"/>
    <w:pPr>
      <w:numPr>
        <w:ilvl w:val="0"/>
        <w:numId w:val="1"/>
      </w:numPr>
    </w:pPr>
  </w:style>
  <w:style w:type="paragraph" w:styleId="8">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rPr>
      <w:sz w:val="24"/>
    </w:rPr>
  </w:style>
  <w:style w:type="paragraph" w:customStyle="1" w:styleId="12">
    <w:name w:val="Table Paragraph"/>
    <w:basedOn w:val="1"/>
    <w:qFormat/>
    <w:uiPriority w:val="1"/>
    <w:rPr>
      <w:rFonts w:ascii="宋体" w:hAnsi="宋体" w:eastAsia="宋体" w:cs="宋体"/>
      <w:lang w:val="zh-CN" w:eastAsia="zh-CN" w:bidi="zh-CN"/>
    </w:rPr>
  </w:style>
  <w:style w:type="paragraph" w:customStyle="1" w:styleId="13">
    <w:name w:val="XXXXX"/>
    <w:basedOn w:val="1"/>
    <w:qFormat/>
    <w:uiPriority w:val="0"/>
    <w:pPr>
      <w:spacing w:line="440" w:lineRule="exact"/>
      <w:ind w:firstLine="1526" w:firstLineChars="200"/>
    </w:pPr>
    <w:rPr>
      <w:rFonts w:ascii="Times New Roman" w:hAnsi="Times New Roman" w:eastAsia="宋体"/>
      <w:sz w:val="24"/>
    </w:rPr>
  </w:style>
  <w:style w:type="paragraph" w:customStyle="1" w:styleId="14">
    <w:name w:val="表内容"/>
    <w:basedOn w:val="1"/>
    <w:unhideWhenUsed/>
    <w:qFormat/>
    <w:uiPriority w:val="0"/>
    <w:pPr>
      <w:adjustRightInd w:val="0"/>
      <w:snapToGrid w:val="0"/>
    </w:pPr>
    <w:rPr>
      <w:rFonts w:ascii="宋体" w:hAnsi="宋体" w:cs="宋体"/>
      <w:snapToGrid w:val="0"/>
      <w:szCs w:val="21"/>
    </w:rPr>
  </w:style>
  <w:style w:type="paragraph" w:customStyle="1" w:styleId="15">
    <w:name w:val="标准正文"/>
    <w:basedOn w:val="1"/>
    <w:qFormat/>
    <w:uiPriority w:val="0"/>
    <w:pPr>
      <w:spacing w:line="360" w:lineRule="auto"/>
      <w:ind w:firstLine="480" w:firstLineChars="200"/>
    </w:pPr>
    <w:rPr>
      <w:rFonts w:ascii="Times New Roman"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14.6666666666667</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2021-04-26T23:22:00Z</dcterms:created>
  <dc:creator>bingo</dc:creator>
  <cp:lastModifiedBy>Administrator</cp:lastModifiedBy>
  <dcterms:modified xsi:type="dcterms:W3CDTF">2023-06-19T06:37:25Z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EEB85C17109F465282E8EB4C3D8B7677</vt:lpwstr>
  </property>
</Properties>
</file>