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spacing w:line="560" w:lineRule="exact"/>
        <w:textAlignment w:val="auto"/>
        <w:rPr>
          <w:rFonts w:ascii="宋体" w:hAnsi="宋体" w:eastAsia="方正黑体_GBK"/>
          <w:sz w:val="32"/>
          <w:szCs w:val="32"/>
        </w:rPr>
      </w:pPr>
      <w:r>
        <w:rPr>
          <w:rFonts w:hint="eastAsia" w:ascii="宋体" w:hAnsi="宋体" w:eastAsia="方正黑体_GBK"/>
          <w:sz w:val="32"/>
          <w:szCs w:val="32"/>
        </w:rPr>
        <w:t>附件2</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jc w:val="center"/>
        <w:textAlignment w:val="auto"/>
        <w:rPr>
          <w:rFonts w:ascii="宋体" w:hAnsi="宋体" w:eastAsia="方正小标宋_GBK"/>
          <w:sz w:val="54"/>
          <w:szCs w:val="44"/>
        </w:rPr>
      </w:pPr>
      <w:r>
        <w:rPr>
          <w:rFonts w:hint="eastAsia" w:ascii="宋体" w:hAnsi="宋体" w:eastAsia="方正小标宋_GBK"/>
          <w:sz w:val="54"/>
          <w:szCs w:val="44"/>
          <w:lang w:eastAsia="zh-CN"/>
        </w:rPr>
        <w:t>西畴县</w:t>
      </w:r>
      <w:r>
        <w:rPr>
          <w:rFonts w:hint="eastAsia" w:ascii="宋体" w:hAnsi="宋体" w:eastAsia="方正小标宋_GBK"/>
          <w:sz w:val="54"/>
          <w:szCs w:val="44"/>
        </w:rPr>
        <w:t>城乡绿化美化建设导则</w:t>
      </w:r>
    </w:p>
    <w:p>
      <w:pPr>
        <w:keepNext w:val="0"/>
        <w:keepLines w:val="0"/>
        <w:pageBreakBefore w:val="0"/>
        <w:kinsoku/>
        <w:wordWrap/>
        <w:overflowPunct w:val="0"/>
        <w:topLinePunct w:val="0"/>
        <w:autoSpaceDE/>
        <w:autoSpaceDN/>
        <w:bidi w:val="0"/>
        <w:spacing w:line="560" w:lineRule="exact"/>
        <w:jc w:val="center"/>
        <w:textAlignment w:val="auto"/>
        <w:rPr>
          <w:rFonts w:ascii="宋体" w:hAnsi="宋体" w:eastAsia="方正楷体_GBK"/>
          <w:sz w:val="32"/>
          <w:szCs w:val="32"/>
        </w:rPr>
      </w:pPr>
      <w:r>
        <w:rPr>
          <w:rFonts w:hint="eastAsia" w:ascii="宋体" w:hAnsi="宋体" w:eastAsia="方正楷体_GBK"/>
          <w:sz w:val="32"/>
          <w:szCs w:val="32"/>
        </w:rPr>
        <w:t>（使用</w:t>
      </w:r>
      <w:r>
        <w:rPr>
          <w:rFonts w:hint="eastAsia" w:ascii="宋体" w:hAnsi="宋体" w:eastAsia="方正楷体_GBK"/>
          <w:sz w:val="32"/>
          <w:szCs w:val="32"/>
          <w:lang w:eastAsia="zh-CN"/>
        </w:rPr>
        <w:t>州</w:t>
      </w:r>
      <w:r>
        <w:rPr>
          <w:rFonts w:hint="eastAsia" w:ascii="宋体" w:hAnsi="宋体" w:eastAsia="方正楷体_GBK"/>
          <w:sz w:val="32"/>
          <w:szCs w:val="32"/>
        </w:rPr>
        <w:t>导则具体内容）</w:t>
      </w:r>
    </w:p>
    <w:p>
      <w:pPr>
        <w:keepNext w:val="0"/>
        <w:keepLines w:val="0"/>
        <w:pageBreakBefore w:val="0"/>
        <w:kinsoku/>
        <w:wordWrap/>
        <w:overflowPunct w:val="0"/>
        <w:topLinePunct w:val="0"/>
        <w:autoSpaceDE/>
        <w:autoSpaceDN/>
        <w:bidi w:val="0"/>
        <w:spacing w:line="560" w:lineRule="exact"/>
        <w:jc w:val="center"/>
        <w:textAlignment w:val="auto"/>
        <w:rPr>
          <w:rFonts w:hint="eastAsia" w:ascii="方正楷体_GBK" w:hAnsi="宋体" w:eastAsia="方正楷体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hint="eastAsia"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hint="eastAsia"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hint="eastAsia"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hint="eastAsia"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jc w:val="center"/>
        <w:textAlignment w:val="auto"/>
        <w:rPr>
          <w:rFonts w:ascii="宋体" w:hAnsi="宋体" w:eastAsia="方正楷体_GBK"/>
          <w:sz w:val="40"/>
          <w:szCs w:val="40"/>
        </w:rPr>
      </w:pPr>
      <w:r>
        <w:rPr>
          <w:rFonts w:hint="eastAsia" w:ascii="宋体" w:hAnsi="宋体" w:eastAsia="方正楷体_GBK"/>
          <w:sz w:val="40"/>
          <w:szCs w:val="40"/>
        </w:rPr>
        <w:t>2022年</w:t>
      </w:r>
      <w:r>
        <w:rPr>
          <w:rFonts w:hint="eastAsia" w:ascii="宋体" w:hAnsi="宋体" w:eastAsia="方正楷体_GBK"/>
          <w:sz w:val="40"/>
          <w:szCs w:val="40"/>
          <w:lang w:val="en-US" w:eastAsia="zh-CN"/>
        </w:rPr>
        <w:t>10</w:t>
      </w:r>
      <w:r>
        <w:rPr>
          <w:rFonts w:hint="eastAsia" w:ascii="宋体" w:hAnsi="宋体" w:eastAsia="方正楷体_GBK"/>
          <w:sz w:val="40"/>
          <w:szCs w:val="40"/>
        </w:rPr>
        <w:t>月</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jc w:val="center"/>
        <w:textAlignment w:val="auto"/>
        <w:rPr>
          <w:rFonts w:ascii="宋体" w:hAnsi="宋体" w:eastAsia="方正小标宋_GBK"/>
          <w:sz w:val="44"/>
          <w:szCs w:val="44"/>
        </w:rPr>
      </w:pPr>
      <w:r>
        <w:rPr>
          <w:rFonts w:hint="eastAsia" w:ascii="宋体" w:hAnsi="宋体" w:eastAsia="方正小标宋_GBK"/>
          <w:sz w:val="44"/>
          <w:szCs w:val="44"/>
        </w:rPr>
        <w:t>前  言</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为推进《</w:t>
      </w:r>
      <w:r>
        <w:rPr>
          <w:rFonts w:hint="eastAsia" w:ascii="宋体" w:hAnsi="宋体" w:eastAsia="方正仿宋_GBK"/>
          <w:sz w:val="32"/>
          <w:szCs w:val="32"/>
          <w:lang w:eastAsia="zh-CN"/>
        </w:rPr>
        <w:t>西畴县</w:t>
      </w:r>
      <w:r>
        <w:rPr>
          <w:rFonts w:hint="eastAsia" w:ascii="宋体" w:hAnsi="宋体" w:eastAsia="方正仿宋_GBK"/>
          <w:sz w:val="32"/>
          <w:szCs w:val="32"/>
        </w:rPr>
        <w:t>城乡绿化美化三年行动（2022—2024年）》的有效实施，</w:t>
      </w:r>
      <w:r>
        <w:rPr>
          <w:rFonts w:hint="eastAsia" w:ascii="宋体" w:hAnsi="宋体" w:eastAsia="方正仿宋_GBK"/>
          <w:sz w:val="32"/>
          <w:szCs w:val="32"/>
          <w:lang w:eastAsia="zh-CN"/>
        </w:rPr>
        <w:t>按照《文山州城乡绿化美化建设导则》，结合西畴县实际，特</w:t>
      </w:r>
      <w:r>
        <w:rPr>
          <w:rFonts w:hint="eastAsia" w:ascii="宋体" w:hAnsi="宋体" w:eastAsia="方正仿宋_GBK"/>
          <w:sz w:val="32"/>
          <w:szCs w:val="32"/>
        </w:rPr>
        <w:t>制定本建设导则。本建设导则包括“绿美城市”“绿美乡镇”“绿美乡村”“绿美交通”“</w:t>
      </w:r>
      <w:r>
        <w:rPr>
          <w:rFonts w:hint="eastAsia" w:ascii="Times New Roman" w:hAnsi="Times New Roman" w:eastAsia="方正仿宋_GBK" w:cs="Times New Roman"/>
          <w:sz w:val="32"/>
          <w:szCs w:val="32"/>
          <w:lang w:eastAsia="zh-CN"/>
        </w:rPr>
        <w:t>美丽</w:t>
      </w:r>
      <w:r>
        <w:rPr>
          <w:rFonts w:hint="default" w:ascii="Times New Roman" w:hAnsi="Times New Roman" w:eastAsia="方正仿宋_GBK" w:cs="Times New Roman"/>
          <w:sz w:val="32"/>
          <w:szCs w:val="32"/>
        </w:rPr>
        <w:t>河</w:t>
      </w:r>
      <w:r>
        <w:rPr>
          <w:rFonts w:hint="default" w:ascii="Times New Roman" w:hAnsi="Times New Roman" w:eastAsia="方正仿宋_GBK" w:cs="Times New Roman"/>
          <w:sz w:val="32"/>
          <w:szCs w:val="32"/>
          <w:lang w:eastAsia="zh-CN"/>
        </w:rPr>
        <w:t>库</w:t>
      </w:r>
      <w:r>
        <w:rPr>
          <w:rFonts w:hint="eastAsia" w:ascii="宋体" w:hAnsi="宋体" w:eastAsia="方正仿宋_GBK"/>
          <w:sz w:val="32"/>
          <w:szCs w:val="32"/>
        </w:rPr>
        <w:t>”“绿美校园”“绿美园区”“绿美景区”8个分则，旨在指导、规范</w:t>
      </w:r>
      <w:r>
        <w:rPr>
          <w:rFonts w:hint="eastAsia" w:ascii="宋体" w:hAnsi="宋体" w:eastAsia="方正仿宋_GBK"/>
          <w:sz w:val="32"/>
          <w:szCs w:val="32"/>
          <w:lang w:eastAsia="zh-CN"/>
        </w:rPr>
        <w:t>西畴县</w:t>
      </w:r>
      <w:r>
        <w:rPr>
          <w:rFonts w:hint="eastAsia" w:ascii="宋体" w:hAnsi="宋体" w:eastAsia="方正仿宋_GBK"/>
          <w:sz w:val="32"/>
          <w:szCs w:val="32"/>
        </w:rPr>
        <w:t>城乡绿化美化三年行动的顺利推进，主要用于指导绿化美化规划编制、方案设计、建设施工、运维管养等工作。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本建设导则是开展绿化美化工作的重要参考和依据，各</w:t>
      </w:r>
      <w:r>
        <w:rPr>
          <w:rFonts w:hint="eastAsia" w:ascii="宋体" w:hAnsi="宋体" w:eastAsia="方正仿宋_GBK"/>
          <w:sz w:val="32"/>
          <w:szCs w:val="32"/>
          <w:lang w:eastAsia="zh-CN"/>
        </w:rPr>
        <w:t>乡</w:t>
      </w:r>
      <w:r>
        <w:rPr>
          <w:rFonts w:hint="eastAsia" w:ascii="宋体" w:hAnsi="宋体" w:eastAsia="方正仿宋_GBK"/>
          <w:sz w:val="32"/>
          <w:szCs w:val="32"/>
        </w:rPr>
        <w:t>（</w:t>
      </w:r>
      <w:r>
        <w:rPr>
          <w:rFonts w:hint="eastAsia" w:ascii="宋体" w:hAnsi="宋体" w:eastAsia="方正仿宋_GBK"/>
          <w:sz w:val="32"/>
          <w:szCs w:val="32"/>
          <w:lang w:eastAsia="zh-CN"/>
        </w:rPr>
        <w:t>镇</w:t>
      </w:r>
      <w:r>
        <w:rPr>
          <w:rFonts w:hint="eastAsia" w:ascii="宋体" w:hAnsi="宋体" w:eastAsia="方正仿宋_GBK"/>
          <w:sz w:val="32"/>
          <w:szCs w:val="32"/>
        </w:rPr>
        <w:t>）各部门要认真执行。鉴于各</w:t>
      </w:r>
      <w:r>
        <w:rPr>
          <w:rFonts w:hint="eastAsia" w:ascii="宋体" w:hAnsi="宋体" w:eastAsia="方正仿宋_GBK"/>
          <w:sz w:val="32"/>
          <w:szCs w:val="32"/>
          <w:lang w:eastAsia="zh-CN"/>
        </w:rPr>
        <w:t>乡</w:t>
      </w:r>
      <w:r>
        <w:rPr>
          <w:rFonts w:hint="eastAsia" w:ascii="宋体" w:hAnsi="宋体" w:eastAsia="方正仿宋_GBK"/>
          <w:sz w:val="32"/>
          <w:szCs w:val="32"/>
        </w:rPr>
        <w:t>（</w:t>
      </w:r>
      <w:r>
        <w:rPr>
          <w:rFonts w:hint="eastAsia" w:ascii="宋体" w:hAnsi="宋体" w:eastAsia="方正仿宋_GBK"/>
          <w:sz w:val="32"/>
          <w:szCs w:val="32"/>
          <w:lang w:eastAsia="zh-CN"/>
        </w:rPr>
        <w:t>镇</w:t>
      </w:r>
      <w:r>
        <w:rPr>
          <w:rFonts w:hint="eastAsia" w:ascii="宋体" w:hAnsi="宋体" w:eastAsia="方正仿宋_GBK"/>
          <w:sz w:val="32"/>
          <w:szCs w:val="32"/>
        </w:rPr>
        <w:t>）地理、生态、经济、人文等情况存在</w:t>
      </w:r>
      <w:r>
        <w:rPr>
          <w:rFonts w:hint="eastAsia" w:ascii="宋体" w:hAnsi="宋体" w:eastAsia="方正仿宋_GBK"/>
          <w:sz w:val="32"/>
          <w:szCs w:val="32"/>
          <w:lang w:eastAsia="zh-CN"/>
        </w:rPr>
        <w:t>不同</w:t>
      </w:r>
      <w:r>
        <w:rPr>
          <w:rFonts w:hint="eastAsia" w:ascii="宋体" w:hAnsi="宋体" w:eastAsia="方正仿宋_GBK"/>
          <w:sz w:val="32"/>
          <w:szCs w:val="32"/>
        </w:rPr>
        <w:t>差异，鼓励各地区遵循导则又不拘泥于导则的要求，在绿化美化具体工作实践中，根据本</w:t>
      </w:r>
      <w:r>
        <w:rPr>
          <w:rFonts w:hint="eastAsia" w:ascii="宋体" w:hAnsi="宋体" w:eastAsia="方正仿宋_GBK"/>
          <w:sz w:val="32"/>
          <w:szCs w:val="32"/>
          <w:lang w:eastAsia="zh-CN"/>
        </w:rPr>
        <w:t>区域本部门</w:t>
      </w:r>
      <w:r>
        <w:rPr>
          <w:rFonts w:hint="eastAsia" w:ascii="宋体" w:hAnsi="宋体" w:eastAsia="方正仿宋_GBK"/>
          <w:sz w:val="32"/>
          <w:szCs w:val="32"/>
        </w:rPr>
        <w:t>实际情况积极创新开展工作，确保城乡绿化美化工作取得实效。</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2"/>
        <w:rPr>
          <w:rFonts w:ascii="宋体" w:hAnsi="宋体" w:eastAsia="方正仿宋_GBK"/>
          <w:sz w:val="32"/>
          <w:szCs w:val="32"/>
        </w:rPr>
      </w:pPr>
    </w:p>
    <w:p>
      <w:pPr>
        <w:pStyle w:val="2"/>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jc w:val="center"/>
        <w:textAlignment w:val="auto"/>
        <w:rPr>
          <w:rFonts w:ascii="宋体" w:hAnsi="宋体" w:eastAsia="方正小标宋_GBK"/>
          <w:sz w:val="44"/>
          <w:szCs w:val="44"/>
        </w:rPr>
      </w:pPr>
      <w:r>
        <w:rPr>
          <w:rFonts w:hint="eastAsia" w:ascii="宋体" w:hAnsi="宋体" w:eastAsia="方正小标宋_GBK"/>
          <w:sz w:val="44"/>
          <w:szCs w:val="44"/>
        </w:rPr>
        <w:t>目  录</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rPr>
          <w:rFonts w:eastAsia="方正仿宋_GBK"/>
          <w:szCs w:val="32"/>
        </w:rPr>
        <w:fldChar w:fldCharType="begin"/>
      </w:r>
      <w:r>
        <w:rPr>
          <w:rFonts w:eastAsia="方正仿宋_GBK"/>
          <w:szCs w:val="32"/>
        </w:rPr>
        <w:instrText xml:space="preserve"> TOC \o "1-1" \h \z \u </w:instrText>
      </w:r>
      <w:r>
        <w:rPr>
          <w:rFonts w:eastAsia="方正仿宋_GBK"/>
          <w:szCs w:val="32"/>
        </w:rPr>
        <w:fldChar w:fldCharType="separate"/>
      </w:r>
      <w:r>
        <w:fldChar w:fldCharType="begin"/>
      </w:r>
      <w:r>
        <w:instrText xml:space="preserve"> HYPERLINK \l "_Toc109406405" </w:instrText>
      </w:r>
      <w:r>
        <w:fldChar w:fldCharType="separate"/>
      </w:r>
      <w:r>
        <w:rPr>
          <w:rStyle w:val="12"/>
          <w:rFonts w:hint="eastAsia"/>
          <w:lang w:eastAsia="zh-CN"/>
        </w:rPr>
        <w:t>西畴县</w:t>
      </w:r>
      <w:r>
        <w:rPr>
          <w:rStyle w:val="12"/>
          <w:rFonts w:hint="eastAsia"/>
        </w:rPr>
        <w:t>绿美城市建设导则</w:t>
      </w:r>
      <w:r>
        <w:tab/>
      </w:r>
      <w:r>
        <w:fldChar w:fldCharType="begin"/>
      </w:r>
      <w:r>
        <w:instrText xml:space="preserve"> PAGEREF _Toc109406405 \h </w:instrText>
      </w:r>
      <w:r>
        <w:fldChar w:fldCharType="separate"/>
      </w:r>
      <w:r>
        <w:t>1</w:t>
      </w:r>
      <w:r>
        <w:fldChar w:fldCharType="end"/>
      </w:r>
      <w:r>
        <w:fldChar w:fldCharType="end"/>
      </w: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rPr>
          <w:rFonts w:hint="eastAsia"/>
          <w:lang w:eastAsia="zh-CN"/>
        </w:rPr>
        <w:t>西畴县</w:t>
      </w:r>
      <w:r>
        <w:fldChar w:fldCharType="begin"/>
      </w:r>
      <w:r>
        <w:instrText xml:space="preserve"> HYPERLINK \l "_Toc109406406" </w:instrText>
      </w:r>
      <w:r>
        <w:fldChar w:fldCharType="separate"/>
      </w:r>
      <w:r>
        <w:rPr>
          <w:rStyle w:val="12"/>
          <w:rFonts w:hint="eastAsia"/>
        </w:rPr>
        <w:t>绿美乡镇建设导则</w:t>
      </w:r>
      <w:r>
        <w:tab/>
      </w:r>
      <w:r>
        <w:fldChar w:fldCharType="begin"/>
      </w:r>
      <w:r>
        <w:instrText xml:space="preserve"> PAGEREF _Toc109406406 \h </w:instrText>
      </w:r>
      <w:r>
        <w:fldChar w:fldCharType="separate"/>
      </w:r>
      <w:r>
        <w:t>15</w:t>
      </w:r>
      <w:r>
        <w:fldChar w:fldCharType="end"/>
      </w:r>
      <w:r>
        <w:fldChar w:fldCharType="end"/>
      </w: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fldChar w:fldCharType="begin"/>
      </w:r>
      <w:r>
        <w:instrText xml:space="preserve"> HYPERLINK \l "_Toc109406407" </w:instrText>
      </w:r>
      <w:r>
        <w:fldChar w:fldCharType="separate"/>
      </w:r>
      <w:r>
        <w:rPr>
          <w:rStyle w:val="12"/>
          <w:rFonts w:hint="eastAsia"/>
          <w:lang w:eastAsia="zh-CN"/>
        </w:rPr>
        <w:t>西畴县</w:t>
      </w:r>
      <w:r>
        <w:rPr>
          <w:rStyle w:val="12"/>
          <w:rFonts w:hint="eastAsia"/>
        </w:rPr>
        <w:t>绿美乡村建设导则</w:t>
      </w:r>
      <w:r>
        <w:tab/>
      </w:r>
      <w:r>
        <w:fldChar w:fldCharType="begin"/>
      </w:r>
      <w:r>
        <w:instrText xml:space="preserve"> PAGEREF _Toc109406407 \h </w:instrText>
      </w:r>
      <w:r>
        <w:fldChar w:fldCharType="separate"/>
      </w:r>
      <w:r>
        <w:t>21</w:t>
      </w:r>
      <w:r>
        <w:fldChar w:fldCharType="end"/>
      </w:r>
      <w:r>
        <w:fldChar w:fldCharType="end"/>
      </w: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fldChar w:fldCharType="begin"/>
      </w:r>
      <w:r>
        <w:instrText xml:space="preserve"> HYPERLINK \l "_Toc109406408" </w:instrText>
      </w:r>
      <w:r>
        <w:fldChar w:fldCharType="separate"/>
      </w:r>
      <w:r>
        <w:rPr>
          <w:rStyle w:val="12"/>
          <w:rFonts w:hint="eastAsia"/>
          <w:lang w:eastAsia="zh-CN"/>
        </w:rPr>
        <w:t>西畴县</w:t>
      </w:r>
      <w:r>
        <w:rPr>
          <w:rStyle w:val="12"/>
          <w:rFonts w:hint="eastAsia"/>
        </w:rPr>
        <w:t>绿美交通建设导则</w:t>
      </w:r>
      <w:r>
        <w:tab/>
      </w:r>
      <w:r>
        <w:fldChar w:fldCharType="begin"/>
      </w:r>
      <w:r>
        <w:instrText xml:space="preserve"> PAGEREF _Toc109406408 \h </w:instrText>
      </w:r>
      <w:r>
        <w:fldChar w:fldCharType="separate"/>
      </w:r>
      <w:r>
        <w:t>26</w:t>
      </w:r>
      <w:r>
        <w:fldChar w:fldCharType="end"/>
      </w:r>
      <w:r>
        <w:fldChar w:fldCharType="end"/>
      </w: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fldChar w:fldCharType="begin"/>
      </w:r>
      <w:r>
        <w:instrText xml:space="preserve"> HYPERLINK \l "_Toc109406409" </w:instrText>
      </w:r>
      <w:r>
        <w:fldChar w:fldCharType="separate"/>
      </w:r>
      <w:r>
        <w:rPr>
          <w:rStyle w:val="12"/>
          <w:rFonts w:hint="eastAsia"/>
          <w:lang w:eastAsia="zh-CN"/>
        </w:rPr>
        <w:t>西畴县美丽河湖</w:t>
      </w:r>
      <w:r>
        <w:rPr>
          <w:rStyle w:val="12"/>
          <w:rFonts w:hint="eastAsia"/>
        </w:rPr>
        <w:t>建设导则</w:t>
      </w:r>
      <w:r>
        <w:tab/>
      </w:r>
      <w:r>
        <w:fldChar w:fldCharType="begin"/>
      </w:r>
      <w:r>
        <w:instrText xml:space="preserve"> PAGEREF _Toc109406409 \h </w:instrText>
      </w:r>
      <w:r>
        <w:fldChar w:fldCharType="separate"/>
      </w:r>
      <w:r>
        <w:t>40</w:t>
      </w:r>
      <w:r>
        <w:fldChar w:fldCharType="end"/>
      </w:r>
      <w:r>
        <w:fldChar w:fldCharType="end"/>
      </w: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fldChar w:fldCharType="begin"/>
      </w:r>
      <w:r>
        <w:instrText xml:space="preserve"> HYPERLINK \l "_Toc109406410" </w:instrText>
      </w:r>
      <w:r>
        <w:fldChar w:fldCharType="separate"/>
      </w:r>
      <w:r>
        <w:rPr>
          <w:rStyle w:val="12"/>
          <w:rFonts w:hint="eastAsia"/>
          <w:lang w:eastAsia="zh-CN"/>
        </w:rPr>
        <w:t>西畴县</w:t>
      </w:r>
      <w:r>
        <w:rPr>
          <w:rStyle w:val="12"/>
          <w:rFonts w:hint="eastAsia"/>
        </w:rPr>
        <w:t>绿美校园建设导则</w:t>
      </w:r>
      <w:r>
        <w:tab/>
      </w:r>
      <w:r>
        <w:fldChar w:fldCharType="begin"/>
      </w:r>
      <w:r>
        <w:instrText xml:space="preserve"> PAGEREF _Toc109406410 \h </w:instrText>
      </w:r>
      <w:r>
        <w:fldChar w:fldCharType="separate"/>
      </w:r>
      <w:r>
        <w:t>46</w:t>
      </w:r>
      <w:r>
        <w:fldChar w:fldCharType="end"/>
      </w:r>
      <w:r>
        <w:fldChar w:fldCharType="end"/>
      </w: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fldChar w:fldCharType="begin"/>
      </w:r>
      <w:r>
        <w:instrText xml:space="preserve"> HYPERLINK \l "_Toc109406411" </w:instrText>
      </w:r>
      <w:r>
        <w:fldChar w:fldCharType="separate"/>
      </w:r>
      <w:r>
        <w:rPr>
          <w:rStyle w:val="12"/>
          <w:rFonts w:hint="eastAsia"/>
          <w:lang w:eastAsia="zh-CN"/>
        </w:rPr>
        <w:t>西畴县</w:t>
      </w:r>
      <w:r>
        <w:rPr>
          <w:rStyle w:val="12"/>
          <w:rFonts w:hint="eastAsia"/>
        </w:rPr>
        <w:t>绿美园区建设导则</w:t>
      </w:r>
      <w:r>
        <w:tab/>
      </w:r>
      <w:r>
        <w:fldChar w:fldCharType="begin"/>
      </w:r>
      <w:r>
        <w:instrText xml:space="preserve"> PAGEREF _Toc109406411 \h </w:instrText>
      </w:r>
      <w:r>
        <w:fldChar w:fldCharType="separate"/>
      </w:r>
      <w:r>
        <w:t>52</w:t>
      </w:r>
      <w:r>
        <w:fldChar w:fldCharType="end"/>
      </w:r>
      <w:r>
        <w:fldChar w:fldCharType="end"/>
      </w:r>
    </w:p>
    <w:p>
      <w:pPr>
        <w:pStyle w:val="7"/>
        <w:keepNext w:val="0"/>
        <w:keepLines w:val="0"/>
        <w:pageBreakBefore w:val="0"/>
        <w:tabs>
          <w:tab w:val="right" w:leader="dot" w:pos="8834"/>
        </w:tabs>
        <w:kinsoku/>
        <w:wordWrap/>
        <w:topLinePunct w:val="0"/>
        <w:autoSpaceDE/>
        <w:autoSpaceDN/>
        <w:bidi w:val="0"/>
        <w:spacing w:line="560" w:lineRule="exact"/>
        <w:textAlignment w:val="auto"/>
        <w:rPr>
          <w:rFonts w:eastAsiaTheme="minorEastAsia"/>
          <w:sz w:val="21"/>
        </w:rPr>
      </w:pPr>
      <w:r>
        <w:fldChar w:fldCharType="begin"/>
      </w:r>
      <w:r>
        <w:instrText xml:space="preserve"> HYPERLINK \l "_Toc109406412" </w:instrText>
      </w:r>
      <w:r>
        <w:fldChar w:fldCharType="separate"/>
      </w:r>
      <w:r>
        <w:rPr>
          <w:rStyle w:val="12"/>
          <w:rFonts w:hint="eastAsia"/>
          <w:lang w:eastAsia="zh-CN"/>
        </w:rPr>
        <w:t>西畴县</w:t>
      </w:r>
      <w:r>
        <w:rPr>
          <w:rStyle w:val="12"/>
          <w:rFonts w:hint="eastAsia"/>
        </w:rPr>
        <w:t>绿美景区建设导则</w:t>
      </w:r>
      <w:r>
        <w:tab/>
      </w:r>
      <w:r>
        <w:fldChar w:fldCharType="begin"/>
      </w:r>
      <w:r>
        <w:instrText xml:space="preserve"> PAGEREF _Toc109406412 \h </w:instrText>
      </w:r>
      <w:r>
        <w:fldChar w:fldCharType="separate"/>
      </w:r>
      <w:r>
        <w:t>62</w:t>
      </w:r>
      <w:r>
        <w:fldChar w:fldCharType="end"/>
      </w:r>
      <w:r>
        <w:fldChar w:fldCharType="end"/>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r>
        <w:rPr>
          <w:rFonts w:ascii="宋体" w:hAnsi="宋体" w:eastAsia="方正仿宋_GBK"/>
          <w:sz w:val="32"/>
          <w:szCs w:val="32"/>
        </w:rPr>
        <w:fldChar w:fldCharType="end"/>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4"/>
        <w:keepNext w:val="0"/>
        <w:keepLines w:val="0"/>
        <w:pageBreakBefore w:val="0"/>
        <w:kinsoku/>
        <w:wordWrap/>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4"/>
        <w:keepNext w:val="0"/>
        <w:keepLines w:val="0"/>
        <w:pageBreakBefore w:val="0"/>
        <w:kinsoku/>
        <w:wordWrap/>
        <w:topLinePunct w:val="0"/>
        <w:autoSpaceDE/>
        <w:autoSpaceDN/>
        <w:bidi w:val="0"/>
        <w:spacing w:line="560" w:lineRule="exact"/>
        <w:jc w:val="center"/>
        <w:textAlignment w:val="auto"/>
        <w:rPr>
          <w:rFonts w:hint="eastAsia" w:ascii="方正小标宋_GBK" w:hAnsi="方正小标宋_GBK" w:eastAsia="方正小标宋_GBK" w:cs="方正小标宋_GBK"/>
          <w:b w:val="0"/>
          <w:bCs w:val="0"/>
          <w:sz w:val="44"/>
          <w:szCs w:val="44"/>
        </w:rPr>
      </w:pPr>
      <w:bookmarkStart w:id="0" w:name="_Toc109406405"/>
      <w:r>
        <w:rPr>
          <w:rFonts w:hint="eastAsia" w:ascii="方正小标宋_GBK" w:hAnsi="方正小标宋_GBK" w:eastAsia="方正小标宋_GBK" w:cs="方正小标宋_GBK"/>
          <w:b w:val="0"/>
          <w:bCs w:val="0"/>
          <w:sz w:val="44"/>
          <w:szCs w:val="44"/>
          <w:lang w:eastAsia="zh-CN"/>
        </w:rPr>
        <w:t>西畴县</w:t>
      </w:r>
      <w:r>
        <w:rPr>
          <w:rFonts w:hint="eastAsia" w:ascii="方正小标宋_GBK" w:hAnsi="方正小标宋_GBK" w:eastAsia="方正小标宋_GBK" w:cs="方正小标宋_GBK"/>
          <w:b w:val="0"/>
          <w:bCs w:val="0"/>
          <w:sz w:val="44"/>
          <w:szCs w:val="44"/>
        </w:rPr>
        <w:t>绿美城市建设导则</w:t>
      </w:r>
      <w:bookmarkEnd w:id="0"/>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一、总则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1.1编制背景</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根据</w:t>
      </w:r>
      <w:r>
        <w:rPr>
          <w:rFonts w:hint="eastAsia" w:ascii="宋体" w:hAnsi="宋体" w:eastAsia="方正仿宋_GBK"/>
          <w:sz w:val="32"/>
          <w:szCs w:val="32"/>
          <w:lang w:eastAsia="zh-CN"/>
        </w:rPr>
        <w:t>西畴县</w:t>
      </w:r>
      <w:r>
        <w:rPr>
          <w:rFonts w:hint="eastAsia" w:ascii="宋体" w:hAnsi="宋体" w:eastAsia="方正仿宋_GBK"/>
          <w:sz w:val="32"/>
          <w:szCs w:val="32"/>
        </w:rPr>
        <w:t>城市绿化美化工作安排部署，为高标准高质量打造具有</w:t>
      </w:r>
      <w:r>
        <w:rPr>
          <w:rFonts w:hint="eastAsia" w:ascii="宋体" w:hAnsi="宋体" w:eastAsia="方正仿宋_GBK"/>
          <w:sz w:val="32"/>
          <w:szCs w:val="32"/>
          <w:lang w:eastAsia="zh-CN"/>
        </w:rPr>
        <w:t>西畴</w:t>
      </w:r>
      <w:r>
        <w:rPr>
          <w:rFonts w:hint="eastAsia" w:ascii="宋体" w:hAnsi="宋体" w:eastAsia="方正仿宋_GBK"/>
          <w:sz w:val="32"/>
          <w:szCs w:val="32"/>
        </w:rPr>
        <w:t>本地特征的城市绿化空间环境，全面提升</w:t>
      </w:r>
      <w:r>
        <w:rPr>
          <w:rFonts w:hint="eastAsia" w:ascii="宋体" w:hAnsi="宋体" w:eastAsia="方正仿宋_GBK"/>
          <w:sz w:val="32"/>
          <w:szCs w:val="32"/>
          <w:lang w:eastAsia="zh-CN"/>
        </w:rPr>
        <w:t>西畴县</w:t>
      </w:r>
      <w:r>
        <w:rPr>
          <w:rFonts w:hint="eastAsia" w:ascii="宋体" w:hAnsi="宋体" w:eastAsia="方正仿宋_GBK"/>
          <w:sz w:val="32"/>
          <w:szCs w:val="32"/>
        </w:rPr>
        <w:t>城市绿化美化品质，特编制本导则。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1.2适用范围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本导则适用于指导</w:t>
      </w:r>
      <w:r>
        <w:rPr>
          <w:rFonts w:hint="eastAsia" w:ascii="宋体" w:hAnsi="宋体" w:eastAsia="方正仿宋_GBK"/>
          <w:sz w:val="32"/>
          <w:szCs w:val="32"/>
          <w:lang w:eastAsia="zh-CN"/>
        </w:rPr>
        <w:t>西畴县</w:t>
      </w:r>
      <w:r>
        <w:rPr>
          <w:rFonts w:hint="eastAsia" w:ascii="宋体" w:hAnsi="宋体" w:eastAsia="方正仿宋_GBK"/>
          <w:sz w:val="32"/>
          <w:szCs w:val="32"/>
        </w:rPr>
        <w:t>城市建成区的城市绿化美化建设。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1.3指导思想</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习近平新时代中国特色社会主义思想为指导，牢固树立绿水青山就是金山银山理念，全面贯彻党的十九大和十九届历次全会精神，践行习近平生态文明思想，深入贯彻习近平考察云南重要讲话和重要指示批示精神，落实省委王宁书记和州委陈明书记在园林绿化方面的工作要求，以“绿水青山就是金山银山”</w:t>
      </w:r>
      <w:r>
        <w:rPr>
          <w:rFonts w:hint="eastAsia" w:ascii="宋体" w:hAnsi="宋体" w:eastAsia="方正仿宋_GBK"/>
          <w:sz w:val="32"/>
          <w:szCs w:val="32"/>
          <w:lang w:eastAsia="zh-CN"/>
        </w:rPr>
        <w:t>实践创新基地</w:t>
      </w:r>
      <w:r>
        <w:rPr>
          <w:rFonts w:hint="eastAsia" w:ascii="宋体" w:hAnsi="宋体" w:eastAsia="方正仿宋_GBK"/>
          <w:sz w:val="32"/>
          <w:szCs w:val="32"/>
        </w:rPr>
        <w:t>为契机，围绕“绿水青山</w:t>
      </w:r>
      <w:r>
        <w:rPr>
          <w:rFonts w:hint="eastAsia" w:ascii="宋体" w:hAnsi="宋体" w:eastAsia="方正仿宋_GBK"/>
          <w:sz w:val="32"/>
          <w:szCs w:val="32"/>
          <w:lang w:eastAsia="zh-CN"/>
        </w:rPr>
        <w:t>向</w:t>
      </w:r>
      <w:r>
        <w:rPr>
          <w:rFonts w:hint="eastAsia" w:ascii="宋体" w:hAnsi="宋体" w:eastAsia="方正仿宋_GBK"/>
          <w:sz w:val="32"/>
          <w:szCs w:val="32"/>
        </w:rPr>
        <w:t>金山银山</w:t>
      </w:r>
      <w:r>
        <w:rPr>
          <w:rFonts w:hint="eastAsia" w:ascii="宋体" w:hAnsi="宋体" w:eastAsia="方正仿宋_GBK"/>
          <w:sz w:val="32"/>
          <w:szCs w:val="32"/>
          <w:lang w:eastAsia="zh-CN"/>
        </w:rPr>
        <w:t>转变</w:t>
      </w:r>
      <w:r>
        <w:rPr>
          <w:rFonts w:hint="eastAsia" w:ascii="宋体" w:hAnsi="宋体" w:eastAsia="方正仿宋_GBK"/>
          <w:sz w:val="32"/>
          <w:szCs w:val="32"/>
        </w:rPr>
        <w:t>”的要求，通过十年计划、三年行动，突出地形地貌资源优势，提升城市内涵品质和影响力，着力构建和不断优化城市绿地系统和山水空间格局，将</w:t>
      </w:r>
      <w:r>
        <w:rPr>
          <w:rFonts w:hint="eastAsia" w:ascii="宋体" w:hAnsi="宋体" w:eastAsia="方正仿宋_GBK"/>
          <w:sz w:val="32"/>
          <w:szCs w:val="32"/>
          <w:lang w:eastAsia="zh-CN"/>
        </w:rPr>
        <w:t>西畴县</w:t>
      </w:r>
      <w:r>
        <w:rPr>
          <w:rFonts w:hint="eastAsia" w:ascii="宋体" w:hAnsi="宋体" w:eastAsia="方正仿宋_GBK"/>
          <w:sz w:val="32"/>
          <w:szCs w:val="32"/>
        </w:rPr>
        <w:t>打造成“特色鲜明、景观优美、类型丰富、幸福宜居</w:t>
      </w:r>
      <w:r>
        <w:rPr>
          <w:rFonts w:hint="eastAsia" w:ascii="宋体" w:hAnsi="宋体" w:eastAsia="方正仿宋_GBK"/>
          <w:sz w:val="32"/>
          <w:szCs w:val="32"/>
          <w:lang w:eastAsia="zh-CN"/>
        </w:rPr>
        <w:t>、康养生态</w:t>
      </w:r>
      <w:r>
        <w:rPr>
          <w:rFonts w:hint="eastAsia" w:ascii="宋体" w:hAnsi="宋体" w:eastAsia="方正仿宋_GBK"/>
          <w:sz w:val="32"/>
          <w:szCs w:val="32"/>
        </w:rPr>
        <w:t>”的绿美城市。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1.4编制原则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（1）坚持生态优先，协同发展。</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（2）坚持因地制宜，彰显特色。</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（3）坚持品质提升，绿美和谐。</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宋体" w:hAnsi="宋体" w:eastAsia="方正仿宋_GBK"/>
          <w:sz w:val="32"/>
          <w:szCs w:val="32"/>
        </w:rPr>
      </w:pPr>
      <w:r>
        <w:rPr>
          <w:rFonts w:hint="eastAsia" w:ascii="宋体" w:hAnsi="宋体" w:eastAsia="方正仿宋_GBK"/>
          <w:sz w:val="32"/>
          <w:szCs w:val="32"/>
        </w:rPr>
        <w:t>（4）坚持绿色惠民，节俭务实。</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w:t>
      </w:r>
      <w:r>
        <w:rPr>
          <w:rFonts w:hint="eastAsia" w:ascii="宋体" w:hAnsi="宋体" w:eastAsia="方正仿宋_GBK"/>
          <w:sz w:val="32"/>
          <w:szCs w:val="32"/>
          <w:lang w:val="en-US" w:eastAsia="zh-CN"/>
        </w:rPr>
        <w:t>5</w:t>
      </w:r>
      <w:r>
        <w:rPr>
          <w:rFonts w:hint="eastAsia" w:ascii="宋体" w:hAnsi="宋体" w:eastAsia="方正仿宋_GBK"/>
          <w:sz w:val="32"/>
          <w:szCs w:val="32"/>
        </w:rPr>
        <w:t>）坚持</w:t>
      </w:r>
      <w:r>
        <w:rPr>
          <w:rFonts w:hint="eastAsia" w:ascii="宋体" w:hAnsi="宋体" w:eastAsia="方正仿宋_GBK"/>
          <w:sz w:val="32"/>
          <w:szCs w:val="32"/>
          <w:lang w:eastAsia="zh-CN"/>
        </w:rPr>
        <w:t>绿色经济</w:t>
      </w:r>
      <w:r>
        <w:rPr>
          <w:rFonts w:hint="eastAsia" w:ascii="宋体" w:hAnsi="宋体" w:eastAsia="方正仿宋_GBK"/>
          <w:sz w:val="32"/>
          <w:szCs w:val="32"/>
        </w:rPr>
        <w:t>，</w:t>
      </w:r>
      <w:r>
        <w:rPr>
          <w:rFonts w:hint="eastAsia" w:ascii="宋体" w:hAnsi="宋体" w:eastAsia="方正仿宋_GBK"/>
          <w:sz w:val="32"/>
          <w:szCs w:val="32"/>
          <w:lang w:eastAsia="zh-CN"/>
        </w:rPr>
        <w:t>共同富裕</w:t>
      </w:r>
      <w:r>
        <w:rPr>
          <w:rFonts w:hint="eastAsia" w:ascii="宋体" w:hAnsi="宋体" w:eastAsia="方正仿宋_GBK"/>
          <w:sz w:val="32"/>
          <w:szCs w:val="32"/>
        </w:rPr>
        <w:t>。</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1.5编制目标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通过导则编制，指导</w:t>
      </w:r>
      <w:r>
        <w:rPr>
          <w:rFonts w:hint="eastAsia" w:ascii="宋体" w:hAnsi="宋体" w:eastAsia="方正仿宋_GBK"/>
          <w:sz w:val="32"/>
          <w:szCs w:val="32"/>
          <w:lang w:eastAsia="zh-CN"/>
        </w:rPr>
        <w:t>西畴县</w:t>
      </w:r>
      <w:r>
        <w:rPr>
          <w:rFonts w:hint="eastAsia" w:ascii="宋体" w:hAnsi="宋体" w:eastAsia="方正仿宋_GBK"/>
          <w:sz w:val="32"/>
          <w:szCs w:val="32"/>
        </w:rPr>
        <w:t>规范编制《城市绿地系统规划》，扩大城市绿地面积，构建良好的城市生态网络，提升城市生态景观水平、增强城市风貌特色、促进城市绿化可持续发展、推动城市绿化</w:t>
      </w:r>
      <w:r>
        <w:rPr>
          <w:rFonts w:hint="eastAsia" w:ascii="宋体" w:hAnsi="宋体" w:eastAsia="方正仿宋_GBK"/>
          <w:sz w:val="32"/>
          <w:szCs w:val="32"/>
          <w:lang w:eastAsia="zh-CN"/>
        </w:rPr>
        <w:t>美化</w:t>
      </w:r>
      <w:r>
        <w:rPr>
          <w:rFonts w:hint="eastAsia" w:ascii="宋体" w:hAnsi="宋体" w:eastAsia="方正仿宋_GBK"/>
          <w:sz w:val="32"/>
          <w:szCs w:val="32"/>
        </w:rPr>
        <w:t>产业发展，促成</w:t>
      </w:r>
      <w:r>
        <w:rPr>
          <w:rFonts w:hint="eastAsia" w:ascii="宋体" w:hAnsi="宋体" w:eastAsia="方正仿宋_GBK"/>
          <w:sz w:val="32"/>
          <w:szCs w:val="32"/>
          <w:lang w:eastAsia="zh-CN"/>
        </w:rPr>
        <w:t>西畴县</w:t>
      </w:r>
      <w:r>
        <w:rPr>
          <w:rFonts w:hint="eastAsia" w:ascii="宋体" w:hAnsi="宋体" w:eastAsia="方正仿宋_GBK"/>
          <w:sz w:val="32"/>
          <w:szCs w:val="32"/>
        </w:rPr>
        <w:t>绿美城市、</w:t>
      </w:r>
      <w:r>
        <w:rPr>
          <w:rFonts w:hint="eastAsia" w:ascii="宋体" w:hAnsi="宋体" w:eastAsia="方正仿宋_GBK"/>
          <w:sz w:val="32"/>
          <w:szCs w:val="32"/>
          <w:lang w:eastAsia="zh-CN"/>
        </w:rPr>
        <w:t>康养</w:t>
      </w:r>
      <w:r>
        <w:rPr>
          <w:rFonts w:hint="eastAsia" w:ascii="宋体" w:hAnsi="宋体" w:eastAsia="方正仿宋_GBK"/>
          <w:sz w:val="32"/>
          <w:szCs w:val="32"/>
        </w:rPr>
        <w:t>城市的创建。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1.6编制依据</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政策依据：</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《关于科学绿化的指导意见》国办发〔2021〕19号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《云南城乡绿化美化三年行动计划（2022—2024）》</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《云南省绿美城市建设三年行动计划实施方案（2022—2024）》</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《云南省人民政府关于统筹推进城市更新的指导意见》（云政发〔2020〕33号）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宋体" w:hAnsi="宋体" w:eastAsia="方正仿宋_GBK"/>
          <w:sz w:val="32"/>
          <w:szCs w:val="32"/>
        </w:rPr>
      </w:pPr>
      <w:r>
        <w:rPr>
          <w:rFonts w:hint="eastAsia" w:ascii="宋体" w:hAnsi="宋体" w:eastAsia="方正仿宋_GBK"/>
          <w:sz w:val="32"/>
          <w:szCs w:val="32"/>
        </w:rPr>
        <w:t>《文山州城乡绿化美化三年行动计划（2022—2024）》</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w:t>
      </w:r>
      <w:r>
        <w:rPr>
          <w:rFonts w:hint="eastAsia" w:ascii="宋体" w:hAnsi="宋体" w:eastAsia="方正仿宋_GBK"/>
          <w:sz w:val="32"/>
          <w:szCs w:val="32"/>
          <w:lang w:eastAsia="zh-CN"/>
        </w:rPr>
        <w:t>西畴县</w:t>
      </w:r>
      <w:r>
        <w:rPr>
          <w:rFonts w:hint="eastAsia" w:ascii="宋体" w:hAnsi="宋体" w:eastAsia="方正仿宋_GBK"/>
          <w:sz w:val="32"/>
          <w:szCs w:val="32"/>
        </w:rPr>
        <w:t>城乡绿化美化三年行动计划（2022—2024）》</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行业规范：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《城市绿线划定技术规范》GB/T51163-2016</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《城市绿地设计规范》GB50420-2007（2016版）</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《公园设计规范》GB51192-2016</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《城市绿地规划标准》GBT51346-2019</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《城市园林绿化评价标准》GB/T50563-2010</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《公园服务基本要求》GB/T385584-2020</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《城市道路绿化规划与设计规范》CJJ/75-97</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《风景园林基本术语标准》CJJ/T-91-2017</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《城市绿地分类标准》CJJ/T-85-2017</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《国家重点公园评价标准》CJJ/T234-2015</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《风景园林标志标准》CJJ/T171-2012</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《园林绿化养护标准》CJJ/T287-2018</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《公园城市评价标准》T/CHSLA50008-2021</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《园林基本术语标准》CJJ/T91-2002</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《植物园设计标准》CJJ/T300-2019</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《城镇绿道工程技术标准》CJJ/T304-2019</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《垂直绿化工程技术规程》CJJ/T236-2015</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《种植屋面工程技术规程》JGJ155-2013</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《城乡结合部绿化技术指南》LY/T2646-2016</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《绿化种植土壤》CJ/T340-2016</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《园林植物筛选通用技术要求》CJ/T512-2017</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管理办法：</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《国家园林城市申报与评选管理办法》建城〔2022〕2号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二、概念界定</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2.1绿美城市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w:t>
      </w:r>
      <w:r>
        <w:rPr>
          <w:rFonts w:hint="eastAsia" w:ascii="宋体" w:hAnsi="宋体" w:eastAsia="方正仿宋_GBK"/>
          <w:sz w:val="32"/>
          <w:szCs w:val="32"/>
          <w:lang w:eastAsia="zh-CN"/>
        </w:rPr>
        <w:t>西畴县</w:t>
      </w:r>
      <w:r>
        <w:rPr>
          <w:rFonts w:hint="eastAsia" w:ascii="宋体" w:hAnsi="宋体" w:eastAsia="方正仿宋_GBK"/>
          <w:sz w:val="32"/>
          <w:szCs w:val="32"/>
        </w:rPr>
        <w:t>城</w:t>
      </w:r>
      <w:r>
        <w:rPr>
          <w:rFonts w:hint="eastAsia" w:ascii="宋体" w:hAnsi="宋体" w:eastAsia="方正仿宋_GBK"/>
          <w:sz w:val="32"/>
          <w:szCs w:val="32"/>
          <w:lang w:eastAsia="zh-CN"/>
        </w:rPr>
        <w:t>区</w:t>
      </w:r>
      <w:r>
        <w:rPr>
          <w:rFonts w:hint="eastAsia" w:ascii="宋体" w:hAnsi="宋体" w:eastAsia="方正仿宋_GBK"/>
          <w:sz w:val="32"/>
          <w:szCs w:val="32"/>
        </w:rPr>
        <w:t>为主要构成，城市的绿地系统完善、山水风貌突出、公园体系完备、绿道网络完整，城市内街道、街区、社区、主要节点个性鲜明，具有各美其美、美美与共的城市绿化景观。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2.2城市绿地系统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城市绿地系统指由城市各类绿地构成，并与区域绿地相联系，具有优化城市空间格局，发挥生态、游憩、景观、防护</w:t>
      </w:r>
      <w:r>
        <w:rPr>
          <w:rFonts w:hint="eastAsia" w:ascii="宋体" w:hAnsi="宋体" w:eastAsia="方正仿宋_GBK"/>
          <w:sz w:val="32"/>
          <w:szCs w:val="32"/>
          <w:lang w:eastAsia="zh-CN"/>
        </w:rPr>
        <w:t>、康养</w:t>
      </w:r>
      <w:r>
        <w:rPr>
          <w:rFonts w:hint="eastAsia" w:ascii="宋体" w:hAnsi="宋体" w:eastAsia="方正仿宋_GBK"/>
          <w:sz w:val="32"/>
          <w:szCs w:val="32"/>
        </w:rPr>
        <w:t>等多重功能的绿地网络系统。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2.3城市山水格局</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山水格局是城市山水的空间结构形态。城市山水格局既包括自然山体，河流等自然要素本身，还包括自然山水的相互位置关系、山水城的关系、山脉水系走向及大小、山水秩序等，也包括人类对自然山水所做的有益补充。</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2.4综合公园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指内容丰富，功能齐全，有相应的设施，供全县居民使用，适宜开展各类户外活动，规模</w:t>
      </w:r>
      <w:r>
        <w:rPr>
          <w:rFonts w:hint="eastAsia" w:ascii="宋体" w:hAnsi="宋体" w:eastAsia="方正仿宋_GBK"/>
          <w:sz w:val="32"/>
          <w:szCs w:val="32"/>
          <w:lang w:eastAsia="zh-CN"/>
        </w:rPr>
        <w:t>性</w:t>
      </w:r>
      <w:r>
        <w:rPr>
          <w:rFonts w:hint="eastAsia" w:ascii="宋体" w:hAnsi="宋体" w:eastAsia="方正仿宋_GBK"/>
          <w:sz w:val="32"/>
          <w:szCs w:val="32"/>
        </w:rPr>
        <w:t>的城市公园。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2.5城市绿道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城市绿道是以自然要素为依托和构成基础，串联休闲游憩等绿色开敞空间，以游憩、健身为主，兼具市民绿色出行和生物迁徙等功能的廊道，不包括道路人行道。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2.6绿美街道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由城市道路、道路绿化、附属设施和沿线建筑等诸多元素共同构成，具有观赏性、艺术性、特色性，能体现城市风貌、展现</w:t>
      </w:r>
      <w:r>
        <w:rPr>
          <w:rFonts w:hint="eastAsia" w:ascii="宋体" w:hAnsi="宋体" w:eastAsia="方正仿宋_GBK"/>
          <w:sz w:val="32"/>
          <w:szCs w:val="32"/>
          <w:lang w:eastAsia="zh-CN"/>
        </w:rPr>
        <w:t>历史</w:t>
      </w:r>
      <w:r>
        <w:rPr>
          <w:rFonts w:hint="eastAsia" w:ascii="宋体" w:hAnsi="宋体" w:eastAsia="方正仿宋_GBK"/>
          <w:sz w:val="32"/>
          <w:szCs w:val="32"/>
        </w:rPr>
        <w:t>人文特点、绿化景观效果突出，给人印象深刻且美好的城市街道。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2.7绿美街区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一般指城市中四周由城市支路所围绕的最小区域，以“一个街区一个主题”为原则，绿化特色鲜明，绿化形式多样，具备绿美街道、林荫道、街心花园、立体绿化等要素。且具有生活、商业、商务、休闲等功能特质的街区围合范围内的道路路网及公共空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2.8绿美社区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绿化特色鲜明、绿化形式多样、绿化景观效果突出，给人印象深刻且美好的城市主街道小区和单位、新建小区、旅游景点周边小区及改造提升老旧小区。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2.9立体绿化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以屋顶、建（构）筑物墙面等为载体，充分利用不同的立地条件，选择适宜植物栽植并依附或铺贴于各种建、构筑物及其它空间结构上的绿化方式。</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2.10城市林荫道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城市林荫道是指城市中两侧树木茂密、浓荫围绕，林荫覆盖率</w:t>
      </w:r>
      <w:r>
        <w:rPr>
          <w:rFonts w:hint="eastAsia" w:ascii="宋体" w:hAnsi="宋体" w:eastAsia="方正仿宋_GBK"/>
          <w:sz w:val="32"/>
          <w:szCs w:val="32"/>
          <w:lang w:val="en-US" w:eastAsia="zh-CN"/>
        </w:rPr>
        <w:t>70</w:t>
      </w:r>
      <w:r>
        <w:rPr>
          <w:rFonts w:hint="eastAsia" w:ascii="宋体" w:hAnsi="宋体" w:eastAsia="方正仿宋_GBK"/>
          <w:sz w:val="32"/>
          <w:szCs w:val="32"/>
        </w:rPr>
        <w:t>%以上的人行道及非机动车道。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2.11城市面山绿化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在城市可视范围内的山体第一层面山区域的绿化景观。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2.12城乡结合部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乡结合部是指兼具城市和乡村土地利用性质的城市与乡村地区的过渡地带，又称为“城郊结合部”“城市边缘区”“半城市化地区”，结构上的二元特性导致其在性质、职能、文化及景观上兼具城与乡的特点，是一种特殊的地域类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三、城市绿化建设要点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城市绿化建设应根据</w:t>
      </w:r>
      <w:r>
        <w:rPr>
          <w:rFonts w:hint="eastAsia" w:ascii="宋体" w:hAnsi="宋体" w:eastAsia="方正仿宋_GBK"/>
          <w:sz w:val="32"/>
          <w:szCs w:val="32"/>
          <w:lang w:eastAsia="zh-CN"/>
        </w:rPr>
        <w:t>本区域</w:t>
      </w:r>
      <w:r>
        <w:rPr>
          <w:rFonts w:hint="eastAsia" w:ascii="宋体" w:hAnsi="宋体" w:eastAsia="方正仿宋_GBK"/>
          <w:sz w:val="32"/>
          <w:szCs w:val="32"/>
        </w:rPr>
        <w:t>地域特征和资源禀赋，依托国土空间总体规划，参照《城市绿地规划标准》（GBT51346-2019），不得缺项。重点编制好《城市绿地系统规划》、《公园体系规划》、《生物多样性保护规划》和《海绵城市规划》，县城可在《城市绿地系统规划》中增加公园体系、生物多样性保护专章内容。依法依规，建设城市绿地系统，完善城市公园体系，控制城市绿化风貌，营造色彩丰富、季相鲜明的城市绿化景观。打造个性鲜明、特色突出的绿美城市。达到改善城市生态质量、美化城市环境、增进民生福祉的目的。城市绿化不应片面追求景观化，严禁出现“大树进城”“景观造型树滥用”等绿化行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3.1完善城市绿地系统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依照绿地系统专项规划，全面透彻理清城市绿地情况及相关指标，综合考虑城市土地利用结构、土地适宜性等因素，遵从城市发展定位及生态建设需求，遵循绿地系统的整体性、层次性、相关性、结构性要求，保障绿地系统中各子系统中不同功能绿地的整体完备，科学划定绿化用地，根据所属城市空间层级的不同，构建层次清晰、功能健全、规模达标的绿地系统，并互相影响互为补充，形成“点、线、面”结合，连网成片、特征鲜明、结构完整的绿地空间格局。</w:t>
      </w:r>
      <w:r>
        <w:rPr>
          <w:rFonts w:hint="eastAsia" w:ascii="宋体" w:hAnsi="宋体" w:eastAsia="方正仿宋_GBK"/>
          <w:sz w:val="32"/>
          <w:szCs w:val="32"/>
          <w:lang w:eastAsia="zh-CN"/>
        </w:rPr>
        <w:t>还</w:t>
      </w:r>
      <w:r>
        <w:rPr>
          <w:rFonts w:hint="eastAsia" w:ascii="宋体" w:hAnsi="宋体" w:eastAsia="方正仿宋_GBK"/>
          <w:sz w:val="32"/>
          <w:szCs w:val="32"/>
        </w:rPr>
        <w:t>要加强对绿化相关规划实施的检查和督促落实，任何部门、单位或个人不得随意变更规划，不得擅自改变绿化用地面积、性质和用途。</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3.2彰显城市山水风貌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梳理城市山水格局及风貌特色元素，牢固树立“绿水青山就是金山银山”的理念，避免千城一面，以“独特性、唯一性”为建设标准。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从宏观角度出发，明确城市绿化的整体格局、特点、特色及重点区域，基于城市山水脉络及风貌格局，以保护为主，引导和控制城市空间形态，以利用为辅，完善和加强城市特色风貌，在城市中形成能够展示城市山水风貌的观景体系及视廊。从微观尺度，建设自维持和低维护的城市特色景观，以乡土观赏苗木为主，城市绿化新建及提质改造项目中，乡土植物种类占比不低于50%、数量占比不少于80%，通过乡土植物群落的构建和营造，彰显地方植物景观特色和城市生物多样性。提取地域文化元素，结合城市地域文化特征，精心保护城市中心区、老城区原有绿地和大树，制定并实施古树名木和后备资源保护管理措施。城市绿地景观元素如城市家具、艺术小品及景观建（构）筑物，要充分展示地域文化，打造各美其美、美美与共，特色鲜明的绿美城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3.3构建城市公园体系</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根据相关规范，</w:t>
      </w:r>
      <w:r>
        <w:rPr>
          <w:rFonts w:hint="eastAsia" w:ascii="宋体" w:hAnsi="宋体" w:eastAsia="方正仿宋_GBK"/>
          <w:sz w:val="32"/>
          <w:szCs w:val="32"/>
          <w:lang w:eastAsia="zh-CN"/>
        </w:rPr>
        <w:t>西畴县</w:t>
      </w:r>
      <w:r>
        <w:rPr>
          <w:rFonts w:hint="eastAsia" w:ascii="宋体" w:hAnsi="宋体" w:eastAsia="方正仿宋_GBK"/>
          <w:sz w:val="32"/>
          <w:szCs w:val="32"/>
        </w:rPr>
        <w:t>要完善城市公园体系建设，合理配建类型丰富、规模合理、功能完善、覆盖均衡的城市公园。公园建设应尊重场地特征，因地制宜、就地取材，结合地域文化及主题设计公园内各类景观要素及服务配套设施。以“一园一景”为目标，合理选择</w:t>
      </w:r>
      <w:r>
        <w:rPr>
          <w:rFonts w:hint="eastAsia" w:ascii="宋体" w:hAnsi="宋体" w:eastAsia="方正仿宋_GBK"/>
          <w:sz w:val="32"/>
          <w:szCs w:val="32"/>
          <w:lang w:eastAsia="zh-CN"/>
        </w:rPr>
        <w:t>华盖木和木兰花</w:t>
      </w:r>
      <w:r>
        <w:rPr>
          <w:rFonts w:hint="eastAsia" w:ascii="宋体" w:hAnsi="宋体" w:eastAsia="方正仿宋_GBK"/>
          <w:sz w:val="32"/>
          <w:szCs w:val="32"/>
        </w:rPr>
        <w:t>，打造植物种类丰富、色彩搭配美观、群落配置合理的公园绿化景观，凸显生物多样性、文化多样性特点。公园绿化活动场地服务半径覆盖率不低于85%，实现“300米见绿，500米见园”。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西畴县</w:t>
      </w:r>
      <w:r>
        <w:rPr>
          <w:rFonts w:hint="eastAsia" w:ascii="宋体" w:hAnsi="宋体" w:eastAsia="方正仿宋_GBK"/>
          <w:sz w:val="32"/>
          <w:szCs w:val="32"/>
        </w:rPr>
        <w:t>应尽可能丰富城市公园类型，要求建设包括但不限于：综合公园、社区公园、游园（街心花园、口袋公园、街头小游园）、及一类以上的专类公园。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西畴县</w:t>
      </w:r>
      <w:r>
        <w:rPr>
          <w:rFonts w:hint="eastAsia" w:ascii="宋体" w:hAnsi="宋体" w:eastAsia="方正仿宋_GBK"/>
          <w:sz w:val="32"/>
          <w:szCs w:val="32"/>
        </w:rPr>
        <w:t>应尽可能完善公园类型，要求具备1个以上的城市综合公园，合理配建社区公园、游园（街心花园、口袋公园、街头小游园）等公园。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3.4打造绿美街区和绿美街道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以城市街区及街道为基本单元，“以人为本”为建设原则，打造城市绿美街区和绿美街道，其中街区较少的城市，以打造绿美街道为主。</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以城市街区及街道中的道路、绿地、附属设施和沿线建筑等主要元素为绿化美化载体。综合考虑其中的空间变化、尺度序列、色彩质感、肌理氛围、街道美学、骨干树种、四季景观、艺术小品。</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具体通过对街道路面进行路面美化、对街道绿地进行品质提升、对城市家具进行一体化设计、对沿街建筑立面考虑立体绿化或立面美化等建设方式，形成景观优美、风貌突出、特征明显的城市街景，打造具有典型示范作用的绿美街区和绿美街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3.5打造绿美社区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城市主街道小区和单位、新建小区、旅游景点周边小区、改造提升的老旧小区为对象，按照“后院前置、后绿前移”的思路，推进城市社区生态空间共享，将社区围院的通透式绿化与道路绿地充分融合，丰富城市绿化景观。挖掘区域绿化空间资源，进行立体绿化、庭院绿化及宅前屋后景观提升等绿化美化工作，打造城市绿美社区。新建及改建小区、单位绿地率不低于35%，老旧小区及单位绿地率不低于20%。以人为本，在绿化建设过程中尊重群众意愿，综合考虑城市地域特征和区域社区文化，充分与地方人文历史相结合，提升绿化美化的景观效果和品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3.6搭建绿道网络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结合城市交通系统及绿地系统相关规划，</w:t>
      </w:r>
      <w:r>
        <w:rPr>
          <w:rFonts w:hint="eastAsia" w:ascii="宋体" w:hAnsi="宋体" w:eastAsia="方正仿宋_GBK"/>
          <w:sz w:val="32"/>
          <w:szCs w:val="32"/>
          <w:lang w:eastAsia="zh-CN"/>
        </w:rPr>
        <w:t>西畴县</w:t>
      </w:r>
      <w:r>
        <w:rPr>
          <w:rFonts w:hint="eastAsia" w:ascii="宋体" w:hAnsi="宋体" w:eastAsia="方正仿宋_GBK"/>
          <w:sz w:val="32"/>
          <w:szCs w:val="32"/>
        </w:rPr>
        <w:t>应积极开展城市绿道建设，推行“绿道+”模式，推动公共空间与城市环境相融合、休闲体验与审美感知相统一。城市绿道应合理分布，与周边环境相协调，保证联通性、连续性、安全性，依山顺水联通城市内部各类公共空间和外围自然山水环境，搭建城市绿道网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绿道建设须重视乡土植物的应用及生态环境的保护和修复，充分利用自然地形地貌，配备完善标识、休憩、环卫、智慧、停车等配套便民服务设施，因地制宜，建设节约型绿道。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在城市新区建设时，绿道网络应与新区同规划、同建设，强化绿道网络的步行可达性。城市旧区改造时，须因地制宜、合理选线，与城市道路改造、老旧小区更新、公园改扩建等结合推进，建设绿道空间。原则上万人拥有绿道长度应大于1.2公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3.7塑造城市特色节点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结合城市地域文化、民族文化，提取文化元素结合绿化建设进行展示。在城市出入口、中心广场、主要交通节点（分车带岛头、道路交叉节点、广场绿地）及城市面山空间等城市主要视觉焦点区域，通过立体花坛、花境、花带、艺术小品、立体绿化、面山绿化等绿化美化工作，塑造城市特色节点，凸显城市地域特征，展示城市形象，避免“千城一面”。</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3.8拓展城市绿地绿量</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因地制宜，倡导智慧型绿地、节约型绿地、健康型绿地和数字型绿地建设。以第三次全国国土调查数据和国土空间规划为建设基础，结合城市新区开发建设和城市更新“三旧两改”建设中的空闲地、废弃地、边角地、立体空间、面山空间及城乡结合部等区域，通过拆墙透绿、拆违建绿、见缝植绿、裸土覆绿、留白增绿，拓展绿化空间。以乡土观赏苗木为主，增加城市绿量。</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持续规范推进城市主次干道、林荫道路绿地达标建设，重点打造城市出入口及重要对外通道沿线的绿化景观，鼓励在道路两侧设置一定宽度的绿地空间，城市林荫道推广率应不低于60%，行道树应优先选用本地乡土树种及县树</w:t>
      </w:r>
      <w:r>
        <w:rPr>
          <w:rFonts w:hint="eastAsia" w:ascii="宋体" w:hAnsi="宋体" w:eastAsia="方正仿宋_GBK"/>
          <w:sz w:val="32"/>
          <w:szCs w:val="32"/>
          <w:lang w:eastAsia="zh-CN"/>
        </w:rPr>
        <w:t>县</w:t>
      </w:r>
      <w:r>
        <w:rPr>
          <w:rFonts w:hint="eastAsia" w:ascii="宋体" w:hAnsi="宋体" w:eastAsia="方正仿宋_GBK"/>
          <w:sz w:val="32"/>
          <w:szCs w:val="32"/>
        </w:rPr>
        <w:t>花，形成层次丰富、季相分明的城市道路绿化景观。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3.9营造城市绿化季相色彩</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西畴县</w:t>
      </w:r>
      <w:r>
        <w:rPr>
          <w:rFonts w:hint="eastAsia" w:ascii="宋体" w:hAnsi="宋体" w:eastAsia="方正仿宋_GBK"/>
          <w:sz w:val="32"/>
          <w:szCs w:val="32"/>
        </w:rPr>
        <w:t>应结合城市形象与文化特征，提取色彩，形成主题色系，应用于城市绿化美化工作。城市绿化景观应遵循植物季相变化规律，进行科学合理配置，将不同花期、色相、形态的植物协调搭配，营造季节性景观，提升观赏品质，展现不同季节城市绿化景观的变换。通过植物花、叶、果等色彩组合搭配，构建变化丰富的植物景观色彩，赋予环境不同的性格，打造一街一景、一街看四季的绿化景观，从而形成特色鲜明的城市绿化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四、城市绿化管理要点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西畴县为</w:t>
      </w:r>
      <w:r>
        <w:rPr>
          <w:rFonts w:hint="eastAsia" w:ascii="宋体" w:hAnsi="宋体" w:eastAsia="方正仿宋_GBK"/>
          <w:sz w:val="32"/>
          <w:szCs w:val="32"/>
        </w:rPr>
        <w:t>进一步明确城市园林绿化行政管理体制、机制，保障城市园林绿化规划设计管护职能得到有效执行。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4.1城市绿化养护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以《园林绿化工程施工及验收规范》CJJ82-2019为绿化建设养护标准，对栽植基础、栽植穴、植物材料、苗木栽植、滴灌施工等绿化工程建立标准化管养体系，确保城市绿化养护的高效性。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4.2古树名木保护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化建设须优先保护古树名木，结合城市相关规定划定古树名木保护范围线，控制保护范围线内城市建设，同时不得以造型为目的对古树名木进行改造，对古树名木树体保护应贯彻“防重于治”的原则，做好对各种自然灾害的预防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古树名木养护应按照养护技术规范实施，实行日常养护和专业养护相结合。日常养护包括巡护古树名木及其生存自然环境、保护设施，发现异常情况及时报告，对古树名木实施浇水、施肥等简易措施。专业养护内容包括对古树名木实施防腐、防雷、修补树洞、改良土壤、支撑树体、修剪枯枝、除治有害生物等专业技术措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4.3城市绿化用水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合理利用城市水资源。充分考虑降水及地表水等水资源的时空分布和承载能力，着重考虑优先利用城市再生水进行绿化灌溉，坚持以水而定、量水而行、宜绿则绿、应绿尽绿。推广乔灌草结合的绿化模式，合理运用集水、节水技术，统筹生活、生产、生态用水需求，合理配置绿化用水，适度有序开展城市节水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五、分区绿化指引</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城市绿化建设要因地制宜，为提升本导则的针对性与实用性，以近50年的气候变化数据为基础，综合考虑气候、海拔、气温、降水量等直接影响城市绿化美化的因素，</w:t>
      </w:r>
      <w:r>
        <w:rPr>
          <w:rFonts w:hint="eastAsia" w:ascii="宋体" w:hAnsi="宋体" w:eastAsia="方正仿宋_GBK"/>
          <w:sz w:val="32"/>
          <w:szCs w:val="32"/>
          <w:lang w:eastAsia="zh-CN"/>
        </w:rPr>
        <w:t>西畴县属</w:t>
      </w:r>
      <w:r>
        <w:rPr>
          <w:rFonts w:hint="eastAsia" w:ascii="宋体" w:hAnsi="宋体" w:eastAsia="方正仿宋_GBK"/>
          <w:sz w:val="32"/>
          <w:szCs w:val="32"/>
        </w:rPr>
        <w:t>南亚热带—热带城市。以此为</w:t>
      </w:r>
      <w:r>
        <w:rPr>
          <w:rFonts w:hint="eastAsia" w:ascii="宋体" w:hAnsi="宋体" w:eastAsia="方正仿宋_GBK"/>
          <w:sz w:val="32"/>
          <w:szCs w:val="32"/>
          <w:lang w:eastAsia="zh-CN"/>
        </w:rPr>
        <w:t>契机</w:t>
      </w:r>
      <w:r>
        <w:rPr>
          <w:rFonts w:hint="eastAsia" w:ascii="宋体" w:hAnsi="宋体" w:eastAsia="方正仿宋_GBK"/>
          <w:sz w:val="32"/>
          <w:szCs w:val="32"/>
        </w:rPr>
        <w:t>，</w:t>
      </w:r>
      <w:r>
        <w:rPr>
          <w:rFonts w:hint="eastAsia" w:ascii="宋体" w:hAnsi="宋体" w:eastAsia="方正仿宋_GBK"/>
          <w:sz w:val="32"/>
          <w:szCs w:val="32"/>
          <w:lang w:eastAsia="zh-CN"/>
        </w:rPr>
        <w:t>结合</w:t>
      </w:r>
      <w:r>
        <w:rPr>
          <w:rFonts w:hint="eastAsia" w:ascii="宋体" w:hAnsi="宋体" w:eastAsia="方正仿宋_GBK"/>
          <w:sz w:val="32"/>
          <w:szCs w:val="32"/>
        </w:rPr>
        <w:t>城市绿化规划设计及建设中需进一步综合所在区域的气候、海拔、气温、降水量、地形等相关因素进行细化研究，开展并完成特色植物名录、苗圃建设工作。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由于气候及固有的生态习性不同，植物的生长有着明显的自然地理差异。植物种类不同，其形态、叶、花、果也不同，由此造就丰富多彩、各具地域特色的植物景观风格，故结合区域气候环境特征更有利于打造城市景观多样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六、城市绿化质量保障要点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6.1开展苗木储备工作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县财政局要</w:t>
      </w:r>
      <w:r>
        <w:rPr>
          <w:rFonts w:hint="eastAsia" w:ascii="宋体" w:hAnsi="宋体" w:eastAsia="方正仿宋_GBK"/>
          <w:sz w:val="32"/>
          <w:szCs w:val="32"/>
        </w:rPr>
        <w:t>合理安排资金，保障投入，对城市绿化乡土特色苗木储备资源提出明确要求。加强城市园林绿化的科学研究工作，结合地方特征，加强县树</w:t>
      </w:r>
      <w:r>
        <w:rPr>
          <w:rFonts w:hint="eastAsia" w:ascii="宋体" w:hAnsi="宋体" w:eastAsia="方正仿宋_GBK"/>
          <w:sz w:val="32"/>
          <w:szCs w:val="32"/>
          <w:lang w:eastAsia="zh-CN"/>
        </w:rPr>
        <w:t>县</w:t>
      </w:r>
      <w:r>
        <w:rPr>
          <w:rFonts w:hint="eastAsia" w:ascii="宋体" w:hAnsi="宋体" w:eastAsia="方正仿宋_GBK"/>
          <w:sz w:val="32"/>
          <w:szCs w:val="32"/>
        </w:rPr>
        <w:t>花及乡土特色植物引种驯化培育，推进特色乡土植物运用，适地适树科学开展城市园林苗木基地建设。</w:t>
      </w:r>
      <w:r>
        <w:rPr>
          <w:rFonts w:hint="eastAsia" w:ascii="宋体" w:hAnsi="宋体" w:eastAsia="方正仿宋_GBK"/>
          <w:sz w:val="32"/>
          <w:szCs w:val="32"/>
          <w:lang w:eastAsia="zh-CN"/>
        </w:rPr>
        <w:t>西畴县</w:t>
      </w:r>
      <w:r>
        <w:rPr>
          <w:rFonts w:hint="eastAsia" w:ascii="宋体" w:hAnsi="宋体" w:eastAsia="方正仿宋_GBK"/>
          <w:sz w:val="32"/>
          <w:szCs w:val="32"/>
        </w:rPr>
        <w:t>要因地制宜编制城市园林植物推荐名录并有效实施。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6.2形成质量保障体系</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在绿化建设过程中，参考《园林绿化工程施工及验收规范》（CJJ/T82-2019）。加强相关养护科研保障，</w:t>
      </w:r>
      <w:r>
        <w:rPr>
          <w:rFonts w:hint="eastAsia" w:ascii="宋体" w:hAnsi="宋体" w:eastAsia="方正仿宋_GBK"/>
          <w:sz w:val="32"/>
          <w:szCs w:val="32"/>
          <w:lang w:eastAsia="zh-CN"/>
        </w:rPr>
        <w:t>西畴县还要</w:t>
      </w:r>
      <w:r>
        <w:rPr>
          <w:rFonts w:hint="eastAsia" w:ascii="宋体" w:hAnsi="宋体" w:eastAsia="方正仿宋_GBK"/>
          <w:sz w:val="32"/>
          <w:szCs w:val="32"/>
        </w:rPr>
        <w:t>因地制宜建设本地区养护管理指南，形成质量保障体系，加强城市绿化管理工作。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6.3强化指导协调工作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加强部门协同和多专业综合，建立完善的绿美城市绿化美化建设技术指引体系，以导则为指引，加强对城市绿化风貌整体性、协调性和特色性塑造的技术研究，形成“正面引导+负面清单”的引导体系。</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严格落实城市绿化美化工作相关单位责任，建立健全管护长效机制，并严格执行。保障“绿色图章”制度并有效实施。</w:t>
      </w:r>
    </w:p>
    <w:p>
      <w:pPr>
        <w:pStyle w:val="4"/>
        <w:keepNext w:val="0"/>
        <w:keepLines w:val="0"/>
        <w:pageBreakBefore w:val="0"/>
        <w:kinsoku/>
        <w:wordWrap/>
        <w:topLinePunct w:val="0"/>
        <w:autoSpaceDE/>
        <w:autoSpaceDN/>
        <w:bidi w:val="0"/>
        <w:spacing w:line="560" w:lineRule="exact"/>
        <w:jc w:val="center"/>
        <w:textAlignment w:val="auto"/>
        <w:rPr>
          <w:rFonts w:hint="eastAsia" w:ascii="宋体" w:hAnsi="宋体"/>
        </w:rPr>
      </w:pPr>
      <w:bookmarkStart w:id="1" w:name="_Toc109406406"/>
    </w:p>
    <w:p>
      <w:pPr>
        <w:pStyle w:val="4"/>
        <w:keepNext w:val="0"/>
        <w:keepLines w:val="0"/>
        <w:pageBreakBefore w:val="0"/>
        <w:kinsoku/>
        <w:wordWrap/>
        <w:topLinePunct w:val="0"/>
        <w:autoSpaceDE/>
        <w:autoSpaceDN/>
        <w:bidi w:val="0"/>
        <w:spacing w:line="560" w:lineRule="exact"/>
        <w:jc w:val="center"/>
        <w:textAlignment w:val="auto"/>
        <w:rPr>
          <w:rFonts w:hint="eastAsia" w:ascii="宋体" w:hAnsi="宋体"/>
        </w:rPr>
      </w:pPr>
    </w:p>
    <w:p>
      <w:pPr>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p>
      <w:pPr>
        <w:pStyle w:val="4"/>
        <w:keepNext w:val="0"/>
        <w:keepLines w:val="0"/>
        <w:pageBreakBefore w:val="0"/>
        <w:kinsoku/>
        <w:wordWrap/>
        <w:topLinePunct w:val="0"/>
        <w:autoSpaceDE/>
        <w:autoSpaceDN/>
        <w:bidi w:val="0"/>
        <w:spacing w:line="560" w:lineRule="exact"/>
        <w:jc w:val="center"/>
        <w:textAlignment w:val="auto"/>
        <w:rPr>
          <w:rFonts w:hint="eastAsia" w:ascii="宋体" w:hAnsi="宋体"/>
        </w:rPr>
      </w:pPr>
    </w:p>
    <w:p>
      <w:pPr>
        <w:pStyle w:val="4"/>
        <w:keepNext w:val="0"/>
        <w:keepLines w:val="0"/>
        <w:pageBreakBefore w:val="0"/>
        <w:kinsoku/>
        <w:wordWrap/>
        <w:topLinePunct w:val="0"/>
        <w:autoSpaceDE/>
        <w:autoSpaceDN/>
        <w:bidi w:val="0"/>
        <w:spacing w:line="560" w:lineRule="exact"/>
        <w:jc w:val="center"/>
        <w:textAlignment w:val="auto"/>
        <w:rPr>
          <w:rFonts w:ascii="宋体" w:hAnsi="宋体"/>
        </w:rPr>
      </w:pPr>
      <w:r>
        <w:rPr>
          <w:rFonts w:hint="eastAsia" w:ascii="方正小标宋_GBK" w:hAnsi="方正小标宋_GBK" w:eastAsia="方正小标宋_GBK" w:cs="方正小标宋_GBK"/>
          <w:b w:val="0"/>
          <w:bCs w:val="0"/>
          <w:sz w:val="44"/>
          <w:szCs w:val="44"/>
          <w:lang w:eastAsia="zh-CN"/>
        </w:rPr>
        <w:t>西畴县</w:t>
      </w:r>
      <w:r>
        <w:rPr>
          <w:rFonts w:hint="eastAsia" w:ascii="方正小标宋_GBK" w:hAnsi="方正小标宋_GBK" w:eastAsia="方正小标宋_GBK" w:cs="方正小标宋_GBK"/>
          <w:b w:val="0"/>
          <w:bCs w:val="0"/>
          <w:sz w:val="44"/>
          <w:szCs w:val="44"/>
        </w:rPr>
        <w:t>绿美乡镇建设导则</w:t>
      </w:r>
      <w:bookmarkEnd w:id="1"/>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一、范围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各</w:t>
      </w:r>
      <w:r>
        <w:rPr>
          <w:rFonts w:hint="eastAsia" w:ascii="宋体" w:hAnsi="宋体" w:eastAsia="方正仿宋_GBK"/>
          <w:sz w:val="32"/>
          <w:szCs w:val="32"/>
        </w:rPr>
        <w:t>乡（镇）</w:t>
      </w:r>
      <w:r>
        <w:rPr>
          <w:rFonts w:hint="eastAsia" w:ascii="宋体" w:hAnsi="宋体" w:eastAsia="方正仿宋_GBK"/>
          <w:sz w:val="32"/>
          <w:szCs w:val="32"/>
          <w:lang w:eastAsia="zh-CN"/>
        </w:rPr>
        <w:t>人民</w:t>
      </w:r>
      <w:r>
        <w:rPr>
          <w:rFonts w:hint="eastAsia" w:ascii="宋体" w:hAnsi="宋体" w:eastAsia="方正仿宋_GBK"/>
          <w:sz w:val="32"/>
          <w:szCs w:val="32"/>
        </w:rPr>
        <w:t>政府所在地</w:t>
      </w:r>
      <w:r>
        <w:rPr>
          <w:rFonts w:hint="eastAsia" w:ascii="宋体" w:hAnsi="宋体" w:eastAsia="方正仿宋_GBK"/>
          <w:sz w:val="32"/>
          <w:szCs w:val="32"/>
          <w:lang w:eastAsia="zh-CN"/>
        </w:rPr>
        <w:t>适用</w:t>
      </w:r>
      <w:r>
        <w:rPr>
          <w:rFonts w:hint="eastAsia" w:ascii="宋体" w:hAnsi="宋体" w:eastAsia="方正仿宋_GBK"/>
          <w:sz w:val="32"/>
          <w:szCs w:val="32"/>
        </w:rPr>
        <w:t>本导则。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二、规范性引用文件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村庄和集镇规划建设管理条例（国务院令第116号）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历史文化名城名镇名村保护条例（国务院令第524号）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GB50188-2007镇规划标准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CJJ/T168-2011乡（镇）村绿地分类标准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CJJT-91-2017风景园林基本术语标准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CJJ/T91-2002园林基本术语标准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CJJ75-97城市道路绿化规划与设计规范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CJJ/T236-2015垂直绿化工程技术规程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JGJ155-2013种植屋面工程技术规程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乡（镇）域规划导则（试行）（建村〔2010〕184号）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建制镇规划建设管理办法（建设部令第44号）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三、术语和定义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（一）乡土树种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指本地区天然分布的树种和没有生态入侵的归化树种</w:t>
      </w:r>
      <w:r>
        <w:rPr>
          <w:rFonts w:hint="eastAsia" w:ascii="宋体" w:hAnsi="宋体" w:eastAsia="方正仿宋_GBK"/>
          <w:sz w:val="32"/>
          <w:szCs w:val="32"/>
          <w:lang w:eastAsia="zh-CN"/>
        </w:rPr>
        <w:t>；西畴县县树为“华盖木”，县花是“木兰花”</w:t>
      </w:r>
      <w:r>
        <w:rPr>
          <w:rFonts w:hint="eastAsia" w:ascii="宋体" w:hAnsi="宋体" w:eastAsia="方正仿宋_GBK"/>
          <w:sz w:val="32"/>
          <w:szCs w:val="32"/>
        </w:rPr>
        <w:t>。</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（二）生态空间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指具有自然属性、以提供生态服务或生态产品为主体功能的国土空间，包括森林、草原、湿地、河流、滩涂、荒地、高山等。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（三）立体绿化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指以屋顶、建（构）筑物墙面等为载体，充分利用不同的立地条件，选择适宜植物栽植并依附或铺贴于各种建（构）筑物及其它空间结构上的绿化方式。</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四、总则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（一）建设目标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乡（镇）</w:t>
      </w:r>
      <w:r>
        <w:rPr>
          <w:rFonts w:hint="eastAsia" w:ascii="宋体" w:hAnsi="宋体" w:eastAsia="方正仿宋_GBK"/>
          <w:sz w:val="32"/>
          <w:szCs w:val="32"/>
        </w:rPr>
        <w:t>是统筹城乡发展、推进乡村振兴的桥梁和纽带，在经济社会发展中发挥着基础性作用。建设绿美乡镇，着力解决绿色休憩空间缺乏、环境脏乱差、功能设施滞后、特色缺失、管理薄弱等问题，努力建设一批功能完善、环境优美、宜居宜业、特色鲜明的美丽乡镇，让居民“望得见山、看得见水、记得住乡愁”，让乡镇成为人们向往的宜居幸福家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扩大乡（镇）绿地面积，构建良好的生态网络，广植乡土树种，做好乡（镇）风貌管控和引导，实现乡镇</w:t>
      </w:r>
      <w:r>
        <w:rPr>
          <w:rFonts w:hint="eastAsia" w:ascii="宋体" w:hAnsi="宋体" w:eastAsia="方正仿宋_GBK"/>
          <w:sz w:val="32"/>
          <w:szCs w:val="32"/>
          <w:lang w:eastAsia="zh-CN"/>
        </w:rPr>
        <w:t>所在地</w:t>
      </w:r>
      <w:r>
        <w:rPr>
          <w:rFonts w:hint="eastAsia" w:ascii="宋体" w:hAnsi="宋体" w:eastAsia="方正仿宋_GBK"/>
          <w:sz w:val="32"/>
          <w:szCs w:val="32"/>
        </w:rPr>
        <w:t>绿化美化“年年有变化，三年大变样”。国家级和省级特色小镇、中国历史文化名镇（国家、省级）、全国重点镇、乡村振兴示范乡（镇），应积极发挥示范带动作用，打造一流镇区设施和景观，塑造具有本地特色的乡（镇）风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（二）基本原则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坚持城乡统筹，一体规划。绿美乡镇总体规划空间布局要与周边自然环境相协调，整体格局和风貌具有典型特征。突出体现乡（镇）区域、民俗或民族文化特色，传统与现代、历史与时尚、自然与人文完美结合，独特的自然风光之美、错落的空间结构之美、多元的功能融合之美、多彩的历史人文之美有机统一的形态之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坚持以人为本，尊重民意。坚持保护传承和开发利用相结合、农耕文化和现代要素相结合，注重保护乡镇自然景观资源和历史、文化资源，突出植物地带性风貌特色、突出乡（镇）文化风貌特点，保护和利用古村镇、文物古迹等，避免过度开发。</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坚持因地制宜，彰显特色。因地制宜，尊重原有自然格局，促进地形地貌、传统风貌与现代美学相融合，体现风貌整体性、空间立体性、平面协调性。推进多维度全域增绿，建设“口袋公园”及小微绿地。用乡土手法提高乡（镇）风貌，鼓励使用乡土材料、传统建筑方式传承和延续村镇地域特色。</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坚持量力而行，循序渐进。科学合理细化确定绿美乡镇的具体目标任务、范围标准、重点内容等行动计划。尊重群众意愿，遵循乡村建设规律，先易后难，先示范后推行，分步有序加快推进绿美乡镇建设。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五、规划设计要点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（一）彰显自然文化特色风貌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注重保护和延续乡镇的自然景观，有机结合乡（镇）的历史文化及周边山林水系，挖掘乡镇的地域特色，注重显山露水、塑造田园风光。挖掘和传承乡镇的文化基因，依托好当地山水资源、用好当地乡土植物、体现地方文化、讲好地方故事，真正把当地的文化基因、历史脉络、风格肌理梳理出来，打造具有</w:t>
      </w:r>
      <w:r>
        <w:rPr>
          <w:rFonts w:hint="eastAsia" w:ascii="宋体" w:hAnsi="宋体" w:eastAsia="方正仿宋_GBK"/>
          <w:sz w:val="32"/>
          <w:szCs w:val="32"/>
          <w:lang w:eastAsia="zh-CN"/>
        </w:rPr>
        <w:t>西畴</w:t>
      </w:r>
      <w:r>
        <w:rPr>
          <w:rFonts w:hint="eastAsia" w:ascii="宋体" w:hAnsi="宋体" w:eastAsia="方正仿宋_GBK"/>
          <w:sz w:val="32"/>
          <w:szCs w:val="32"/>
        </w:rPr>
        <w:t>地方自然文化特色的绿美乡镇，不搞“千镇一面”。</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（二）保护乡镇生态空间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以绿美</w:t>
      </w:r>
      <w:r>
        <w:rPr>
          <w:rFonts w:hint="eastAsia" w:ascii="宋体" w:hAnsi="宋体" w:eastAsia="方正仿宋_GBK"/>
          <w:sz w:val="32"/>
          <w:szCs w:val="32"/>
          <w:lang w:eastAsia="zh-CN"/>
        </w:rPr>
        <w:t>乡</w:t>
      </w:r>
      <w:r>
        <w:rPr>
          <w:rFonts w:hint="eastAsia" w:ascii="宋体" w:hAnsi="宋体" w:eastAsia="方正仿宋_GBK"/>
          <w:sz w:val="32"/>
          <w:szCs w:val="32"/>
        </w:rPr>
        <w:t>镇，用自然生态营造环境，多栽树少硬化。梳理镇域生态空间布局中的斑块、廊道、基质，划定乡（镇）</w:t>
      </w:r>
      <w:r>
        <w:rPr>
          <w:rFonts w:hint="eastAsia" w:ascii="宋体" w:hAnsi="宋体" w:eastAsia="方正仿宋_GBK"/>
          <w:sz w:val="32"/>
          <w:szCs w:val="32"/>
          <w:lang w:eastAsia="zh-CN"/>
        </w:rPr>
        <w:t>区域</w:t>
      </w:r>
      <w:r>
        <w:rPr>
          <w:rFonts w:hint="eastAsia" w:ascii="宋体" w:hAnsi="宋体" w:eastAsia="方正仿宋_GBK"/>
          <w:sz w:val="32"/>
          <w:szCs w:val="32"/>
        </w:rPr>
        <w:t>生态空间。划定生态廊道，保障重要的山体、水系等生态要素在空间上的连续性。保证水、林、田等重要生态要素数量不减少，质量不降低。在空间结构上，水系更加连续完整，农田空间更加集聚，林地沿路沿河布局、连片成网的格局更加清晰，初步呈现大田大林的空间结构。</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（三）构建绿色路网体系</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完善路网体系，打通“断头路”，修补破损路，提高人行道透水铺装和道路绿化水平。街路绿化改造、新植、补植要做到一街一品，一段一景，既要适当提高档次又要因地制宜，成活率要达到95%以上。</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乡村道路一般较窄，两边可用于绿化的地方不多，可规划两边各种植一排绿化树，采取单层乔木或乔灌结合模式种植。乡村道路绿化树种选择可考虑树冠美观、速生、经济效益好，易栽、易活、易管的绿化树种，如果道路两旁是农田的，应选择树冠较小的树种。有条件的乡（镇）要通过系统设计，把各类自然、人文、生态、农业景观等资源“串点成线”，形成集“绿化、文化、活化、美化”一体的休闲观光绿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（四）提升乡（镇）区绿化美化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乡（</w:t>
      </w:r>
      <w:r>
        <w:rPr>
          <w:rFonts w:hint="eastAsia" w:ascii="宋体" w:hAnsi="宋体" w:eastAsia="方正仿宋_GBK"/>
          <w:sz w:val="32"/>
          <w:szCs w:val="32"/>
        </w:rPr>
        <w:t>镇</w:t>
      </w:r>
      <w:r>
        <w:rPr>
          <w:rFonts w:hint="eastAsia" w:ascii="宋体" w:hAnsi="宋体" w:eastAsia="方正仿宋_GBK"/>
          <w:sz w:val="32"/>
          <w:szCs w:val="32"/>
          <w:lang w:eastAsia="zh-CN"/>
        </w:rPr>
        <w:t>）所在地</w:t>
      </w:r>
      <w:r>
        <w:rPr>
          <w:rFonts w:hint="eastAsia" w:ascii="宋体" w:hAnsi="宋体" w:eastAsia="方正仿宋_GBK"/>
          <w:sz w:val="32"/>
          <w:szCs w:val="32"/>
        </w:rPr>
        <w:t>环境绿化规划应根据地形地貌、现状绿地的特点和生态环境建设的要求，结合用地布局，统一安排公共绿地、防护绿地、各类用地中的附属绿地，以及乡（镇）区周围环境的绿化，形成绿地系统。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增加乡（镇）</w:t>
      </w:r>
      <w:r>
        <w:rPr>
          <w:rFonts w:hint="eastAsia" w:ascii="宋体" w:hAnsi="宋体" w:eastAsia="方正仿宋_GBK"/>
          <w:sz w:val="32"/>
          <w:szCs w:val="32"/>
          <w:lang w:eastAsia="zh-CN"/>
        </w:rPr>
        <w:t>区</w:t>
      </w:r>
      <w:r>
        <w:rPr>
          <w:rFonts w:hint="eastAsia" w:ascii="宋体" w:hAnsi="宋体" w:eastAsia="方正仿宋_GBK"/>
          <w:sz w:val="32"/>
          <w:szCs w:val="32"/>
        </w:rPr>
        <w:t>向公众开放，以游憩为主要功能，兼具生态、美化等作用的绿地，包括小游园、沿河游憩绿地、街旁绿地和古树名木周围的游憩场地等。乡（镇）应大力实施植树增绿、见缝插绿、拆违补绿、拆墙透绿行动，多植乔木和乡土、彩色树种，做好公园绿化、道路绿化、庭院绿化，鼓励临街立面垂直绿化、屋顶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防护绿地应根据卫生和安全防护功能的要求，规划布置水源保护区防护绿地、工矿企业防护绿带、养殖业的卫生隔离带、公路防护绿带、高压电力线路走廊绿化和防风林带等。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（五）鼓励乡（镇）区绿色微更新</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采用微改造、微更新的方式，整体保护</w:t>
      </w:r>
      <w:r>
        <w:rPr>
          <w:rFonts w:hint="eastAsia" w:ascii="宋体" w:hAnsi="宋体" w:eastAsia="方正仿宋_GBK"/>
          <w:sz w:val="32"/>
          <w:szCs w:val="32"/>
          <w:lang w:eastAsia="zh-CN"/>
        </w:rPr>
        <w:t>乡（</w:t>
      </w:r>
      <w:r>
        <w:rPr>
          <w:rFonts w:hint="eastAsia" w:ascii="宋体" w:hAnsi="宋体" w:eastAsia="方正仿宋_GBK"/>
          <w:sz w:val="32"/>
          <w:szCs w:val="32"/>
        </w:rPr>
        <w:t>镇</w:t>
      </w:r>
      <w:r>
        <w:rPr>
          <w:rFonts w:hint="eastAsia" w:ascii="宋体" w:hAnsi="宋体" w:eastAsia="方正仿宋_GBK"/>
          <w:sz w:val="32"/>
          <w:szCs w:val="32"/>
          <w:lang w:eastAsia="zh-CN"/>
        </w:rPr>
        <w:t>）</w:t>
      </w:r>
      <w:r>
        <w:rPr>
          <w:rFonts w:hint="eastAsia" w:ascii="宋体" w:hAnsi="宋体" w:eastAsia="方正仿宋_GBK"/>
          <w:sz w:val="32"/>
          <w:szCs w:val="32"/>
        </w:rPr>
        <w:t>格局、街巷肌理、传统风貌，系统进行垂直绿化、容器绿化等，提升空间环境品质。有条件的乡（镇）要对重要街区、重点地段和重要节点开展绿化美化项目设计，展现浓郁的市井文化、民俗风情和地方特色，塑造网红打卡景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lang w:eastAsia="zh-CN"/>
        </w:rPr>
        <w:t>乡（</w:t>
      </w:r>
      <w:r>
        <w:rPr>
          <w:rFonts w:hint="eastAsia" w:ascii="宋体" w:hAnsi="宋体" w:eastAsia="方正仿宋_GBK"/>
          <w:sz w:val="32"/>
          <w:szCs w:val="32"/>
        </w:rPr>
        <w:t>镇</w:t>
      </w:r>
      <w:r>
        <w:rPr>
          <w:rFonts w:hint="eastAsia" w:ascii="宋体" w:hAnsi="宋体" w:eastAsia="方正仿宋_GBK"/>
          <w:sz w:val="32"/>
          <w:szCs w:val="32"/>
          <w:lang w:eastAsia="zh-CN"/>
        </w:rPr>
        <w:t>）</w:t>
      </w:r>
      <w:r>
        <w:rPr>
          <w:rFonts w:hint="eastAsia" w:ascii="宋体" w:hAnsi="宋体" w:eastAsia="方正仿宋_GBK"/>
          <w:sz w:val="32"/>
          <w:szCs w:val="32"/>
        </w:rPr>
        <w:t>房前屋后一般可用于绿化的地方较窄，宜零星种植或丛状种植,采取单层乔木或乔灌结合模式种植，见缝扎绿。可选用美观、经济价值高、适应性强的树种。一般选择小苗种植，有条件的可大苗种植。根据绿化面积的大小决定种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六、长效管理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（一）构建公众参与的制度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强化政府责任，发挥群众主体作用，广泛动员群众积极主动参与，防止政府大包大揽。坚持问需于民、问计于民、问效于民，贴近群众生产生活，避免大拆大建。充分激发居民“主人翁”意识，发动并引导当地居民经常性开展镇区整治和建设活动，使</w:t>
      </w:r>
      <w:r>
        <w:rPr>
          <w:rFonts w:hint="eastAsia" w:ascii="宋体" w:hAnsi="宋体" w:eastAsia="方正仿宋_GBK"/>
          <w:sz w:val="32"/>
          <w:szCs w:val="32"/>
          <w:lang w:eastAsia="zh-CN"/>
        </w:rPr>
        <w:t>乡（</w:t>
      </w:r>
      <w:r>
        <w:rPr>
          <w:rFonts w:hint="eastAsia" w:ascii="宋体" w:hAnsi="宋体" w:eastAsia="方正仿宋_GBK"/>
          <w:sz w:val="32"/>
          <w:szCs w:val="32"/>
        </w:rPr>
        <w:t>镇</w:t>
      </w:r>
      <w:r>
        <w:rPr>
          <w:rFonts w:hint="eastAsia" w:ascii="宋体" w:hAnsi="宋体" w:eastAsia="方正仿宋_GBK"/>
          <w:sz w:val="32"/>
          <w:szCs w:val="32"/>
          <w:lang w:eastAsia="zh-CN"/>
        </w:rPr>
        <w:t>）</w:t>
      </w:r>
      <w:r>
        <w:rPr>
          <w:rFonts w:hint="eastAsia" w:ascii="宋体" w:hAnsi="宋体" w:eastAsia="方正仿宋_GBK"/>
          <w:sz w:val="32"/>
          <w:szCs w:val="32"/>
        </w:rPr>
        <w:t>区环境从“点”到“面”、从“面”到“里”得到全面改善。</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（二）加强宣传发动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各地要充分利用广播、</w:t>
      </w:r>
      <w:r>
        <w:rPr>
          <w:rFonts w:hint="eastAsia" w:ascii="宋体" w:hAnsi="宋体" w:eastAsia="方正仿宋_GBK"/>
          <w:sz w:val="32"/>
          <w:szCs w:val="32"/>
          <w:lang w:eastAsia="zh-CN"/>
        </w:rPr>
        <w:t>微信公众号</w:t>
      </w:r>
      <w:r>
        <w:rPr>
          <w:rFonts w:hint="eastAsia" w:ascii="宋体" w:hAnsi="宋体" w:eastAsia="方正仿宋_GBK"/>
          <w:sz w:val="32"/>
          <w:szCs w:val="32"/>
        </w:rPr>
        <w:t>、</w:t>
      </w:r>
      <w:r>
        <w:rPr>
          <w:rFonts w:hint="eastAsia" w:ascii="宋体" w:hAnsi="宋体" w:eastAsia="方正仿宋_GBK"/>
          <w:sz w:val="32"/>
          <w:szCs w:val="32"/>
          <w:lang w:eastAsia="zh-CN"/>
        </w:rPr>
        <w:t>微信</w:t>
      </w:r>
      <w:r>
        <w:rPr>
          <w:rFonts w:hint="eastAsia" w:ascii="宋体" w:hAnsi="宋体" w:eastAsia="方正仿宋_GBK"/>
          <w:sz w:val="32"/>
          <w:szCs w:val="32"/>
        </w:rPr>
        <w:t>和融媒体等多种载体，积极开展绿美乡镇建设行动宣传，充分调动基层干部和居民群众的积极性、主动性和创造性，加快形成全民共建、全民共享的良好氛围。要及时总结经验，加强交流学习，不断巩固提升建设成效和管理水平。</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sectPr>
          <w:headerReference r:id="rId3" w:type="default"/>
          <w:footerReference r:id="rId4" w:type="default"/>
          <w:pgSz w:w="11906" w:h="16838"/>
          <w:pgMar w:top="2098" w:right="1474" w:bottom="1418" w:left="1588" w:header="851" w:footer="1418" w:gutter="0"/>
          <w:cols w:space="425" w:num="1"/>
          <w:docGrid w:type="lines" w:linePitch="605" w:charSpace="21679"/>
        </w:sectPr>
      </w:pPr>
    </w:p>
    <w:p>
      <w:pPr>
        <w:pStyle w:val="4"/>
        <w:keepNext w:val="0"/>
        <w:keepLines w:val="0"/>
        <w:pageBreakBefore w:val="0"/>
        <w:kinsoku/>
        <w:wordWrap/>
        <w:topLinePunct w:val="0"/>
        <w:autoSpaceDE/>
        <w:autoSpaceDN/>
        <w:bidi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val="0"/>
          <w:sz w:val="44"/>
          <w:szCs w:val="44"/>
        </w:rPr>
      </w:pPr>
      <w:bookmarkStart w:id="2" w:name="_Toc109406407"/>
      <w:r>
        <w:rPr>
          <w:rFonts w:hint="eastAsia" w:ascii="方正小标宋_GBK" w:hAnsi="方正小标宋_GBK" w:eastAsia="方正小标宋_GBK" w:cs="方正小标宋_GBK"/>
          <w:b w:val="0"/>
          <w:bCs w:val="0"/>
          <w:sz w:val="44"/>
          <w:szCs w:val="44"/>
          <w:lang w:eastAsia="zh-CN"/>
        </w:rPr>
        <w:t>西畴县</w:t>
      </w:r>
      <w:r>
        <w:rPr>
          <w:rFonts w:hint="eastAsia" w:ascii="方正小标宋_GBK" w:hAnsi="方正小标宋_GBK" w:eastAsia="方正小标宋_GBK" w:cs="方正小标宋_GBK"/>
          <w:b w:val="0"/>
          <w:bCs w:val="0"/>
          <w:sz w:val="44"/>
          <w:szCs w:val="44"/>
        </w:rPr>
        <w:t>绿美乡村建设导则</w:t>
      </w:r>
      <w:bookmarkEnd w:id="2"/>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2"/>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一、范围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城郊村、交通干道沿线村、古村名村、</w:t>
      </w:r>
      <w:r>
        <w:rPr>
          <w:rFonts w:hint="eastAsia" w:ascii="宋体" w:hAnsi="宋体" w:eastAsia="方正仿宋_GBK"/>
          <w:sz w:val="32"/>
          <w:szCs w:val="32"/>
          <w:lang w:eastAsia="zh-CN"/>
        </w:rPr>
        <w:t>少数民族村、</w:t>
      </w:r>
      <w:r>
        <w:rPr>
          <w:rFonts w:hint="eastAsia" w:ascii="宋体" w:hAnsi="宋体" w:eastAsia="方正仿宋_GBK"/>
          <w:sz w:val="32"/>
          <w:szCs w:val="32"/>
        </w:rPr>
        <w:t>旅游景区周边村等</w:t>
      </w:r>
      <w:r>
        <w:rPr>
          <w:rFonts w:hint="eastAsia" w:ascii="宋体" w:hAnsi="宋体" w:eastAsia="方正仿宋_GBK"/>
          <w:sz w:val="32"/>
          <w:szCs w:val="32"/>
          <w:lang w:eastAsia="zh-CN"/>
        </w:rPr>
        <w:t>村寨</w:t>
      </w:r>
      <w:r>
        <w:rPr>
          <w:rFonts w:hint="eastAsia" w:ascii="宋体" w:hAnsi="宋体" w:eastAsia="方正仿宋_GBK"/>
          <w:sz w:val="32"/>
          <w:szCs w:val="32"/>
        </w:rPr>
        <w:t>适用</w:t>
      </w:r>
      <w:r>
        <w:rPr>
          <w:rFonts w:hint="eastAsia" w:ascii="宋体" w:hAnsi="宋体" w:eastAsia="方正仿宋_GBK"/>
          <w:sz w:val="32"/>
          <w:szCs w:val="32"/>
          <w:lang w:eastAsia="zh-CN"/>
        </w:rPr>
        <w:t>于</w:t>
      </w:r>
      <w:r>
        <w:rPr>
          <w:rFonts w:hint="eastAsia" w:ascii="宋体" w:hAnsi="宋体" w:eastAsia="方正仿宋_GBK"/>
          <w:sz w:val="32"/>
          <w:szCs w:val="32"/>
        </w:rPr>
        <w:t>本导则。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二、规范性引用文件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GB/T32000-2015美丽乡村建设指南</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GB/T37072-2018美丽乡村建设评价国家标准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GB/T15776-20161造林技术规程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LY/T2645-2016乡村绿化技术规程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CJJ/T168-2011镇（乡）村绿地分类标准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三、术语和定义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下列术语和定义适用于本文件。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（一）乡土树种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指本地区天然分布的树种和没有生态入侵的归化树种</w:t>
      </w:r>
      <w:r>
        <w:rPr>
          <w:rFonts w:hint="eastAsia" w:ascii="宋体" w:hAnsi="宋体" w:eastAsia="方正仿宋_GBK"/>
          <w:sz w:val="32"/>
          <w:szCs w:val="32"/>
          <w:lang w:eastAsia="zh-CN"/>
        </w:rPr>
        <w:t>；西畴县县树为“华盖木”，县花是“木兰花”</w:t>
      </w:r>
      <w:r>
        <w:rPr>
          <w:rFonts w:hint="eastAsia" w:ascii="宋体" w:hAnsi="宋体" w:eastAsia="方正仿宋_GBK"/>
          <w:sz w:val="32"/>
          <w:szCs w:val="32"/>
        </w:rPr>
        <w:t>。</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（二）乡村绿化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指村庄内依据当地自然条件，通过栽植植物等方式改善生态、保护环境，为村民提供健康、舒适、绿美的生活空间。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（三）庭院绿化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指农村独立院落，包括房前屋后空地、各个行政村村委会大院的绿化美化。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（四）村庄公共绿地</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指村庄道路两旁空地、村头村尾空地、中心广场、公共建筑附近，或在旧村拆迁改造建设、新村住宅楼建设时预留地块上营造的小微绿地。</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四、总则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（一）科学规划，以人为本</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坚持既要量力而行、又要尽力而为，科学、稳妥、有序推进绿美乡村建设，以改善提升农村人居环境为目标，尊重村民意愿，努力营造美观、富有野趣且较易管理的自然田园景观，建设村绿、景美的生态宜居乡村，不断满足人民群众对美好生活的需要。</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（二）因地制宜，突出特色</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遵循实用性、观赏性、食源性、多样性原则，突出乡村特色和田园风光，保存乡村生态风貌，保护古树名木，将经济性、功能性、观赏性有机结合起来，见缝插绿，应绿尽绿，广植乡土植物。实施“一人十树”“一村万树”工程，力争5年内所有村组都实现“一村万树”。</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（三）保护优先，留住乡愁</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文化保护优先，保护</w:t>
      </w:r>
      <w:r>
        <w:rPr>
          <w:rFonts w:hint="eastAsia" w:ascii="宋体" w:hAnsi="宋体" w:eastAsia="方正仿宋_GBK"/>
          <w:sz w:val="32"/>
          <w:szCs w:val="32"/>
          <w:lang w:eastAsia="zh-CN"/>
        </w:rPr>
        <w:t>好</w:t>
      </w:r>
      <w:r>
        <w:rPr>
          <w:rFonts w:hint="eastAsia" w:ascii="宋体" w:hAnsi="宋体" w:eastAsia="方正仿宋_GBK"/>
          <w:sz w:val="32"/>
          <w:szCs w:val="32"/>
        </w:rPr>
        <w:t>各乡村的自然生态、地域文化、乡土景观，体现乡村特色，留住乡愁，不能简单照搬城镇绿化模式，不搞千村一样。植物选择宜考虑季相变化，常绿、落叶搭配，色叶树种搭配。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（四）量力而行，注重实效</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充分考虑村庄各自的实际情况，要进行管理成本核算，树种的选择以及配置等要充分考虑今后管理的难易、费用；不照搬城镇绿化标准，对于一些原有自然植被保护较好的村庄，要大力保护原有树木，适当进行整理，不能去旧种新；对于征地拆迁新建新村，可适当提高绿化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五、绿美乡村建设要点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（一）乡村自然文化风貌保护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1.自然生态保护方面。对村庄山水林田湖草沙等自然生态资源进行有效保护。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2.植被保护方面。对村庄风水林、护村林、风景林、古树名木等自然植被进行有效保护，不能去旧种新。</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3.遗迹保护方面。对古村落、古民居、古建筑等人文历史遗迹采取有效保护措施。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（二）乡村绿化美化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规划布局。根据乡村地理位置、自然禀赋、生态环境状况、产业发展需求等情况，因地制宜科学编制村庄规划，村庄规划应符合国土空间规划，处理好山形、水体、道路、建筑的关系，依法使用土地，科学布局绿化美化区域，选址应符合安全要求，兼具防灾避险功能。公共活动场所的绿化美化规划与布局，应充分利用闲置土地、现有建筑及设施等，注重传统文化的保护传承，维护乡村风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2.“四旁”绿化。村旁、宅旁、路旁、水旁等空间应绿尽绿。</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3.“四地”绿化。充分利用边角地、空闲地、闲置宅基地、拆违地等空间，应绿尽绿。</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4.庭院绿化。引导鼓励村民通过栽植果蔬花木等开展庭院绿化和美化，搞好庭院环境卫生，发展庭院经济。有条件的村庄可开展“美丽庭院”创建。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5.植物选择。乡村绿化宜采用本地果树林木花草品种，兼顾生态、经济和景观效果，与当地的景观风貌相协调。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6.人居环境。推动村民养成良好的爱护环境、清洁卫生习惯，保持村庄干净整洁对影响村庄空间外观视觉的外墙和屋顶进行美化，达到整齐、洁净、优美的要求。规范太阳能热水器等设施的安装。</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（三）生态产业</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1.将乡村绿化美化与产业发展相结合，鼓励有条件的乡村开展苗木种植，推进一二三产业融合发展，带动乡村生态产业发展。</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2.推广林草、林果、林花、林菜、林菌、林药、林禽、林蜂等林下经济发展模式，培育专业合作社、家庭林场等新型经营主体。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3.依托乡村绿色生态资源，用好古村落民居、民俗风情、</w:t>
      </w:r>
      <w:r>
        <w:rPr>
          <w:rFonts w:hint="eastAsia" w:ascii="宋体" w:hAnsi="宋体" w:eastAsia="方正仿宋_GBK"/>
          <w:sz w:val="32"/>
          <w:szCs w:val="32"/>
          <w:lang w:eastAsia="zh-CN"/>
        </w:rPr>
        <w:t>少数民族特色、</w:t>
      </w:r>
      <w:r>
        <w:rPr>
          <w:rFonts w:hint="eastAsia" w:ascii="宋体" w:hAnsi="宋体" w:eastAsia="方正仿宋_GBK"/>
          <w:sz w:val="32"/>
          <w:szCs w:val="32"/>
        </w:rPr>
        <w:t>名人古迹、古树名木等人文和自然景观资源，大力发展庭院经济、森林观光、林果采摘、森林康养、乡村民宿、</w:t>
      </w:r>
      <w:r>
        <w:rPr>
          <w:rFonts w:hint="eastAsia" w:ascii="宋体" w:hAnsi="宋体" w:eastAsia="方正仿宋_GBK"/>
          <w:sz w:val="32"/>
          <w:szCs w:val="32"/>
          <w:lang w:eastAsia="zh-CN"/>
        </w:rPr>
        <w:t>、民族文化、</w:t>
      </w:r>
      <w:r>
        <w:rPr>
          <w:rFonts w:hint="eastAsia" w:ascii="宋体" w:hAnsi="宋体" w:eastAsia="方正仿宋_GBK"/>
          <w:sz w:val="32"/>
          <w:szCs w:val="32"/>
        </w:rPr>
        <w:t>乡村康养、生态旅游等乡村旅游休闲观光项目，带动农民增收致富。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六、长效管理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（一）充分发挥村民主体作用，尊重村民意愿，发动村民积极参与绿化美化建设。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（二）通过村务公开栏、网络、广播、</w:t>
      </w:r>
      <w:r>
        <w:rPr>
          <w:rFonts w:hint="eastAsia" w:ascii="宋体" w:hAnsi="宋体" w:eastAsia="方正仿宋_GBK"/>
          <w:sz w:val="32"/>
          <w:szCs w:val="32"/>
          <w:lang w:eastAsia="zh-CN"/>
        </w:rPr>
        <w:t>微信</w:t>
      </w:r>
      <w:r>
        <w:rPr>
          <w:rFonts w:hint="eastAsia" w:ascii="宋体" w:hAnsi="宋体" w:eastAsia="方正仿宋_GBK"/>
          <w:sz w:val="32"/>
          <w:szCs w:val="32"/>
        </w:rPr>
        <w:t>、手机信息等形式，发布绿美乡村建设动态，让村民及时了解绿美乡村建设动态，参与并监督绿美乡村建设。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（三）建立乡村卫生保洁、绿化美化养护、基础设施维护等管护机制，有条件的乡村可以配备相应的管护人员。</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sectPr>
          <w:pgSz w:w="11906" w:h="16838"/>
          <w:pgMar w:top="2098" w:right="1474" w:bottom="1418" w:left="1588" w:header="851" w:footer="1418" w:gutter="0"/>
          <w:cols w:space="425" w:num="1"/>
          <w:docGrid w:type="lines" w:linePitch="605" w:charSpace="21679"/>
        </w:sectPr>
      </w:pPr>
    </w:p>
    <w:p>
      <w:pPr>
        <w:pStyle w:val="4"/>
        <w:keepNext w:val="0"/>
        <w:keepLines w:val="0"/>
        <w:pageBreakBefore w:val="0"/>
        <w:kinsoku/>
        <w:wordWrap/>
        <w:topLinePunct w:val="0"/>
        <w:autoSpaceDE/>
        <w:autoSpaceDN/>
        <w:bidi w:val="0"/>
        <w:spacing w:before="0" w:beforeAutospacing="0" w:after="0" w:afterAutospacing="0" w:line="560" w:lineRule="exact"/>
        <w:jc w:val="center"/>
        <w:textAlignment w:val="auto"/>
        <w:rPr>
          <w:rFonts w:ascii="宋体" w:hAnsi="宋体"/>
        </w:rPr>
      </w:pPr>
      <w:bookmarkStart w:id="3" w:name="_Toc109406408"/>
      <w:r>
        <w:rPr>
          <w:rFonts w:hint="eastAsia" w:ascii="方正小标宋_GBK" w:hAnsi="方正小标宋_GBK" w:eastAsia="方正小标宋_GBK" w:cs="方正小标宋_GBK"/>
          <w:b w:val="0"/>
          <w:bCs w:val="0"/>
          <w:sz w:val="44"/>
          <w:szCs w:val="44"/>
          <w:lang w:eastAsia="zh-CN"/>
        </w:rPr>
        <w:t>西畴县</w:t>
      </w:r>
      <w:r>
        <w:rPr>
          <w:rFonts w:hint="eastAsia" w:ascii="方正小标宋_GBK" w:hAnsi="方正小标宋_GBK" w:eastAsia="方正小标宋_GBK" w:cs="方正小标宋_GBK"/>
          <w:b w:val="0"/>
          <w:bCs w:val="0"/>
          <w:sz w:val="44"/>
          <w:szCs w:val="44"/>
        </w:rPr>
        <w:t>绿美交通建设导则</w:t>
      </w:r>
      <w:bookmarkEnd w:id="3"/>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2"/>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一、范围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进出</w:t>
      </w:r>
      <w:r>
        <w:rPr>
          <w:rFonts w:hint="eastAsia" w:ascii="宋体" w:hAnsi="宋体" w:eastAsia="方正仿宋_GBK"/>
          <w:sz w:val="32"/>
          <w:szCs w:val="32"/>
          <w:lang w:eastAsia="zh-CN"/>
        </w:rPr>
        <w:t>西畴</w:t>
      </w:r>
      <w:r>
        <w:rPr>
          <w:rFonts w:hint="eastAsia" w:ascii="宋体" w:hAnsi="宋体" w:eastAsia="方正仿宋_GBK"/>
          <w:sz w:val="32"/>
          <w:szCs w:val="32"/>
        </w:rPr>
        <w:t>交通要道，旅游公路、自驾游精品线路，进出城区的交通干线，高速公路、国省干线、农村公路，服务区。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积极推进交通沿线应绿尽绿，打造与周边生态环境相协调、地域特点显著的绿美交通。2022—2024年，西畴县计划实施农村公路“绿美公路”建设26条段共413公里。其中：2022年计划实施兴大线、团大线、卖茅线等8条段共115公里；2023年计划实施新新线、龙大线、西凉线等12条段共231公里；2024年计划实施法三线、蚌八线、长大线等6条段共6</w:t>
      </w:r>
      <w:r>
        <w:rPr>
          <w:rFonts w:hint="eastAsia" w:ascii="宋体" w:hAnsi="宋体" w:eastAsia="方正仿宋_GBK"/>
          <w:sz w:val="32"/>
          <w:szCs w:val="32"/>
          <w:lang w:val="en-US" w:eastAsia="zh-CN"/>
        </w:rPr>
        <w:t>7</w:t>
      </w:r>
      <w:r>
        <w:rPr>
          <w:rFonts w:hint="eastAsia" w:ascii="宋体" w:hAnsi="宋体" w:eastAsia="方正仿宋_GBK"/>
          <w:sz w:val="32"/>
          <w:szCs w:val="32"/>
        </w:rPr>
        <w:t>公里。通过三年的绿美交通行动，全力打造农村公路“一路一景”，有效改善公路行车环境。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绿美公路范围：中央分隔带、路侧绿带、立交区、边坡、隧道洞顶及洞口分离式中间带、沿线设施绿地、取弃土场、临时用地范围内可绿化区域。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二、规范性引用文件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JTGB04-2010公路环境保护设计规范；JTGB01-2014公路工程技术标准；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《公路工程基本建设项目设计文件编制办法》（交公路发〔2007〕358号）；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CJJ/T91-2017风景园林基本术语标准；CJ/T340-2016绿化种植土壤；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CJJA3_82-2019园林绿化工程施工及验收规范；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CJJ57-97城市道路绿化规划及设计规范；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CJ/T24-2018园林绿地木本苗；</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GB6142-2008禾本科主要栽培牧草种子质量分级；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GB50420-2007城市绿地设计规范；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CJJ48-92公园设计规范；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《关于园林和景观设计服务成本要素信息统计分析情况的通报》（中设协字〔2018〕119号）；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GB7908-1999林木种子质量分级；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铁路安全管理条例（国务院令第639号）；（修改）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TG/QT102—2021铁路营业线施工管理办法；（增加）</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《铁路路基边坡绿色防护技术暂行规定》（建技〔2003〕7号）；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《铁路工程绿色通道建设指南》（铁总建设〔2013〕94号）；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Q/CR9526-2019铁路工程绿化设计和施工质量控制标准（南方地区）；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运输机场运行安全管理规定（2019）；</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AC-158-CA-2018-01中国民用航空局机场司绿色机场规划导则；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AC-158-CA-2017-02中国民用航空局机场司民用机场绿色施工指南。</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CJJ/T287—2018园林绿化养护标准（增加）。</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三、术语及定义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（一）绿美公路。</w:t>
      </w:r>
      <w:r>
        <w:rPr>
          <w:rFonts w:hint="eastAsia" w:ascii="宋体" w:hAnsi="宋体" w:eastAsia="方正仿宋_GBK"/>
          <w:sz w:val="32"/>
          <w:szCs w:val="32"/>
        </w:rPr>
        <w:t>指在满足交通功能基础上，将公路景观与沿线各类景观融合建设，使其具有景观性、生态性、舒适性、安全性的同时,兼顾和谐惠民、宜行宜游等特质，展现地方生物资源多样性特点，构建系统完整、生态稳定的绿美公路。</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（二）绿美公路廊道。</w:t>
      </w:r>
      <w:r>
        <w:rPr>
          <w:rFonts w:hint="eastAsia" w:ascii="宋体" w:hAnsi="宋体" w:eastAsia="方正仿宋_GBK"/>
          <w:sz w:val="32"/>
          <w:szCs w:val="32"/>
        </w:rPr>
        <w:t>指在绿美公路的基础上，结合地域文化，展现具有特色性、识别性、观赏性的高品质景观，打造服务品质高、景观特色鲜明、生态功能完备的绿美交通廊道，即建设条件优越、重点打造、效果突出的绿美公路局部路段。</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（三）绿美服务区。</w:t>
      </w:r>
      <w:r>
        <w:rPr>
          <w:rFonts w:hint="eastAsia" w:ascii="宋体" w:hAnsi="宋体" w:eastAsia="方正仿宋_GBK"/>
          <w:sz w:val="32"/>
          <w:szCs w:val="32"/>
        </w:rPr>
        <w:t>指在满足公路服务区基本功能基础上，突出以人为本、服务于人的高品质服务功能，通过“人性化、特色化、生态化”方式，打造公众满意度较高的绿美服务区。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四、建设原则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（一）生态优先、自然和谐。</w:t>
      </w:r>
      <w:r>
        <w:rPr>
          <w:rFonts w:hint="eastAsia" w:ascii="宋体" w:hAnsi="宋体" w:eastAsia="方正仿宋_GBK"/>
          <w:sz w:val="32"/>
          <w:szCs w:val="32"/>
        </w:rPr>
        <w:t>坚持最大限度的生态环境保护、最小程度的破坏，力求将人文景观融入自然景观，构建和谐、稳定的生态系统。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（二）品质提升、安全舒适。</w:t>
      </w:r>
      <w:r>
        <w:rPr>
          <w:rFonts w:hint="eastAsia" w:ascii="宋体" w:hAnsi="宋体" w:eastAsia="方正仿宋_GBK"/>
          <w:sz w:val="32"/>
          <w:szCs w:val="32"/>
        </w:rPr>
        <w:t>立足提升交通沿线绿化建设品质，营造安全舒适、功能适宜的绿美交通环境。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（三）因地制宜、彰显特色。</w:t>
      </w:r>
      <w:r>
        <w:rPr>
          <w:rFonts w:hint="eastAsia" w:ascii="宋体" w:hAnsi="宋体" w:eastAsia="方正仿宋_GBK"/>
          <w:sz w:val="32"/>
          <w:szCs w:val="32"/>
        </w:rPr>
        <w:t>依据不同气候带下温度、降水、土壤、植被分布等自然特征，因地制宜、适地适树选择植物品种，充分体现地域植物风情、彰显不同景观特色。</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（四）以人为本、绿色惠民。</w:t>
      </w:r>
      <w:r>
        <w:rPr>
          <w:rFonts w:hint="eastAsia" w:ascii="宋体" w:hAnsi="宋体" w:eastAsia="方正仿宋_GBK"/>
          <w:sz w:val="32"/>
          <w:szCs w:val="32"/>
        </w:rPr>
        <w:t>围绕服务于人、惠民利民，建设提升人民群众使用舒适度、满意度的绿美交通项目。</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五、总体要求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（一）基本要求。</w:t>
      </w:r>
      <w:r>
        <w:rPr>
          <w:rFonts w:hint="eastAsia" w:ascii="宋体" w:hAnsi="宋体" w:eastAsia="方正仿宋_GBK"/>
          <w:sz w:val="32"/>
          <w:szCs w:val="32"/>
        </w:rPr>
        <w:t>围绕“安全、生态、舒适、宜人、特色”的要求，通过十年计划、三年行动，着力构建并不断优化绿美交通绿地系统和“山水林田湖”“城镇乡村景”各要素相融合的空间格局。加强交通体系的生态文明建设，推动绿美交通高质量发展，提升交通服务品质，提升驾乘人员获得感、幸福感、安全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（二）建设标准要求。</w:t>
      </w:r>
      <w:r>
        <w:rPr>
          <w:rFonts w:hint="eastAsia" w:ascii="宋体" w:hAnsi="宋体" w:eastAsia="方正仿宋_GBK"/>
          <w:sz w:val="32"/>
          <w:szCs w:val="32"/>
        </w:rPr>
        <w:t>系统性谋划推进、高水平规划设计、专业化种植管护。全面推进交通沿线用地范围内的绿化美化工作，在建、新建、拟建项目需按照绿美交通建设要求执行，改扩建项目根据项目实际情况，对有条件区域及重点路段实施绿美交通廊道建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楷体_GBK"/>
          <w:sz w:val="32"/>
          <w:szCs w:val="32"/>
        </w:rPr>
        <w:t>（三）植物配置要求。</w:t>
      </w:r>
      <w:r>
        <w:rPr>
          <w:rFonts w:hint="eastAsia" w:ascii="宋体" w:hAnsi="宋体" w:eastAsia="方正仿宋_GBK"/>
          <w:sz w:val="32"/>
          <w:szCs w:val="32"/>
        </w:rPr>
        <w:t>充分调查项目周边物种资源，选择适应性强、易管养、经济美观、兼顾安全的乡土植物、特色植物。结合区域气候特征，模拟自然植物群落构成方式，因地制宜、宜树则树、宜草则草，在确保植物群落稳定的前提下，提高生物多样性水平。特殊气候带及环境恶劣区域的植物品种及配置方案需开展专项技术评审。植物配置标准应结合项目建设方式而定，新建、拟建项目在保证方案物种丰富多样前提下，使用乡土植物种类占比不低于50%，数量占比不少于80%；改扩建项目应根据现有植物种类的实际情况，最大限度提高新增植物中乡土植物占比。</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六、绿美公路建设要点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（一）设计要点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绿美公路应践行最大限度地保护、最小程度地破坏、最强力度地恢复等设计理念，保护古树名木、现状植被，并针对边坡、立交区、取弃土场等区域加强生态恢复力度。对于环境恶劣、植物生长与管养难度大的区域，应严格遵循各气候带下植物生长规律，以生态恢复、补绿提质为主，坚持生态养护、绿色养护，做到“栽、管、护”相结合。绿美公路建设应结合周边自然环境，融入自然，按照“宜透则透、显山露水、路景交融”的思路进行打造，依山就势、借景造景。</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1.绿美高速公路（绿美交通廊道）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绿美交通廊道建设应在绿美公路建设基础上，针对建设条件优越的重要交通路段、节点，充分结合沿线地域风貌、文化特色，以“一路一景”的要求，加强项目地域性、识别性、观赏性，注重生物多样性水平高、季相变化明显、生态功能完备与地域特色鲜明。</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2.绿美普通国省道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（1）结合公路绿化的实际需求，充分利用现有土地资源，加强、扩大育苗基地建设,有效提高植株保存率，降低养护成本，满足普通国省干线公路绿化需求。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（2）在公路绿化建设中坚持“补齐连片、应绿尽绿”的原则，科学进行“加”“减”“疏”“补”，最大限度提高公路沿线绿化率，提升和改善公路路域生态环境。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3.绿美农村公路</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（1）绿美农村公路应与绿美乡村及周边自然环境统筹建设，保存乡村生态风貌，合理种植，落实最严格的耕地保护制度，坚决制止耕地“非农化”，防止基本农田“非粮化”。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（2）因地制宜，宜树则树、宜花则花、宜果则果、宜草则草，突出乡土田园特色，坚持节约务实，建设以自然演替为主的生态农村公路景观。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4.绿美服务区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（1）绿美服务区建设应在满足相关规范和安全的基础上,按照中心服务区绿地率不低于30%、普通服务区绿地率不低于25%要求建设。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（2）针对有条件的服务区推行“服务区+景区+营地”模式,因地制宜、因形就势，多层次、多色彩地营造环境优美的“小游园”。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服务区绿化美化要与周边自然山水、田园风貌等相协调，做到景观和建筑的融合、服务区和周围环境的融合、文化特质和建筑、景观的融合，按照“一区一景”“一区一特色”的要求进行设计，彰显资源禀赋，形成区域生物多样性和文化展示的窗口。</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（4）绿美服务区应以人为本，坚持服务于人，提升使用安全性、舒适性、便捷性，打造群众满意的绿美服务区，让人“进得去、有得看、留得住、还想来”。</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（二）实施要求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1.各类型绿美公路、服务区，应按照基本建设程序开展，严格执行设计及批复要求。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2.绿美公路工程实施阶段，要以环境保护为基础，与主体工程协同推进，最大程度修复和弥补主体工程建设造成的破坏和影响。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建设单位应建立健全绿美专项管理机制，配备绿化专业管理团队。监理单位应配备绿化专业监理，高标准、严要求落实设计、批复要求。施工单位应配备专业施工团队，严格按照设计图纸施工，确保还原设计意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4.建设过程中应加强监督管理、质量抽查,严格对照负面清单及设计要求，及时纠偏、限期整改。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5.已通车运营的项目应做好安全文明施工及安全施工保通工作措施。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（四）运维、管理要求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1.绿美公路绿化养护需严格执行公路绿化养护有关规范、规定，建立标准养护制度，使运维工作标准化、职责清晰化、养护科学化，设定养护指标，持续改进，确保绿化效果长期稳定、美观。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2.养护作业时必须充分考虑现有行车要求、交通安全、环境状况及道路维修等问题。</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3.病虫害防治要坚持“预防为主，防治结合”的原则，应根据各类绿化植物病虫害发生、发展和传播蔓延的规律及时检查，一旦出现病害，应采取有效防治措施，将危害与损失降到最低，确保绿化植物正常生长。</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4.应按相关规定对绿化苗木进行修枝整形，保证路容路貌的美观。对遮挡标志、标牌及影响行车视线和车辆安全通行的，要及时修剪。</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5.根据地方气候特征、土壤情况、自然降雨等情况，及时做好苗木的浇水工作，尤其确保春灌、冬灌、高温期的浇水工作。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cs="MS Mincho"/>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cs="MS Mincho"/>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cs="MS Mincho"/>
          <w:sz w:val="32"/>
          <w:szCs w:val="32"/>
        </w:rPr>
        <w:sectPr>
          <w:pgSz w:w="11906" w:h="16838"/>
          <w:pgMar w:top="2098" w:right="1474" w:bottom="1418" w:left="1588" w:header="851" w:footer="1418" w:gutter="0"/>
          <w:cols w:space="425" w:num="1"/>
          <w:docGrid w:type="lines" w:linePitch="605" w:charSpace="21679"/>
        </w:sectPr>
      </w:pPr>
    </w:p>
    <w:p>
      <w:pPr>
        <w:pStyle w:val="4"/>
        <w:keepNext w:val="0"/>
        <w:keepLines w:val="0"/>
        <w:pageBreakBefore w:val="0"/>
        <w:kinsoku/>
        <w:wordWrap/>
        <w:topLinePunct w:val="0"/>
        <w:autoSpaceDE/>
        <w:autoSpaceDN/>
        <w:bidi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val="0"/>
          <w:sz w:val="44"/>
          <w:szCs w:val="44"/>
        </w:rPr>
      </w:pPr>
      <w:bookmarkStart w:id="4" w:name="_Toc109406409"/>
      <w:r>
        <w:rPr>
          <w:rFonts w:hint="eastAsia" w:ascii="方正小标宋_GBK" w:hAnsi="方正小标宋_GBK" w:eastAsia="方正小标宋_GBK" w:cs="方正小标宋_GBK"/>
          <w:b w:val="0"/>
          <w:bCs w:val="0"/>
          <w:sz w:val="44"/>
          <w:szCs w:val="44"/>
          <w:lang w:eastAsia="zh-CN"/>
        </w:rPr>
        <w:t>西畴县美丽河湖</w:t>
      </w:r>
      <w:r>
        <w:rPr>
          <w:rFonts w:hint="eastAsia" w:ascii="方正小标宋_GBK" w:hAnsi="方正小标宋_GBK" w:eastAsia="方正小标宋_GBK" w:cs="方正小标宋_GBK"/>
          <w:b w:val="0"/>
          <w:bCs w:val="0"/>
          <w:sz w:val="44"/>
          <w:szCs w:val="44"/>
        </w:rPr>
        <w:t>建设导则</w:t>
      </w:r>
      <w:bookmarkEnd w:id="4"/>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宋体" w:hAnsi="宋体" w:eastAsia="方正黑体_GBK"/>
          <w:sz w:val="32"/>
          <w:szCs w:val="32"/>
        </w:rPr>
      </w:pPr>
    </w:p>
    <w:p>
      <w:pPr>
        <w:pStyle w:val="2"/>
        <w:rPr>
          <w:rFonts w:hint="eastAsia"/>
        </w:rPr>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一、范围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纳入全</w:t>
      </w:r>
      <w:r>
        <w:rPr>
          <w:rFonts w:hint="eastAsia" w:ascii="宋体" w:hAnsi="宋体" w:eastAsia="方正仿宋_GBK"/>
          <w:sz w:val="32"/>
          <w:szCs w:val="32"/>
          <w:lang w:eastAsia="zh-CN"/>
        </w:rPr>
        <w:t>县</w:t>
      </w:r>
      <w:r>
        <w:rPr>
          <w:rFonts w:hint="eastAsia" w:ascii="宋体" w:hAnsi="宋体" w:eastAsia="方正仿宋_GBK"/>
          <w:sz w:val="32"/>
          <w:szCs w:val="32"/>
        </w:rPr>
        <w:t>河长制实施的</w:t>
      </w:r>
      <w:r>
        <w:rPr>
          <w:rFonts w:hint="eastAsia" w:ascii="宋体" w:hAnsi="宋体" w:eastAsia="方正仿宋_GBK"/>
          <w:sz w:val="32"/>
          <w:szCs w:val="32"/>
          <w:lang w:eastAsia="zh-CN"/>
        </w:rPr>
        <w:t>河流</w:t>
      </w:r>
      <w:r>
        <w:rPr>
          <w:rFonts w:hint="eastAsia" w:ascii="宋体" w:hAnsi="宋体" w:eastAsia="方正仿宋_GBK"/>
          <w:sz w:val="32"/>
          <w:szCs w:val="32"/>
        </w:rPr>
        <w:t>，流经城镇或坝区重点河流（河段），城市周边大中小型水库，水利风景区、主要交通干道沿线的河</w:t>
      </w:r>
      <w:r>
        <w:rPr>
          <w:rFonts w:hint="eastAsia" w:ascii="宋体" w:hAnsi="宋体" w:eastAsia="方正仿宋_GBK"/>
          <w:sz w:val="32"/>
          <w:szCs w:val="32"/>
          <w:lang w:eastAsia="zh-CN"/>
        </w:rPr>
        <w:t>库</w:t>
      </w:r>
      <w:r>
        <w:rPr>
          <w:rFonts w:hint="eastAsia" w:ascii="宋体" w:hAnsi="宋体" w:eastAsia="方正仿宋_GBK"/>
          <w:sz w:val="32"/>
          <w:szCs w:val="32"/>
        </w:rPr>
        <w:t>岸线。本导则也适用于其他河流、水库。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二、规范性引用文件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GB/T15776-2016造林技术规程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GB/T18337.1～18337.3-2001生态公益林建设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GB/T18337.4-2008生态公益林建设检查验收规程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GB/T15163-2018封山（沙）育林技术规程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GB/T16453.1～16453.6-2008水土保持综合治理技术规范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GB/T6000-1999主要造林树种苗木质量分级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CJJ82-2019园林绿化工程施工及验收规范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DB53/062-2006主要造林树种苗木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DB53/T457-2013云南省绿化苗木总则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DB53/T458-2013云南省绿化苗木质量分级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SL709—2015河湖生态保护与修复规划导则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三、术语和定义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宋体" w:hAnsi="宋体" w:eastAsia="方正楷体_GBK"/>
          <w:sz w:val="32"/>
          <w:szCs w:val="32"/>
          <w:lang w:eastAsia="zh-CN"/>
        </w:rPr>
      </w:pPr>
      <w:r>
        <w:rPr>
          <w:rFonts w:hint="eastAsia" w:ascii="宋体" w:hAnsi="宋体" w:eastAsia="方正楷体_GBK"/>
          <w:sz w:val="32"/>
          <w:szCs w:val="32"/>
        </w:rPr>
        <w:t>（一）</w:t>
      </w:r>
      <w:r>
        <w:rPr>
          <w:rFonts w:hint="eastAsia" w:ascii="宋体" w:hAnsi="宋体" w:eastAsia="方正楷体_GBK"/>
          <w:sz w:val="32"/>
          <w:szCs w:val="32"/>
          <w:lang w:eastAsia="zh-CN"/>
        </w:rPr>
        <w:t>美丽</w:t>
      </w:r>
      <w:r>
        <w:rPr>
          <w:rFonts w:hint="eastAsia" w:ascii="宋体" w:hAnsi="宋体" w:eastAsia="方正楷体_GBK"/>
          <w:sz w:val="32"/>
          <w:szCs w:val="32"/>
        </w:rPr>
        <w:t>河</w:t>
      </w:r>
      <w:r>
        <w:rPr>
          <w:rFonts w:hint="eastAsia" w:ascii="宋体" w:hAnsi="宋体" w:eastAsia="方正楷体_GBK"/>
          <w:sz w:val="32"/>
          <w:szCs w:val="32"/>
          <w:lang w:eastAsia="zh-CN"/>
        </w:rPr>
        <w:t>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指达到生态安全、水清河畅、岸绿景美、人水和谐目标的河流（河段）、水库及水利风景区的总称。</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（二）河</w:t>
      </w:r>
      <w:r>
        <w:rPr>
          <w:rFonts w:hint="eastAsia" w:ascii="宋体" w:hAnsi="宋体" w:eastAsia="方正楷体_GBK"/>
          <w:sz w:val="32"/>
          <w:szCs w:val="32"/>
          <w:lang w:eastAsia="zh-CN"/>
        </w:rPr>
        <w:t>库</w:t>
      </w:r>
      <w:r>
        <w:rPr>
          <w:rFonts w:hint="eastAsia" w:ascii="宋体" w:hAnsi="宋体" w:eastAsia="方正楷体_GBK"/>
          <w:sz w:val="32"/>
          <w:szCs w:val="32"/>
        </w:rPr>
        <w:t>生态缓冲带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指陆地生态系统与河</w:t>
      </w:r>
      <w:r>
        <w:rPr>
          <w:rFonts w:hint="eastAsia" w:ascii="宋体" w:hAnsi="宋体" w:eastAsia="方正仿宋_GBK"/>
          <w:sz w:val="32"/>
          <w:szCs w:val="32"/>
          <w:lang w:eastAsia="zh-CN"/>
        </w:rPr>
        <w:t>库</w:t>
      </w:r>
      <w:r>
        <w:rPr>
          <w:rFonts w:hint="eastAsia" w:ascii="宋体" w:hAnsi="宋体" w:eastAsia="方正仿宋_GBK"/>
          <w:sz w:val="32"/>
          <w:szCs w:val="32"/>
        </w:rPr>
        <w:t>生态系统之间的生态用地带，其主要功能是利用生态用地拦截净化陆域污染物，减缓人类开发活动对河</w:t>
      </w:r>
      <w:r>
        <w:rPr>
          <w:rFonts w:hint="eastAsia" w:ascii="宋体" w:hAnsi="宋体" w:eastAsia="方正仿宋_GBK"/>
          <w:sz w:val="32"/>
          <w:szCs w:val="32"/>
          <w:lang w:eastAsia="zh-CN"/>
        </w:rPr>
        <w:t>库</w:t>
      </w:r>
      <w:r>
        <w:rPr>
          <w:rFonts w:hint="eastAsia" w:ascii="宋体" w:hAnsi="宋体" w:eastAsia="方正仿宋_GBK"/>
          <w:sz w:val="32"/>
          <w:szCs w:val="32"/>
        </w:rPr>
        <w:t>生态环境的负面影响。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（三）河</w:t>
      </w:r>
      <w:r>
        <w:rPr>
          <w:rFonts w:hint="eastAsia" w:ascii="宋体" w:hAnsi="宋体" w:eastAsia="方正楷体_GBK"/>
          <w:sz w:val="32"/>
          <w:szCs w:val="32"/>
          <w:lang w:eastAsia="zh-CN"/>
        </w:rPr>
        <w:t>库</w:t>
      </w:r>
      <w:r>
        <w:rPr>
          <w:rFonts w:hint="eastAsia" w:ascii="宋体" w:hAnsi="宋体" w:eastAsia="方正楷体_GBK"/>
          <w:sz w:val="32"/>
          <w:szCs w:val="32"/>
        </w:rPr>
        <w:t>生态隔离带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指隔离陆域经济发展区与自然河</w:t>
      </w:r>
      <w:r>
        <w:rPr>
          <w:rFonts w:hint="eastAsia" w:ascii="宋体" w:hAnsi="宋体" w:eastAsia="方正仿宋_GBK"/>
          <w:sz w:val="32"/>
          <w:szCs w:val="32"/>
          <w:lang w:eastAsia="zh-CN"/>
        </w:rPr>
        <w:t>库</w:t>
      </w:r>
      <w:r>
        <w:rPr>
          <w:rFonts w:hint="eastAsia" w:ascii="宋体" w:hAnsi="宋体" w:eastAsia="方正仿宋_GBK"/>
          <w:sz w:val="32"/>
          <w:szCs w:val="32"/>
        </w:rPr>
        <w:t>之间以湿地、林地、草地、农业用地等生态用地为主的绿色植被带。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（四）河</w:t>
      </w:r>
      <w:r>
        <w:rPr>
          <w:rFonts w:hint="eastAsia" w:ascii="宋体" w:hAnsi="宋体" w:eastAsia="方正楷体_GBK"/>
          <w:sz w:val="32"/>
          <w:szCs w:val="32"/>
          <w:lang w:eastAsia="zh-CN"/>
        </w:rPr>
        <w:t>库</w:t>
      </w:r>
      <w:r>
        <w:rPr>
          <w:rFonts w:hint="eastAsia" w:ascii="宋体" w:hAnsi="宋体" w:eastAsia="方正楷体_GBK"/>
          <w:sz w:val="32"/>
          <w:szCs w:val="32"/>
        </w:rPr>
        <w:t>植物景观带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指河</w:t>
      </w:r>
      <w:r>
        <w:rPr>
          <w:rFonts w:hint="eastAsia" w:ascii="宋体" w:hAnsi="宋体" w:eastAsia="方正仿宋_GBK"/>
          <w:sz w:val="32"/>
          <w:szCs w:val="32"/>
          <w:lang w:eastAsia="zh-CN"/>
        </w:rPr>
        <w:t>库</w:t>
      </w:r>
      <w:r>
        <w:rPr>
          <w:rFonts w:hint="eastAsia" w:ascii="宋体" w:hAnsi="宋体" w:eastAsia="方正仿宋_GBK"/>
          <w:sz w:val="32"/>
          <w:szCs w:val="32"/>
        </w:rPr>
        <w:t>沿岸由天然或人工栽植的乔、灌、草和既有古树名木等多种植物组成的形态优美、季相多样、色彩丰富的景观植物带。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（五）季相</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指植物在不同季节表现的形体、颜色等外貌特征。</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四、设计原则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（一）系统性原则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规划目标为导向，统筹山、水、林、田、路、渠、村进行总体设计，采取生态修复和林草植被建设措施，做到水域与陆域、上游与下游、保护与治理、植物与工程、生态与经济兼顾，使各类措施相互配合，发挥综合效益。</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（二）分类施策原则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结合岸坡稳定、行洪安全、生态修复、自然景观要求，分区分类进行设计。河</w:t>
      </w:r>
      <w:r>
        <w:rPr>
          <w:rFonts w:hint="eastAsia" w:ascii="宋体" w:hAnsi="宋体" w:eastAsia="方正仿宋_GBK"/>
          <w:sz w:val="32"/>
          <w:szCs w:val="32"/>
          <w:lang w:eastAsia="zh-CN"/>
        </w:rPr>
        <w:t>库</w:t>
      </w:r>
      <w:r>
        <w:rPr>
          <w:rFonts w:hint="eastAsia" w:ascii="宋体" w:hAnsi="宋体" w:eastAsia="方正仿宋_GBK"/>
          <w:sz w:val="32"/>
          <w:szCs w:val="32"/>
        </w:rPr>
        <w:t>绿化设计应与当地自然景观相协调，宜林则林、宜草则草、宜花则花。</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（三）生态性原则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以改善生态环境为出发点，体现保护优先、尊重自然的原则，减少人为干扰。考虑不同植物生长规律及其相互作用，采用乔、灌、草复层种植，营造多样稳定的植物群落，还生态空间于河</w:t>
      </w:r>
      <w:r>
        <w:rPr>
          <w:rFonts w:hint="eastAsia" w:ascii="宋体" w:hAnsi="宋体" w:eastAsia="方正仿宋_GBK"/>
          <w:sz w:val="32"/>
          <w:szCs w:val="32"/>
          <w:lang w:eastAsia="zh-CN"/>
        </w:rPr>
        <w:t>库</w:t>
      </w:r>
      <w:r>
        <w:rPr>
          <w:rFonts w:hint="eastAsia" w:ascii="宋体" w:hAnsi="宋体" w:eastAsia="方正仿宋_GBK"/>
          <w:sz w:val="32"/>
          <w:szCs w:val="32"/>
        </w:rPr>
        <w:t>，维护和提升生态功能。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（四）适生性原则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结合地理环境、气候条件、土壤状况等因素，坚持适地适树，确保植物生态习性符合种植地生态条件，优先选择抗逆性强的乡土树草种。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（五）景观性原则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结合当地自然、人文和经济社会环境，注重植物造景，把</w:t>
      </w:r>
      <w:r>
        <w:rPr>
          <w:rFonts w:hint="eastAsia" w:ascii="Times New Roman" w:hAnsi="Times New Roman" w:eastAsia="方正仿宋_GBK" w:cs="Times New Roman"/>
          <w:sz w:val="32"/>
          <w:szCs w:val="32"/>
          <w:lang w:eastAsia="zh-CN"/>
        </w:rPr>
        <w:t>美丽</w:t>
      </w:r>
      <w:r>
        <w:rPr>
          <w:rFonts w:hint="default" w:ascii="Times New Roman" w:hAnsi="Times New Roman" w:eastAsia="方正仿宋_GBK" w:cs="Times New Roman"/>
          <w:sz w:val="32"/>
          <w:szCs w:val="32"/>
        </w:rPr>
        <w:t>河</w:t>
      </w:r>
      <w:r>
        <w:rPr>
          <w:rFonts w:hint="default" w:ascii="Times New Roman" w:hAnsi="Times New Roman" w:eastAsia="方正仿宋_GBK" w:cs="Times New Roman"/>
          <w:sz w:val="32"/>
          <w:szCs w:val="32"/>
          <w:lang w:eastAsia="zh-CN"/>
        </w:rPr>
        <w:t>库</w:t>
      </w:r>
      <w:r>
        <w:rPr>
          <w:rFonts w:hint="eastAsia" w:ascii="宋体" w:hAnsi="宋体" w:eastAsia="方正仿宋_GBK"/>
          <w:sz w:val="32"/>
          <w:szCs w:val="32"/>
        </w:rPr>
        <w:t>打造成水文化的宣传载体。总体布局应协调区域文化、疏密有致、层次分明，展现植物景观的形态美和形式美；全面考虑植物的季相变化和色、香、形的统一、对比，达到花化、彩化、香化和美化等景观效果。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（六）经济性原则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种植设计应考虑种植成本和后期养护费用，提倡低成本、低维护，选择易管理、少修剪或不修剪的植物。</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五、</w:t>
      </w:r>
      <w:r>
        <w:rPr>
          <w:rFonts w:hint="eastAsia" w:ascii="宋体" w:hAnsi="宋体" w:eastAsia="方正黑体_GBK"/>
          <w:sz w:val="32"/>
          <w:szCs w:val="32"/>
          <w:lang w:eastAsia="zh-CN"/>
        </w:rPr>
        <w:t>美丽</w:t>
      </w:r>
      <w:r>
        <w:rPr>
          <w:rFonts w:hint="eastAsia" w:ascii="宋体" w:hAnsi="宋体" w:eastAsia="方正黑体_GBK"/>
          <w:sz w:val="32"/>
          <w:szCs w:val="32"/>
        </w:rPr>
        <w:t>河</w:t>
      </w:r>
      <w:r>
        <w:rPr>
          <w:rFonts w:hint="eastAsia" w:ascii="宋体" w:hAnsi="宋体" w:eastAsia="方正黑体_GBK"/>
          <w:sz w:val="32"/>
          <w:szCs w:val="32"/>
          <w:lang w:eastAsia="zh-CN"/>
        </w:rPr>
        <w:t>湖</w:t>
      </w:r>
      <w:r>
        <w:rPr>
          <w:rFonts w:hint="eastAsia" w:ascii="宋体" w:hAnsi="宋体" w:eastAsia="方正黑体_GBK"/>
          <w:sz w:val="32"/>
          <w:szCs w:val="32"/>
        </w:rPr>
        <w:t>设计要点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（一）河流绿化设计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1.根据水利工程管理条例及河道管理范围确定河流绿化美化建设范围和方式。</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2.将河道贯通、六水（水安全、水环境、水资源、水生态、水景观、水文化）理念与绿美建设相结合，以河网为骨架，优化水绿交融格局，增加绿化休闲空间，建设植物景观廊道和生态隔离带。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3.遵循自然河道的脉络走向，注重自然水系生态修复。尊重和保护乡村肌理，整合和优化滨水农田、道路、林地等要素，修复生态系统，串联生态资源，建设植被缓冲带，提升沿河植物群落的拦污净化功能。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4.保持局部自然河流的弯道、深潭、浅滩、江心洲以及河滨缓冲带等自然景观格局多样性特征。河道有行洪排涝需求时，不宜种植阻碍行洪的林木或高秆植物。</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w:t>
      </w:r>
      <w:r>
        <w:rPr>
          <w:rFonts w:hint="eastAsia" w:ascii="宋体" w:hAnsi="宋体" w:eastAsia="方正楷体_GBK"/>
          <w:sz w:val="32"/>
          <w:szCs w:val="32"/>
          <w:lang w:eastAsia="zh-CN"/>
        </w:rPr>
        <w:t>二</w:t>
      </w:r>
      <w:r>
        <w:rPr>
          <w:rFonts w:hint="eastAsia" w:ascii="宋体" w:hAnsi="宋体" w:eastAsia="方正楷体_GBK"/>
          <w:sz w:val="32"/>
          <w:szCs w:val="32"/>
        </w:rPr>
        <w:t>）水库绿化设计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1.根据水利工程管理条例和管理范围等确定水库绿化美化建设范围和方式。</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2.选择有利于提高水源涵养和水质维护功能的树草种。营造乔灌草水生植物复合的、具有季相变化的特色植被景观。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3.水库消落带绿化设计中应满足防洪和覆绿需要。植物群落主要沿着湿度梯度布置，营造绿化覆盖率较高的消落带。综合考虑枯水期、丰水期景观效果以及植物生存状况，植物品种选择应注意植物的耐水性。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w:t>
      </w:r>
      <w:r>
        <w:rPr>
          <w:rFonts w:hint="eastAsia" w:ascii="宋体" w:hAnsi="宋体" w:eastAsia="方正楷体_GBK"/>
          <w:sz w:val="32"/>
          <w:szCs w:val="32"/>
          <w:lang w:eastAsia="zh-CN"/>
        </w:rPr>
        <w:t>三</w:t>
      </w:r>
      <w:r>
        <w:rPr>
          <w:rFonts w:hint="eastAsia" w:ascii="宋体" w:hAnsi="宋体" w:eastAsia="方正楷体_GBK"/>
          <w:sz w:val="32"/>
          <w:szCs w:val="32"/>
        </w:rPr>
        <w:t>）水利风景区绿化美化提升设计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1.在现有水利风景区范围内，实施补绿工程。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2.发挥现有水景观本底优势，增强景区观赏性和趣味性。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3.水库型水利风景区，通过实施绿化美化工程，因地制宜补绿增绿，注重水土流失综合防治。</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4.湿地型水利风景区，以保护水生态环境为主要内容，推动水源、水环境综合治理，注重以生态技术手段丰富物种多样性。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5.城市河</w:t>
      </w:r>
      <w:r>
        <w:rPr>
          <w:rFonts w:hint="eastAsia" w:ascii="宋体" w:hAnsi="宋体" w:eastAsia="方正仿宋_GBK"/>
          <w:sz w:val="32"/>
          <w:szCs w:val="32"/>
          <w:lang w:eastAsia="zh-CN"/>
        </w:rPr>
        <w:t>库</w:t>
      </w:r>
      <w:r>
        <w:rPr>
          <w:rFonts w:hint="eastAsia" w:ascii="宋体" w:hAnsi="宋体" w:eastAsia="方正仿宋_GBK"/>
          <w:sz w:val="32"/>
          <w:szCs w:val="32"/>
        </w:rPr>
        <w:t>型水利风景区，统筹城市规划建设河</w:t>
      </w:r>
      <w:r>
        <w:rPr>
          <w:rFonts w:hint="eastAsia" w:ascii="宋体" w:hAnsi="宋体" w:eastAsia="方正仿宋_GBK"/>
          <w:sz w:val="32"/>
          <w:szCs w:val="32"/>
          <w:lang w:eastAsia="zh-CN"/>
        </w:rPr>
        <w:t>库</w:t>
      </w:r>
      <w:r>
        <w:rPr>
          <w:rFonts w:hint="eastAsia" w:ascii="宋体" w:hAnsi="宋体" w:eastAsia="方正仿宋_GBK"/>
          <w:sz w:val="32"/>
          <w:szCs w:val="32"/>
        </w:rPr>
        <w:t>景观，加强生态护岸，绿化美化岸线，增强亲水性。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六、</w:t>
      </w:r>
      <w:r>
        <w:rPr>
          <w:rFonts w:hint="eastAsia" w:ascii="宋体" w:hAnsi="宋体" w:eastAsia="方正黑体_GBK"/>
          <w:sz w:val="32"/>
          <w:szCs w:val="32"/>
          <w:lang w:eastAsia="zh-CN"/>
        </w:rPr>
        <w:t>美丽</w:t>
      </w:r>
      <w:r>
        <w:rPr>
          <w:rFonts w:hint="eastAsia" w:ascii="宋体" w:hAnsi="宋体" w:eastAsia="方正黑体_GBK"/>
          <w:sz w:val="32"/>
          <w:szCs w:val="32"/>
        </w:rPr>
        <w:t>河</w:t>
      </w:r>
      <w:r>
        <w:rPr>
          <w:rFonts w:hint="eastAsia" w:ascii="宋体" w:hAnsi="宋体" w:eastAsia="方正黑体_GBK"/>
          <w:sz w:val="32"/>
          <w:szCs w:val="32"/>
          <w:lang w:eastAsia="zh-CN"/>
        </w:rPr>
        <w:t>湖</w:t>
      </w:r>
      <w:r>
        <w:rPr>
          <w:rFonts w:hint="eastAsia" w:ascii="宋体" w:hAnsi="宋体" w:eastAsia="方正黑体_GBK"/>
          <w:sz w:val="32"/>
          <w:szCs w:val="32"/>
        </w:rPr>
        <w:t>管理维护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（一）设计管理要求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w:t>
      </w:r>
      <w:r>
        <w:rPr>
          <w:rFonts w:hint="eastAsia" w:ascii="Times New Roman" w:hAnsi="Times New Roman" w:eastAsia="方正仿宋_GBK" w:cs="Times New Roman"/>
          <w:sz w:val="32"/>
          <w:szCs w:val="32"/>
          <w:lang w:eastAsia="zh-CN"/>
        </w:rPr>
        <w:t>美丽</w:t>
      </w:r>
      <w:r>
        <w:rPr>
          <w:rFonts w:hint="default" w:ascii="Times New Roman" w:hAnsi="Times New Roman" w:eastAsia="方正仿宋_GBK" w:cs="Times New Roman"/>
          <w:sz w:val="32"/>
          <w:szCs w:val="32"/>
        </w:rPr>
        <w:t>河</w:t>
      </w:r>
      <w:r>
        <w:rPr>
          <w:rFonts w:hint="default" w:ascii="Times New Roman" w:hAnsi="Times New Roman" w:eastAsia="方正仿宋_GBK" w:cs="Times New Roman"/>
          <w:sz w:val="32"/>
          <w:szCs w:val="32"/>
          <w:lang w:eastAsia="zh-CN"/>
        </w:rPr>
        <w:t>库</w:t>
      </w:r>
      <w:r>
        <w:rPr>
          <w:rFonts w:hint="eastAsia" w:ascii="宋体" w:hAnsi="宋体" w:eastAsia="方正仿宋_GBK"/>
          <w:sz w:val="32"/>
          <w:szCs w:val="32"/>
        </w:rPr>
        <w:t>设计应在详实调查工程区自然环境、区位条件和历史人文等情况的基础上开展。</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2.绿化设计除需满足相关标准规范要求外，还需明确种植土（肥）、种植穴（槽）、苗木规格、苗木栽植、苗木支撑、灌溉措施和种植时间等技术要求。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（二）维护管理要求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1.林草植被建设区宜设立标识牌，明确区域范围、责任人和管护内容，保障各项设施正常运行。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2.林草植被维护管理工作包括补植补种、浇水施肥、苗木修剪、植被养护、病虫害防治等，并应符合下列要求：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（1）植物管护人员需要熟悉掌握工程区内植物生长习性，具备专业知识与技能，合理制定植物管护方案与实施计划。</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（2）对于陆生植被，要保持草本植物和乔灌草的适当比例，及时清理、拔除恶性竞争杂草，定期对植被进行养护。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（3）对于水生植物，可根据植物的不同生长期实施水位调控，确保植物的繁育生长。在植被群落处于不能自我更新、衰亡或枯败、水体中营养物质过剩等状态时，需进行收割维护管理。</w:t>
      </w:r>
    </w:p>
    <w:p>
      <w:pPr>
        <w:keepNext w:val="0"/>
        <w:keepLines w:val="0"/>
        <w:pageBreakBefore w:val="0"/>
        <w:kinsoku/>
        <w:wordWrap/>
        <w:overflowPunct w:val="0"/>
        <w:topLinePunct w:val="0"/>
        <w:autoSpaceDE/>
        <w:autoSpaceDN/>
        <w:bidi w:val="0"/>
        <w:spacing w:line="560" w:lineRule="exact"/>
        <w:textAlignment w:val="auto"/>
        <w:rPr>
          <w:rFonts w:ascii="宋体" w:hAnsi="宋体" w:cs="MS Mincho"/>
          <w:sz w:val="32"/>
          <w:szCs w:val="32"/>
        </w:rPr>
        <w:sectPr>
          <w:pgSz w:w="11906" w:h="16838"/>
          <w:pgMar w:top="2098" w:right="1474" w:bottom="1418" w:left="1588" w:header="851" w:footer="1418" w:gutter="0"/>
          <w:cols w:space="425" w:num="1"/>
          <w:docGrid w:type="lines" w:linePitch="605" w:charSpace="21679"/>
        </w:sectPr>
      </w:pPr>
    </w:p>
    <w:p>
      <w:pPr>
        <w:pStyle w:val="4"/>
        <w:keepNext w:val="0"/>
        <w:keepLines w:val="0"/>
        <w:pageBreakBefore w:val="0"/>
        <w:kinsoku/>
        <w:wordWrap/>
        <w:topLinePunct w:val="0"/>
        <w:autoSpaceDE/>
        <w:autoSpaceDN/>
        <w:bidi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val="0"/>
          <w:sz w:val="44"/>
          <w:szCs w:val="44"/>
        </w:rPr>
      </w:pPr>
      <w:bookmarkStart w:id="5" w:name="_Toc109406410"/>
      <w:r>
        <w:rPr>
          <w:rFonts w:hint="eastAsia" w:ascii="方正小标宋_GBK" w:hAnsi="方正小标宋_GBK" w:eastAsia="方正小标宋_GBK" w:cs="方正小标宋_GBK"/>
          <w:b w:val="0"/>
          <w:bCs w:val="0"/>
          <w:sz w:val="44"/>
          <w:szCs w:val="44"/>
          <w:lang w:eastAsia="zh-CN"/>
        </w:rPr>
        <w:t>西畴县</w:t>
      </w:r>
      <w:r>
        <w:rPr>
          <w:rFonts w:hint="eastAsia" w:ascii="方正小标宋_GBK" w:hAnsi="方正小标宋_GBK" w:eastAsia="方正小标宋_GBK" w:cs="方正小标宋_GBK"/>
          <w:b w:val="0"/>
          <w:bCs w:val="0"/>
          <w:sz w:val="44"/>
          <w:szCs w:val="44"/>
        </w:rPr>
        <w:t>绿美校园建设导则</w:t>
      </w:r>
      <w:bookmarkEnd w:id="5"/>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2"/>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color w:val="auto"/>
          <w:sz w:val="32"/>
          <w:szCs w:val="32"/>
        </w:rPr>
      </w:pPr>
      <w:r>
        <w:rPr>
          <w:rFonts w:hint="eastAsia" w:ascii="宋体" w:hAnsi="宋体" w:eastAsia="方正黑体_GBK"/>
          <w:color w:val="auto"/>
          <w:sz w:val="32"/>
          <w:szCs w:val="32"/>
        </w:rPr>
        <w:t>1.总则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1.1指导思想</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以</w:t>
      </w:r>
      <w:bookmarkStart w:id="8" w:name="_GoBack"/>
      <w:bookmarkEnd w:id="8"/>
      <w:r>
        <w:rPr>
          <w:rFonts w:hint="eastAsia" w:ascii="宋体" w:hAnsi="宋体" w:eastAsia="方正仿宋_GBK"/>
          <w:color w:val="auto"/>
          <w:sz w:val="32"/>
          <w:szCs w:val="32"/>
        </w:rPr>
        <w:t>习近平总书记“绿水青山就是金山银山”的科学论断为指导，贯彻国务院办公厅《关于科学绿化的指导意见》（国办发〔2021〕19号）的精神，通过开展全</w:t>
      </w:r>
      <w:r>
        <w:rPr>
          <w:rFonts w:hint="eastAsia" w:ascii="宋体" w:hAnsi="宋体" w:eastAsia="方正仿宋_GBK"/>
          <w:color w:val="auto"/>
          <w:sz w:val="32"/>
          <w:szCs w:val="32"/>
          <w:lang w:eastAsia="zh-CN"/>
        </w:rPr>
        <w:t>县</w:t>
      </w:r>
      <w:r>
        <w:rPr>
          <w:rFonts w:hint="eastAsia" w:ascii="宋体" w:hAnsi="宋体" w:eastAsia="方正仿宋_GBK"/>
          <w:color w:val="auto"/>
          <w:sz w:val="32"/>
          <w:szCs w:val="32"/>
        </w:rPr>
        <w:t>教育系统“绿美校园”活动，全面改善校园生态质量、绿化美化校园环境、增进民生福祉。增强全民依法履行植树义务的责任意识，积极营造持续推进全民义务植树的浓厚氛围，为建设“生态文明”和“美丽</w:t>
      </w:r>
      <w:r>
        <w:rPr>
          <w:rFonts w:hint="eastAsia" w:ascii="宋体" w:hAnsi="宋体" w:eastAsia="方正仿宋_GBK"/>
          <w:color w:val="auto"/>
          <w:sz w:val="32"/>
          <w:szCs w:val="32"/>
          <w:lang w:eastAsia="zh-CN"/>
        </w:rPr>
        <w:t>西畴</w:t>
      </w:r>
      <w:r>
        <w:rPr>
          <w:rFonts w:hint="eastAsia" w:ascii="宋体" w:hAnsi="宋体" w:eastAsia="方正仿宋_GBK"/>
          <w:color w:val="auto"/>
          <w:sz w:val="32"/>
          <w:szCs w:val="32"/>
        </w:rPr>
        <w:t>”作出应有贡献。</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1.2适用范围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本导则适用于</w:t>
      </w:r>
      <w:r>
        <w:rPr>
          <w:rFonts w:hint="eastAsia" w:ascii="宋体" w:hAnsi="宋体" w:eastAsia="方正仿宋_GBK"/>
          <w:color w:val="auto"/>
          <w:sz w:val="32"/>
          <w:szCs w:val="32"/>
          <w:lang w:eastAsia="zh-CN"/>
        </w:rPr>
        <w:t>西畴县</w:t>
      </w:r>
      <w:r>
        <w:rPr>
          <w:rFonts w:hint="eastAsia" w:ascii="宋体" w:hAnsi="宋体" w:eastAsia="方正仿宋_GBK"/>
          <w:color w:val="auto"/>
          <w:sz w:val="32"/>
          <w:szCs w:val="32"/>
        </w:rPr>
        <w:t>各级各类学校的绿化规划﹑设计、建设﹑养护和管理。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1.3基本原则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导向鲜明，目标明确，合理规划，因地制宜，全面落实，扎实推动。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1.4总体目标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通过“绿美校园”活动成果完成，传播绿色校园文化，同步提升城市品位，彰显</w:t>
      </w:r>
      <w:r>
        <w:rPr>
          <w:rFonts w:hint="eastAsia" w:ascii="宋体" w:hAnsi="宋体" w:eastAsia="方正仿宋_GBK"/>
          <w:color w:val="auto"/>
          <w:sz w:val="32"/>
          <w:szCs w:val="32"/>
          <w:lang w:eastAsia="zh-CN"/>
        </w:rPr>
        <w:t>西畴</w:t>
      </w:r>
      <w:r>
        <w:rPr>
          <w:rFonts w:hint="eastAsia" w:ascii="宋体" w:hAnsi="宋体" w:eastAsia="方正仿宋_GBK"/>
          <w:color w:val="auto"/>
          <w:sz w:val="32"/>
          <w:szCs w:val="32"/>
        </w:rPr>
        <w:t>魅力。</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color w:val="auto"/>
          <w:sz w:val="32"/>
          <w:szCs w:val="32"/>
        </w:rPr>
      </w:pPr>
      <w:r>
        <w:rPr>
          <w:rFonts w:hint="eastAsia" w:ascii="宋体" w:hAnsi="宋体" w:eastAsia="方正黑体_GBK"/>
          <w:color w:val="auto"/>
          <w:sz w:val="32"/>
          <w:szCs w:val="32"/>
        </w:rPr>
        <w:t>2.规划</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2.1规划原则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2.1.1前期介入，同步规划：提倡规划、建筑、绿化三合一的同步规划，使得校园整体环境和谐统一。</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2.1.2以人为本，可持续发展：校园绿化环境应体现为师生服务的理念，与教学楼宇的关系相协调，营造和谐、稳定的校园景观。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2.1.3生态优先、资源节约、因校制宜：以生态学基本理论为指导，采取高效节能措施，合理规划绿地，最大限度地利用土地资源。保留并利用好原有的植被和地形、地貌景观，同时以植物造景为主，最大限度地提</w:t>
      </w:r>
      <w:r>
        <w:rPr>
          <w:rFonts w:hint="eastAsia" w:ascii="宋体" w:hAnsi="宋体" w:eastAsia="方正仿宋_GBK"/>
          <w:color w:val="auto"/>
          <w:sz w:val="32"/>
          <w:szCs w:val="32"/>
          <w:lang w:val="en-US" w:eastAsia="zh-CN"/>
        </w:rPr>
        <w:t>升</w:t>
      </w:r>
      <w:r>
        <w:rPr>
          <w:rFonts w:hint="eastAsia" w:ascii="宋体" w:hAnsi="宋体" w:eastAsia="方正仿宋_GBK"/>
          <w:color w:val="auto"/>
          <w:sz w:val="32"/>
          <w:szCs w:val="32"/>
        </w:rPr>
        <w:t>校园绿地率和绿化覆盖率。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2.1.4突显个性、简洁整体：学校应结合实际，营造各具特色的校园景观。总体布局提倡自然、简洁、整体性强。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2.2校园绿地规划技术要点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2.2.1校园规划中应注重绿化的文化内涵，充分发挥校园绿化的活动休憩、健身娱乐、科普教育、科技引领功能，以满足师生的不同需求。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2.2.2校园内可根据学校特色、知名校友、纪念活动等题材建设各类主题、植物专类景点。景点内各类景观要素应配合该景点的宣传、教育等功能，同时园林设施应人性化地满足师生的各类游憩需求。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2.2.3校园植物种类选择：植物种类选择以适应</w:t>
      </w:r>
      <w:r>
        <w:rPr>
          <w:rFonts w:hint="eastAsia" w:ascii="宋体" w:hAnsi="宋体" w:eastAsia="方正仿宋_GBK"/>
          <w:color w:val="auto"/>
          <w:sz w:val="32"/>
          <w:szCs w:val="32"/>
          <w:lang w:eastAsia="zh-CN"/>
        </w:rPr>
        <w:t>西畴</w:t>
      </w:r>
      <w:r>
        <w:rPr>
          <w:rFonts w:hint="eastAsia" w:ascii="宋体" w:hAnsi="宋体" w:eastAsia="方正仿宋_GBK"/>
          <w:color w:val="auto"/>
          <w:sz w:val="32"/>
          <w:szCs w:val="32"/>
        </w:rPr>
        <w:t>地区生长的乡土树种</w:t>
      </w:r>
      <w:r>
        <w:rPr>
          <w:rFonts w:hint="eastAsia" w:ascii="宋体" w:hAnsi="宋体" w:eastAsia="方正仿宋_GBK"/>
          <w:color w:val="auto"/>
          <w:sz w:val="32"/>
          <w:szCs w:val="32"/>
          <w:lang w:eastAsia="zh-CN"/>
        </w:rPr>
        <w:t>（</w:t>
      </w:r>
      <w:r>
        <w:rPr>
          <w:rFonts w:hint="eastAsia" w:ascii="宋体" w:hAnsi="宋体" w:eastAsia="方正仿宋_GBK"/>
          <w:color w:val="auto"/>
          <w:sz w:val="32"/>
          <w:szCs w:val="32"/>
          <w:lang w:val="en-US" w:eastAsia="zh-CN"/>
        </w:rPr>
        <w:t>重点为县树县花</w:t>
      </w:r>
      <w:r>
        <w:rPr>
          <w:rFonts w:hint="eastAsia" w:ascii="宋体" w:hAnsi="宋体" w:eastAsia="方正仿宋_GBK"/>
          <w:color w:val="auto"/>
          <w:sz w:val="32"/>
          <w:szCs w:val="32"/>
          <w:lang w:eastAsia="zh-CN"/>
        </w:rPr>
        <w:t>）</w:t>
      </w:r>
      <w:r>
        <w:rPr>
          <w:rFonts w:hint="eastAsia" w:ascii="宋体" w:hAnsi="宋体" w:eastAsia="方正仿宋_GBK"/>
          <w:color w:val="auto"/>
          <w:sz w:val="32"/>
          <w:szCs w:val="32"/>
        </w:rPr>
        <w:t>为主，适当选用已经人工驯化的植物种类，强调植物景观的地域性和对环境的适应性。植物种类宜丰富多彩，体现植物材料的多样性。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2.2.4校园内原有植物树木资源应予以积极保护和利用。原有古树名木及后续资源应纳入校园绿化的整体规划。</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2.2.5提倡学校将学科实验、科研成果等与校园绿化工作相结合。</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color w:val="auto"/>
          <w:sz w:val="32"/>
          <w:szCs w:val="32"/>
        </w:rPr>
      </w:pPr>
      <w:r>
        <w:rPr>
          <w:rFonts w:hint="eastAsia" w:ascii="宋体" w:hAnsi="宋体" w:eastAsia="方正黑体_GBK"/>
          <w:color w:val="auto"/>
          <w:sz w:val="32"/>
          <w:szCs w:val="32"/>
        </w:rPr>
        <w:t>3.设计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3.1地形设计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校园绿地中的地形设计：应结合原有自然地形，创造微地形的高低变化，有利绿地排水和植物生长。</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3.2种植设计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3.2.1树种选择：宜选用体现地域性植被景观的乡土树种</w:t>
      </w:r>
      <w:r>
        <w:rPr>
          <w:rFonts w:hint="eastAsia" w:ascii="宋体" w:hAnsi="宋体" w:eastAsia="方正仿宋_GBK"/>
          <w:color w:val="auto"/>
          <w:sz w:val="32"/>
          <w:szCs w:val="32"/>
          <w:lang w:eastAsia="zh-CN"/>
        </w:rPr>
        <w:t>（</w:t>
      </w:r>
      <w:r>
        <w:rPr>
          <w:rFonts w:hint="eastAsia" w:ascii="宋体" w:hAnsi="宋体" w:eastAsia="方正仿宋_GBK"/>
          <w:color w:val="auto"/>
          <w:sz w:val="32"/>
          <w:szCs w:val="32"/>
          <w:lang w:val="en-US" w:eastAsia="zh-CN"/>
        </w:rPr>
        <w:t>县树县花</w:t>
      </w:r>
      <w:r>
        <w:rPr>
          <w:rFonts w:hint="eastAsia" w:ascii="宋体" w:hAnsi="宋体" w:eastAsia="方正仿宋_GBK"/>
          <w:color w:val="auto"/>
          <w:sz w:val="32"/>
          <w:szCs w:val="32"/>
          <w:lang w:eastAsia="zh-CN"/>
        </w:rPr>
        <w:t>）</w:t>
      </w:r>
      <w:r>
        <w:rPr>
          <w:rFonts w:hint="eastAsia" w:ascii="宋体" w:hAnsi="宋体" w:eastAsia="方正仿宋_GBK"/>
          <w:color w:val="auto"/>
          <w:sz w:val="32"/>
          <w:szCs w:val="32"/>
        </w:rPr>
        <w:t>以及各类驯化树种。宜采用观赏植物为主，同时兼顾保健植物、鸟嗜植物、香源植物、蜜源植物、固氮植物等。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3.2.2植物配置：合理控制速生与慢生、常绿与落叶树种以及乔、灌、草的比例。科学配置植物群落结构，运用多种树种，摒弃植物“大色块”的结构形式。平面上创造优美流畅的林缘线，立面上高低错落，结合地形创造起伏变化的林冠线。</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3.2.3植物的季相变化：种植设计时应考虑到各类植物的季相变化，尤其应注意各季开花乔、灌木的运用。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3.3道路地坪设计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3.3.1绿地中道路宽度：需根据校园绿地面积和日常师生人流数量等因素综合考虑。</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3.3.3绿地中道路地坪应平整耐磨，且有适宜的粗糙度。一般采用透水、透气性铺装，特别是栽植树木的地坪必须采用透水、透气性铺装，有利于植物的透气和地下水的补充。</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3.3.4校园道路两侧宜栽植以落叶乔木为主的行道树，行道树应选用冠大荫浓，树干通直，易于养护的树种。种植形式可为规则种植，也可为不等距自然种植。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color w:val="auto"/>
          <w:sz w:val="32"/>
          <w:szCs w:val="32"/>
        </w:rPr>
      </w:pPr>
      <w:r>
        <w:rPr>
          <w:rFonts w:hint="eastAsia" w:ascii="宋体" w:hAnsi="宋体" w:eastAsia="方正黑体_GBK"/>
          <w:color w:val="auto"/>
          <w:sz w:val="32"/>
          <w:szCs w:val="32"/>
        </w:rPr>
        <w:t>4.养护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4.1养护目标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保证校园绿化景观持续体现设计意图；确保校园绿地内各类植物的长势健康；减少校园绿化对周边环境的负面影响；合理控制养护预算，实行分级养护的技术措施。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4.2古树名木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散生在校园管辖范围内的古树名木及古树后续资源，由所在校园严格按照《古树名木及古树后续资源养护技术规程》保护管理。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4.3有害生物控制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（1）贯彻“预防为主，综合治理”的防治方针，充分利用园林间植被的多样化来保护和增殖天敌，抑制病虫危害。</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（2）做好园林植物病虫害的预测、预防工作，制定长期和短期的防治计划。</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（3）及时清理带病虫的落叶、杂草等，消灭病源、虫源，防治病虫扩散、蔓延。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（4）严禁使用剧毒化学药剂和有机氯、有机汞等化学农药，化学农药应按有关操作规定执行。</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4.4极端灾害性天气的应急措施（防寒、防暑）</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（1）加强肥水管理，在冬季土壤易冻结的地区寒潮来临前应灌足“灌冻水”，形成冻土层，以维持根部一定低温的恒定。</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（2）合理安排修剪时期和修剪量，使树木枝条充分木质化，提高抗寒能力。</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（3）对不耐寒的树种和树势较弱的植株应分别采取不同的防寒保护措施，如树干包裹等。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（4）对于新栽植的大型乔木应在天热时采用必要的防护措施，如搭建遮阳棚、叶面喷水等。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4.5维修</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（1）及时检查修复园林建筑、构筑物，园椅、桌凳、标识牌、雕塑、娱乐健身设施等破损结构或装饰，消除安全隐患。</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（2）对道路地坪地砖的残块，高低不平整应及时修复和平整。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color w:val="auto"/>
          <w:sz w:val="32"/>
          <w:szCs w:val="32"/>
        </w:rPr>
      </w:pPr>
      <w:r>
        <w:rPr>
          <w:rFonts w:hint="eastAsia" w:ascii="宋体" w:hAnsi="宋体" w:eastAsia="方正黑体_GBK"/>
          <w:color w:val="auto"/>
          <w:sz w:val="32"/>
          <w:szCs w:val="32"/>
        </w:rPr>
        <w:t>5.监督管理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5.1绿化、美化、净化校园是校园精神文明建设的重要组成部分。师生员工应爱绿护绿，自觉参与校园绿化活动。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5.2校园绿化管理机构由学校分管领导、绿化部门负责人、绿化管理员等组成；校园应建立校园绿化管理网络，划分养护管理责任区域，明确管理责任；绿化管理员为校园绿化养护管理的具体责任人。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5.3单位和个人都有享受良好绿化环境的权利，有保护绿化和绿化设施的义务，对各种破坏绿化的行为，有权进行劝阻、投诉和举报。对绿化工作做出显著成绩的单位和个人，绿化及教育行政主管部门将予以表彰和奖励。</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5.4学校应建立健全校园绿化档案，对各项绿化工程及养护资料妥善保管，并逐步建立电子档案，适时更新。</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5.5学校应建立校园绿化管理制度，开展宣传教育活动，设置植物铭牌，普及绿化知识。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5.6校园绿地中可能会对师生构成安全隐患的，如假山、水体等，必须设置安全警示标志及防护设施。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color w:val="auto"/>
          <w:sz w:val="32"/>
          <w:szCs w:val="32"/>
        </w:rPr>
      </w:pPr>
      <w:r>
        <w:rPr>
          <w:rFonts w:hint="eastAsia" w:ascii="宋体" w:hAnsi="宋体" w:eastAsia="方正黑体_GBK"/>
          <w:color w:val="auto"/>
          <w:sz w:val="32"/>
          <w:szCs w:val="32"/>
        </w:rPr>
        <w:t>6.经费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6.1建设经费的使用与管理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6.1.1新建学校在进行校园整体设计时应按不低于绿美校园各项指标配置，落实绿化建设经费。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6.1.2改扩建校园应根据绿化改造计划，适当整合其他可用于绿化项目改造的项目建设资金，以完成改造任务。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6.1.3上级下达绿化建设经费专款专用，任何单位和部门不得挪用。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6.2.养护经费的使用与管理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color w:val="auto"/>
          <w:sz w:val="32"/>
          <w:szCs w:val="32"/>
        </w:rPr>
      </w:pPr>
      <w:r>
        <w:rPr>
          <w:rFonts w:hint="eastAsia" w:ascii="宋体" w:hAnsi="宋体" w:eastAsia="方正仿宋_GBK"/>
          <w:color w:val="auto"/>
          <w:sz w:val="32"/>
          <w:szCs w:val="32"/>
        </w:rPr>
        <w:t>结合相关部门颁发的规定以及实际情况，校园绿化管理部门根据上一年度绿化养护考评情况，按一定比例拨付养护经费。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color w:val="auto"/>
          <w:sz w:val="32"/>
          <w:szCs w:val="32"/>
        </w:rPr>
      </w:pPr>
      <w:r>
        <w:rPr>
          <w:rFonts w:hint="eastAsia" w:ascii="宋体" w:hAnsi="宋体" w:eastAsia="方正楷体_GBK"/>
          <w:color w:val="auto"/>
          <w:sz w:val="32"/>
          <w:szCs w:val="32"/>
        </w:rPr>
        <w:t>6.3</w:t>
      </w:r>
      <w:r>
        <w:rPr>
          <w:rFonts w:hint="eastAsia" w:ascii="宋体" w:hAnsi="宋体" w:eastAsia="方正楷体_GBK"/>
          <w:color w:val="auto"/>
          <w:sz w:val="32"/>
          <w:szCs w:val="32"/>
          <w:lang w:eastAsia="zh-CN"/>
        </w:rPr>
        <w:t>西畴县</w:t>
      </w:r>
      <w:r>
        <w:rPr>
          <w:rFonts w:hint="eastAsia" w:ascii="宋体" w:hAnsi="宋体" w:eastAsia="方正楷体_GBK"/>
          <w:color w:val="auto"/>
          <w:sz w:val="32"/>
          <w:szCs w:val="32"/>
        </w:rPr>
        <w:t>教育体育局对校园绿化经费的使用有分配、监督、检查权。</w:t>
      </w:r>
    </w:p>
    <w:p>
      <w:pPr>
        <w:keepNext w:val="0"/>
        <w:keepLines w:val="0"/>
        <w:pageBreakBefore w:val="0"/>
        <w:kinsoku/>
        <w:wordWrap/>
        <w:topLinePunct w:val="0"/>
        <w:autoSpaceDE/>
        <w:autoSpaceDN/>
        <w:bidi w:val="0"/>
        <w:spacing w:line="560" w:lineRule="exact"/>
        <w:textAlignment w:val="auto"/>
      </w:pPr>
    </w:p>
    <w:p>
      <w:pPr>
        <w:pStyle w:val="2"/>
      </w:pPr>
    </w:p>
    <w:p>
      <w:pPr>
        <w:keepNext w:val="0"/>
        <w:keepLines w:val="0"/>
        <w:pageBreakBefore w:val="0"/>
        <w:kinsoku/>
        <w:wordWrap/>
        <w:overflowPunct w:val="0"/>
        <w:topLinePunct w:val="0"/>
        <w:autoSpaceDE/>
        <w:autoSpaceDN/>
        <w:bidi w:val="0"/>
        <w:spacing w:line="560" w:lineRule="exact"/>
        <w:textAlignment w:val="auto"/>
        <w:rPr>
          <w:rFonts w:ascii="宋体" w:hAnsi="宋体" w:cs="MS Mincho"/>
          <w:sz w:val="32"/>
          <w:szCs w:val="32"/>
        </w:rPr>
      </w:pPr>
    </w:p>
    <w:p>
      <w:pPr>
        <w:pStyle w:val="4"/>
        <w:keepNext w:val="0"/>
        <w:keepLines w:val="0"/>
        <w:pageBreakBefore w:val="0"/>
        <w:kinsoku/>
        <w:wordWrap/>
        <w:topLinePunct w:val="0"/>
        <w:autoSpaceDE/>
        <w:autoSpaceDN/>
        <w:bidi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val="0"/>
          <w:sz w:val="44"/>
          <w:szCs w:val="44"/>
        </w:rPr>
      </w:pPr>
      <w:bookmarkStart w:id="6" w:name="_Toc109406411"/>
      <w:r>
        <w:rPr>
          <w:rFonts w:hint="eastAsia" w:ascii="方正小标宋_GBK" w:hAnsi="方正小标宋_GBK" w:eastAsia="方正小标宋_GBK" w:cs="方正小标宋_GBK"/>
          <w:b w:val="0"/>
          <w:bCs w:val="0"/>
          <w:sz w:val="44"/>
          <w:szCs w:val="44"/>
          <w:lang w:eastAsia="zh-CN"/>
        </w:rPr>
        <w:t>西畴县</w:t>
      </w:r>
      <w:r>
        <w:rPr>
          <w:rFonts w:hint="eastAsia" w:ascii="方正小标宋_GBK" w:hAnsi="方正小标宋_GBK" w:eastAsia="方正小标宋_GBK" w:cs="方正小标宋_GBK"/>
          <w:b w:val="0"/>
          <w:bCs w:val="0"/>
          <w:sz w:val="44"/>
          <w:szCs w:val="44"/>
        </w:rPr>
        <w:t>绿美园区建设导则</w:t>
      </w:r>
      <w:bookmarkEnd w:id="6"/>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2"/>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一、范围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云南麻栗坡边境经济合作区</w:t>
      </w:r>
      <w:r>
        <w:rPr>
          <w:rFonts w:hint="eastAsia" w:ascii="宋体" w:hAnsi="宋体" w:eastAsia="方正仿宋_GBK"/>
          <w:sz w:val="32"/>
          <w:szCs w:val="32"/>
          <w:lang w:eastAsia="zh-CN"/>
        </w:rPr>
        <w:t>中</w:t>
      </w:r>
      <w:r>
        <w:rPr>
          <w:rFonts w:hint="eastAsia" w:ascii="方正仿宋_GBK" w:hAnsi="方正仿宋_GBK" w:eastAsia="方正仿宋_GBK" w:cs="方正仿宋_GBK"/>
          <w:color w:val="000000" w:themeColor="text1"/>
          <w:sz w:val="32"/>
          <w:szCs w:val="32"/>
          <w:lang w:eastAsia="zh-CN"/>
        </w:rPr>
        <w:t>的“</w:t>
      </w:r>
      <w:r>
        <w:rPr>
          <w:rFonts w:hint="eastAsia" w:ascii="方正仿宋_GBK" w:hAnsi="方正仿宋_GBK" w:eastAsia="方正仿宋_GBK" w:cs="方正仿宋_GBK"/>
          <w:color w:val="000000" w:themeColor="text1"/>
          <w:sz w:val="32"/>
          <w:szCs w:val="32"/>
        </w:rPr>
        <w:t>西畴兴街出口贸易加工园区</w:t>
      </w:r>
      <w:r>
        <w:rPr>
          <w:rFonts w:hint="eastAsia" w:ascii="方正仿宋_GBK" w:hAnsi="方正仿宋_GBK" w:eastAsia="方正仿宋_GBK" w:cs="方正仿宋_GBK"/>
          <w:color w:val="000000" w:themeColor="text1"/>
          <w:sz w:val="32"/>
          <w:szCs w:val="32"/>
          <w:lang w:eastAsia="zh-CN"/>
        </w:rPr>
        <w:t>”</w:t>
      </w:r>
      <w:r>
        <w:rPr>
          <w:rFonts w:hint="eastAsia" w:ascii="宋体" w:hAnsi="宋体" w:eastAsia="方正仿宋_GBK"/>
          <w:sz w:val="32"/>
          <w:szCs w:val="32"/>
        </w:rPr>
        <w:t>。</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二、规范性引用文件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GB-55014-2021园林绿化工程项目规范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CJJT-91-2017风景园林基本术语标准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CJJT-85-2017城市绿地分类标准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GBT51346-2019城市绿地规划标准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GB50420-2007城市绿地设计规范（2016版）</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CJJ82-2017园林绿化工程施工及验收规范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CJJ/T287-2018园林绿化养护标准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CJJ75-97城市道路绿化规划与设计规范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CJJ/T294-2019居住区绿地设计标准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CJJ/T236-2015垂直绿化工程技术规程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JGJ155-2013种植屋面工程技术规程</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CJ/T304-2016绿化种植土壤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CJ/T512-2017园林植物筛选通用技术要求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GB/T6000-1999主要树种苗木质量分级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三、术语和定义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（一）绿地率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指规划建设用地范围内的绿地面积与规划建设用地面积之比。绿地率=用地范围内的绿地面积/项目总用地面积×100%。</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（二）绿化覆盖率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指绿化植物的垂直投影面积占项目总用地面积的比值。</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绿化覆盖率=绿化垂直投影面积的总和/项目总用地面积×100%。</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（三）透水铺装</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指采用大孔隙结构层或排水渗透设施，使雨水能够就地下渗的铺装结构。</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（四）季相</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指植物在不同季节表现的形体、颜色等外貌特征。</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四、总则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绿化建设应根据各地方的资源特征和资源禀赋，依托国土空间总体规划，在控制性详细规划和绿地系统规划的指导下，参照《城市绿地规划标准》（GBT51346-2019），依法依规进行园区绿地建设，完善园区绿化体系，营造布局合理、色彩丰富、季相鲜明的园区绿化景观，把打造绿美园区作为发展目标，构建创新绿色产业园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（一）前期介入，同步规划</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园区绿化要与园区开发建设同步规划、同步实施，实现土建工程与绿化工作同时进行、同步见效，使得园区整体环境和谐统一。</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（二）以人为本，协调发展</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园区绿化环境要最大限度地满足园区生产、经济及社会活动的需要，并为园区及其周边居民生活提供舒适、方便、实用、优美的绿色环境空间。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（三）生态优先，资源节约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以生态学基本理论为指导，采取高效节能措施，合理规划绿地，最大限度利用土地资源。保留并利用好原有植被和地形、地貌景观，同时以植物造景为主，最大限度提高园区绿化覆盖率。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（四）突显个性，简洁整体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园区绿化要综合考虑工厂规模、行业特点、建筑格局所处环境、厂区使用对象、布置风格和意境等因素，体现园区绿化特点和风格，表现企业精神风貌。总体布局提倡自然、简洁、整体性。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（五）布局合理，自成系统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园区绿化应做到全面规划、合理布局，自成系统的绿化布局，充分发挥绿地美化环境的作用。体现园林绿化空间的层次、对比、虚实、明暗变化，更好起到净化、绿化、美化作用。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五、园区绿化美化规划要点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一）科学制定园区绿化规划，以风景园林学、林学、生态学和系统工程原理为指导，把园区绿色生态环境作为一个整体进行系统布局规划。绿化规划要纳入园区建设规划，与园区总体规划相一致，与城市绿化相衔接，与周边环境相协调。</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（二）保护利用原有植物资源，结合企业生产特点，充分利用可绿化地段，见缝插绿，增加绿地面积，提高绿地率。新增绿化要注意与原有植被协调统一。</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三）尊重园区现有自然山水环境与地方人文环境，结合现状条件，合理布局，创造彰显企业文化及园区特色的景观环境。强调植物景观地域性和环境适应性，以乔木为主，乔、灌、草相结合构建多样的绿化空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（四）尽量选用乡土树种、适生树种进行绿化，特殊产业园选用抗性树种以满足生产需求。植物种类宜丰富多彩，体现植物多样性。</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（五）新建园区应尽量选用科技环保材料，推广垂直绿化，融入海绵技术，建设绿色基础设施。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（六）提倡企业将学科实验、科研成果等与园区绿化结合，种植具有科研价值、经济价值的树种。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六、绿化美化设计要点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（一）园区水体绿化设计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有条件的园区，要充分利用原有水体资源，尽量保持自然生态原貌，减少封闭式人工护坡，以利于水系与河岸之间物质交换。</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1.岸线修复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生态景观河道在规划蓝线范围内，结合周边环境进行蜿蜒性设计，避免人工裁弯取直，河道不宜渠道化，宜有宽窄、弯曲序列变化。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2.植物种植要求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河道有行洪排涝需求时，不宜种植沉水植物、浮叶植物和大型木本植物。应选取适宜本土、易养护的植物品种。植物设计应注重乔灌草水生植物相结合，打造季相景观及特色景观。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（二）园区道路绿化设计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1.总体要求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园区道路绿化指道路及广场范围内可绿化用地，主要包括道路绿带、交通岛绿地、广场绿地、停车场绿地等。</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道路绿地率应符合《城市道路绿化规划与设计规范》（CJJ75-97）要求。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2.设计要求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（1）园区道路工程项目应当安排附属绿化用地。可结合道路实际和观赏需求，在视觉焦点处通过布置立体花坛、花境、花带等形式打造节点景观。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园区道路绿化应选择适应道路环境条件、生长稳定、观赏价值高、环境效益好、对行人不造成危害，以乡土树种为优的植物种类。同时考虑季相变化，以达到“四季有景”的效果。同一道路的绿化应确定骨干树种，层次分明，具有统一的景观风格；不同路段的绿化形式宜有所变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（3）园区道路绿化应避免影响交通安全，保证绿化植物的生存环境。植物配置应符合行车视线和行车净空要求，统筹安排绿化树木与市政公用设施相互位置，保证树木立地条件与生长空间。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（4）鼓励对园区立体的交通廊道进行垂直绿化，毗邻山体、水系的园区道路绿化应结合自然环境、突出自然景观特色。</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3.园区主干道绿化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宋体" w:hAnsi="宋体" w:eastAsia="方正仿宋_GBK"/>
          <w:sz w:val="32"/>
          <w:szCs w:val="32"/>
          <w:lang w:val="en-US" w:eastAsia="zh-CN"/>
        </w:rPr>
      </w:pPr>
      <w:r>
        <w:rPr>
          <w:rFonts w:hint="eastAsia" w:ascii="宋体" w:hAnsi="宋体" w:eastAsia="方正仿宋_GBK"/>
          <w:sz w:val="32"/>
          <w:szCs w:val="32"/>
        </w:rPr>
        <w:t>园区主干道是连接园区内外的主要通道，着眼于打造园区景观大道，兼具景观观赏和生态防护等多重功能。道路两侧可选用乡土速生树种，常绿与落叶混交，并适当配置矮灌木或地被植物。</w:t>
      </w:r>
      <w:r>
        <w:rPr>
          <w:rFonts w:hint="eastAsia" w:ascii="宋体" w:hAnsi="宋体" w:eastAsia="方正仿宋_GBK"/>
          <w:sz w:val="32"/>
          <w:szCs w:val="32"/>
          <w:lang w:val="en-US" w:eastAsia="zh-CN"/>
        </w:rPr>
        <w:t xml:space="preserve">  </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4.园区次干道和支道绿化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道路两侧宜种植生长健壮、树冠齐、分枝点高、遮荫效果好、抗性强的乔木树种，利于遮荫、防尘，降低噪音和保障交通运输安全。根据道路两侧企业分布情况，实行一路一树，采用成行成排的整齐栽植方式，把道路建成整齐简洁的景观通道。</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（三）企业厂区绿化设计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1.总体要求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企业要加强厂区绿化，把工厂绿化纳入厂区工程预算，同步施工、同步验收。园区公共区域绿地率不低于30%，工业企业、仓储、商业中心等绿地率不低于20%，产生有害气体及污染工厂的绿地率不低于30%，并设立不少于50米的防护林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2.设计要求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（1）厂前区绿化可根据地形变化，采用自然式布局，适当栽植大树、灌木、花草等，裸露地铺设草坪，行道树以观赏树木为主。</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（2）生产区外围绿化是厂区绿化重点，应根据实际情况，针对性选择对有害气体抗性较强和有吸附作用、隔音效果较好的树种。</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根据生产区车间的不同特点，室外绿化配置也要有所不同：化工车间室外宜种植抗性强、生长快、低矮树木；高温车间室外宜选择高大阔叶乔木及色浓味香的花灌木；噪声强烈的车间室外宜选择枝叶茂密、树冠矮、分枝点低的乔灌木，密集栽植形成隔音带；食品、光学、精密仪器制造车间室外宜选择无飞絮、无花粉、落叶整齐的树种，同时注意低矮地被和草坪的应用，以固土、防尘。</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（4）仓储物流区绿化宜选择树干通直、分枝点高的树种，以稀疏栽植乔木为主，便于各种运输车辆行驶畅通。</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（5）预留地绿化应通过植草绿化等方式，消除裸露地面。</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（四）居住区与单位附属绿化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1.总体要求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居住区与单位附属绿地绿化应具有改善环境、防护隔离、景观文化等功能，设计应符合城市居住区与单位绿化标准。鼓励结合建（构）筑物外立面、顶面等区域，采取垂直绿化、屋顶绿化等立体空间绿化形式。</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2.设计要求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居住及单位附属绿化景观设计应与建筑规划设计同步进行，依据建筑规模和风格，通过合理的用地配置，适宜的景观层次设计，完善的设施配套，达到公共空间与私密空间的优化、整体意境及风格塑造的和谐。</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植物配置应选择寿命较长、病虫害少、无针刺、无落果、无飞絮、无毒、无花粉污染、抗污染、净化空气、吸附粉尘的植物，同时兼顾植物景观的营造，配置观赏性较好的观花、观叶、观果及芳香植物。靠近建筑物区域的植物配植应以不影响通风和采光为准，乔木树冠与建筑的墙面开窗应保持合适距离，一般与南面的开窗距离不应小于6米，与其他面开窗距离不应小于4米。建筑南面应选用落叶乔木，建筑北面选择耐阴、抗寒的花灌木，建筑的西面、东面植物选择应充分考虑夏季防晒和冬季防风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居住及办公区停车场应在主要满足停车使用功能的前提下，进行充分绿化。应选择高大庇荫落叶乔木，形成林荫停车场，停车场树木间距应满足车位、通道、转弯、回车半径要求，停车场内花坛树池等应设置保护设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（4）居住区与单位附属绿地绿化设计宜利用场地原有植物和地形、地貌景观进行设计，并综合考虑利用太阳能、风能及雨水等绿色资源。</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（五）园区边坡、取弃土场、临时用地绿化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1.总体要求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园区边坡、取弃土场、临时用地绿化应符合相关国家标准规范，与山地防护林工程、石漠化治理、义务植树等工作充分结合。绿化坡度25°以下绿地应充分利用良好的绿化条件打造植被相对丰富的绿地景观，坡度25°以上绿地参考城市立体绿化设计要求进行绿化设计。</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2.设计要求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（1）面山绿化方式按照生态效益优先的要求结合立地条件，遵循“因地制宜、能封则封、能造则造、适地适树”原则，打造兼具生态性、景观性、文化性的绿化景观。</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因地制宜选择苗木，优先选择本地区生长良好、根茎发达、耐旱瘠薄、萌生能力强、抗病虫害、抗逆性强的乡土树种。在岩石裸露，含石量大且土层薄的地段着重选择抓地力强，能防风固石，保持水土的适种植物。</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（3）园区边坡、取弃土场、临时用地绿化需与各类地质灾害防护工作进行综合考虑。</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七、园区绿化养护管理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（一）园林植物栽植后到工程竣工验收前为施工期间植物养护期，应对各种植物精心养护管理。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（二）施工期养护应编制专项方案，并认真组织实施，方案应包括下列内容。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1.根据植物习性和土壤墒情及时浇水。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2.结合中耕除草，平整树台。</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3.加强病虫害观测，控制突发性病虫害发生。</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4.根据植物生长情况及时追肥、施肥。</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5.树木应及时剥芽、去蘖、疏枝整形；草坪应适时进行修剪。</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6.花坛、花境应及时清除残花败叶，确保植株生长健壮。</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7.绿地应保持整洁，做好维护管理工作，及时清理枯枝、落叶、杂草、垃圾。</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8.对树木应加强支撑、绑扎及裹干措施，做好防强风、干热、洪涝、越冬防寒等工作。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（三）出现下列情况，专项方案应组织专家审查。</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1.施工期含夏季、冬季的。分季节差别化管理。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2.施工作业区内有珍稀名贵树木的。</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3.种植一定量的引进苗木新品种的。</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4.种植大规格或名贵树木的。</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（四）倡导养护作业精准化、精细化，药物投放等作业应尽量精准。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（五）喷灌、滴灌、渗灌等系统的药、养、水、电等管线养护，按有关规范及产品说明书实施。</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r>
        <w:rPr>
          <w:rFonts w:hint="eastAsia" w:ascii="宋体" w:hAnsi="宋体" w:eastAsia="MS Mincho" w:cs="MS Mincho"/>
          <w:sz w:val="32"/>
          <w:szCs w:val="32"/>
        </w:rPr>
        <w:t> </w:t>
      </w: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sectPr>
          <w:pgSz w:w="11906" w:h="16838"/>
          <w:pgMar w:top="2098" w:right="1474" w:bottom="1418" w:left="1588" w:header="851" w:footer="1418" w:gutter="0"/>
          <w:cols w:space="425" w:num="1"/>
          <w:docGrid w:type="lines" w:linePitch="605" w:charSpace="21679"/>
        </w:sectPr>
      </w:pPr>
    </w:p>
    <w:p>
      <w:pPr>
        <w:pStyle w:val="4"/>
        <w:keepNext w:val="0"/>
        <w:keepLines w:val="0"/>
        <w:pageBreakBefore w:val="0"/>
        <w:kinsoku/>
        <w:wordWrap/>
        <w:topLinePunct w:val="0"/>
        <w:autoSpaceDE/>
        <w:autoSpaceDN/>
        <w:bidi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val="0"/>
          <w:sz w:val="44"/>
          <w:szCs w:val="44"/>
        </w:rPr>
      </w:pPr>
      <w:bookmarkStart w:id="7" w:name="_Toc109406412"/>
      <w:r>
        <w:rPr>
          <w:rFonts w:hint="eastAsia" w:ascii="方正小标宋_GBK" w:hAnsi="方正小标宋_GBK" w:eastAsia="方正小标宋_GBK" w:cs="方正小标宋_GBK"/>
          <w:b w:val="0"/>
          <w:bCs w:val="0"/>
          <w:sz w:val="44"/>
          <w:szCs w:val="44"/>
          <w:lang w:eastAsia="zh-CN"/>
        </w:rPr>
        <w:t>西畴县</w:t>
      </w:r>
      <w:r>
        <w:rPr>
          <w:rFonts w:hint="eastAsia" w:ascii="方正小标宋_GBK" w:hAnsi="方正小标宋_GBK" w:eastAsia="方正小标宋_GBK" w:cs="方正小标宋_GBK"/>
          <w:b w:val="0"/>
          <w:bCs w:val="0"/>
          <w:sz w:val="44"/>
          <w:szCs w:val="44"/>
        </w:rPr>
        <w:t>绿美景区建设导则</w:t>
      </w:r>
      <w:bookmarkEnd w:id="7"/>
    </w:p>
    <w:p>
      <w:pPr>
        <w:keepNext w:val="0"/>
        <w:keepLines w:val="0"/>
        <w:pageBreakBefore w:val="0"/>
        <w:kinsoku/>
        <w:wordWrap/>
        <w:overflowPunct w:val="0"/>
        <w:topLinePunct w:val="0"/>
        <w:autoSpaceDE/>
        <w:autoSpaceDN/>
        <w:bidi w:val="0"/>
        <w:spacing w:line="560" w:lineRule="exact"/>
        <w:textAlignment w:val="auto"/>
        <w:rPr>
          <w:rFonts w:ascii="宋体" w:hAnsi="宋体" w:eastAsia="方正仿宋_GBK"/>
          <w:sz w:val="32"/>
          <w:szCs w:val="32"/>
        </w:rPr>
      </w:pPr>
    </w:p>
    <w:p>
      <w:pPr>
        <w:pStyle w:val="2"/>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一、范围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全州A级旅游景区。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二、规范性引用文件</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GB/T17775-2003旅游景区质量等级的划分与评定</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GB/T26355-2010旅游景区服务指南</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LB/T015-2011绿色旅游景区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风景名胜区条例（国务院令第474号）</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GBT50298-2018风景名胜区总体规划标准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GBT51294-2018风景名胜区详细规划标准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三、总则</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推进景区植绿补绿，提升绿化品质，丰富绿化品种，提高绿地游憩价值，形成适应景观环境、游览需求和自然条件的绿美景区。以提升景区游客游览体验为目标，坚持因地制宜、因景制宜、因游制宜，促进景区生态环境保护修复和旅游资源价值提升。</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四、绿美景区建设要点</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（一）科学确定绿美范围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在保持好现有旅游资源基础上，科学确定绿美范围，根据景区自然环境进行科学合理的绿化配置，形成适合当地自然条件、品种丰富、具有观赏性的绿化景观效果，充分挖掘绿化潜力，做到能种尽种、能绿尽绿。</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（二）合理选择树种苗木</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以种植适合景区的乡土植物为主，多选用维护量小、耐候性强、病虫害少，对人体无害，本地特色鲜明，兼顾观花、观果、观叶等观赏性强的园林植物，突出景区整体生物多样性。具备条件的景区，可依法依规种植体现云南生物多样性的植物，提升景区景观质量和资源吸引力。</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（三）加强后期管理养护</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宋体" w:hAnsi="宋体" w:eastAsia="方正仿宋_GBK"/>
          <w:sz w:val="32"/>
          <w:szCs w:val="32"/>
        </w:rPr>
      </w:pPr>
      <w:r>
        <w:rPr>
          <w:rFonts w:hint="eastAsia" w:ascii="宋体" w:hAnsi="宋体" w:eastAsia="方正仿宋_GBK"/>
          <w:sz w:val="32"/>
          <w:szCs w:val="32"/>
        </w:rPr>
        <w:t>通过新种植树木的登记、确权、建档等工作，做好新种植树木的后续管护工作，落实管护责任，确保管护到位。采用无公害的病虫害防治技术，规范杀虫剂、除草剂、化肥、农药等化学药品的使用。鼓励采取党员、群众、机关、企事业单位、社会团体认种认养和承包、领养等方式，加强后期管理和养护。</w:t>
      </w:r>
    </w:p>
    <w:p>
      <w:pPr>
        <w:pStyle w:val="4"/>
        <w:keepNext w:val="0"/>
        <w:keepLines w:val="0"/>
        <w:pageBreakBefore w:val="0"/>
        <w:numPr>
          <w:ilvl w:val="0"/>
          <w:numId w:val="0"/>
        </w:numPr>
        <w:kinsoku/>
        <w:wordWrap/>
        <w:topLinePunct w:val="0"/>
        <w:autoSpaceDE/>
        <w:autoSpaceDN/>
        <w:bidi w:val="0"/>
        <w:spacing w:before="0" w:beforeAutospacing="0" w:after="0" w:afterAutospacing="0" w:line="240" w:lineRule="auto"/>
        <w:jc w:val="both"/>
        <w:textAlignment w:val="auto"/>
        <w:rPr>
          <w:rFonts w:hint="eastAsia" w:ascii="方正楷体_GBK" w:hAnsi="方正楷体_GBK" w:eastAsia="方正楷体_GBK" w:cs="方正楷体_GBK"/>
          <w:b w:val="0"/>
          <w:bCs w:val="0"/>
          <w:color w:val="000000" w:themeColor="text1"/>
          <w:sz w:val="32"/>
          <w:szCs w:val="32"/>
          <w:lang w:eastAsia="zh-CN"/>
        </w:rPr>
      </w:pPr>
      <w:r>
        <w:rPr>
          <w:rFonts w:hint="eastAsia" w:ascii="方正楷体_GBK" w:hAnsi="方正楷体_GBK" w:eastAsia="方正楷体_GBK" w:cs="方正楷体_GBK"/>
          <w:color w:val="000000" w:themeColor="text1"/>
          <w:sz w:val="32"/>
          <w:szCs w:val="32"/>
          <w:lang w:val="en-US" w:eastAsia="zh-CN"/>
        </w:rPr>
        <w:t xml:space="preserve">    </w:t>
      </w:r>
      <w:r>
        <w:rPr>
          <w:rFonts w:hint="eastAsia" w:ascii="方正楷体_GBK" w:hAnsi="方正楷体_GBK" w:eastAsia="方正楷体_GBK" w:cs="方正楷体_GBK"/>
          <w:b w:val="0"/>
          <w:bCs w:val="0"/>
          <w:color w:val="000000" w:themeColor="text1"/>
          <w:sz w:val="32"/>
          <w:szCs w:val="32"/>
          <w:lang w:val="en-US" w:eastAsia="zh-CN"/>
        </w:rPr>
        <w:t>（四）</w:t>
      </w:r>
      <w:r>
        <w:rPr>
          <w:rFonts w:hint="eastAsia" w:ascii="方正楷体_GBK" w:hAnsi="方正楷体_GBK" w:eastAsia="方正楷体_GBK" w:cs="方正楷体_GBK"/>
          <w:b w:val="0"/>
          <w:bCs w:val="0"/>
          <w:color w:val="000000" w:themeColor="text1"/>
          <w:sz w:val="32"/>
          <w:szCs w:val="32"/>
          <w:lang w:eastAsia="zh-CN"/>
        </w:rPr>
        <w:t>强化经济效益保障</w:t>
      </w:r>
    </w:p>
    <w:p>
      <w:pPr>
        <w:keepNext w:val="0"/>
        <w:keepLines w:val="0"/>
        <w:pageBreakBefore w:val="0"/>
        <w:numPr>
          <w:ilvl w:val="0"/>
          <w:numId w:val="0"/>
        </w:numPr>
        <w:kinsoku/>
        <w:wordWrap/>
        <w:topLinePunct w:val="0"/>
        <w:autoSpaceDE/>
        <w:autoSpaceDN/>
        <w:bidi w:val="0"/>
        <w:spacing w:line="240" w:lineRule="auto"/>
        <w:ind w:firstLine="643" w:firstLineChars="200"/>
        <w:textAlignment w:val="auto"/>
        <w:rPr>
          <w:rFonts w:hint="eastAsia" w:ascii="方正仿宋_GBK" w:hAnsi="方正仿宋_GBK" w:eastAsia="方正仿宋_GBK" w:cs="方正仿宋_GBK"/>
          <w:color w:val="0000FF"/>
          <w:sz w:val="32"/>
          <w:szCs w:val="32"/>
          <w:lang w:eastAsia="zh-CN"/>
        </w:rPr>
      </w:pPr>
      <w:r>
        <w:rPr>
          <w:rFonts w:hint="eastAsia" w:ascii="方正仿宋_GBK" w:hAnsi="方正仿宋_GBK" w:eastAsia="方正仿宋_GBK" w:cs="方正仿宋_GBK"/>
          <w:b/>
          <w:bCs/>
          <w:color w:val="000000" w:themeColor="text1"/>
          <w:sz w:val="32"/>
          <w:szCs w:val="32"/>
          <w:lang w:eastAsia="zh-CN"/>
        </w:rPr>
        <w:t>一是</w:t>
      </w:r>
      <w:r>
        <w:rPr>
          <w:rFonts w:hint="eastAsia" w:ascii="方正仿宋_GBK" w:hAnsi="方正仿宋_GBK" w:eastAsia="方正仿宋_GBK" w:cs="方正仿宋_GBK"/>
          <w:color w:val="000000" w:themeColor="text1"/>
          <w:sz w:val="32"/>
          <w:szCs w:val="32"/>
          <w:lang w:eastAsia="zh-CN"/>
        </w:rPr>
        <w:t>景区绿美建设要结合景区规划进行重点打造；</w:t>
      </w:r>
      <w:r>
        <w:rPr>
          <w:rFonts w:hint="eastAsia" w:ascii="方正仿宋_GBK" w:hAnsi="方正仿宋_GBK" w:eastAsia="方正仿宋_GBK" w:cs="方正仿宋_GBK"/>
          <w:b/>
          <w:bCs/>
          <w:color w:val="000000" w:themeColor="text1"/>
          <w:sz w:val="32"/>
          <w:szCs w:val="32"/>
          <w:lang w:eastAsia="zh-CN"/>
        </w:rPr>
        <w:t>二是</w:t>
      </w:r>
      <w:r>
        <w:rPr>
          <w:rFonts w:hint="eastAsia" w:ascii="方正仿宋_GBK" w:hAnsi="方正仿宋_GBK" w:eastAsia="方正仿宋_GBK" w:cs="方正仿宋_GBK"/>
          <w:color w:val="000000" w:themeColor="text1"/>
          <w:sz w:val="32"/>
          <w:szCs w:val="32"/>
          <w:lang w:eastAsia="zh-CN"/>
        </w:rPr>
        <w:t>景区绿美建设要结合地方产业发展规划，比如种植应综合考虑植物的观赏性、药用价值、经济价值等；</w:t>
      </w:r>
      <w:r>
        <w:rPr>
          <w:rFonts w:hint="eastAsia" w:ascii="方正仿宋_GBK" w:hAnsi="方正仿宋_GBK" w:eastAsia="方正仿宋_GBK" w:cs="方正仿宋_GBK"/>
          <w:b/>
          <w:bCs/>
          <w:color w:val="000000" w:themeColor="text1"/>
          <w:sz w:val="32"/>
          <w:szCs w:val="32"/>
          <w:lang w:eastAsia="zh-CN"/>
        </w:rPr>
        <w:t>三是</w:t>
      </w:r>
      <w:r>
        <w:rPr>
          <w:rFonts w:hint="eastAsia" w:ascii="方正仿宋_GBK" w:hAnsi="方正仿宋_GBK" w:eastAsia="方正仿宋_GBK" w:cs="方正仿宋_GBK"/>
          <w:color w:val="000000" w:themeColor="text1"/>
          <w:sz w:val="32"/>
          <w:szCs w:val="32"/>
          <w:lang w:eastAsia="zh-CN"/>
        </w:rPr>
        <w:t>将管理经费纳入地方年度财政预算；</w:t>
      </w:r>
      <w:r>
        <w:rPr>
          <w:rFonts w:hint="eastAsia" w:ascii="方正仿宋_GBK" w:hAnsi="方正仿宋_GBK" w:eastAsia="方正仿宋_GBK" w:cs="方正仿宋_GBK"/>
          <w:b/>
          <w:bCs/>
          <w:color w:val="000000" w:themeColor="text1"/>
          <w:sz w:val="32"/>
          <w:szCs w:val="32"/>
          <w:lang w:eastAsia="zh-CN"/>
        </w:rPr>
        <w:t>四是</w:t>
      </w:r>
      <w:r>
        <w:rPr>
          <w:rFonts w:hint="eastAsia" w:ascii="方正仿宋_GBK" w:hAnsi="方正仿宋_GBK" w:eastAsia="方正仿宋_GBK" w:cs="方正仿宋_GBK"/>
          <w:color w:val="000000" w:themeColor="text1"/>
          <w:sz w:val="32"/>
          <w:szCs w:val="32"/>
          <w:lang w:eastAsia="zh-CN"/>
        </w:rPr>
        <w:t>聘请有关专家，成立项目专家库，专题研究项目实施相关问题。</w:t>
      </w:r>
    </w:p>
    <w:p>
      <w:pPr>
        <w:keepNext w:val="0"/>
        <w:keepLines w:val="0"/>
        <w:pageBreakBefore w:val="0"/>
        <w:kinsoku/>
        <w:wordWrap/>
        <w:overflowPunct w:val="0"/>
        <w:topLinePunct w:val="0"/>
        <w:autoSpaceDE/>
        <w:autoSpaceDN/>
        <w:bidi w:val="0"/>
        <w:spacing w:line="240" w:lineRule="auto"/>
        <w:ind w:firstLine="640" w:firstLineChars="200"/>
        <w:textAlignment w:val="auto"/>
        <w:rPr>
          <w:rFonts w:ascii="宋体" w:hAnsi="宋体" w:eastAsia="方正黑体_GBK"/>
          <w:sz w:val="32"/>
          <w:szCs w:val="32"/>
        </w:rPr>
      </w:pPr>
      <w:r>
        <w:rPr>
          <w:rFonts w:hint="eastAsia" w:ascii="宋体" w:hAnsi="宋体" w:eastAsia="方正黑体_GBK"/>
          <w:sz w:val="32"/>
          <w:szCs w:val="32"/>
        </w:rPr>
        <w:t>五、生态安全</w:t>
      </w:r>
    </w:p>
    <w:p>
      <w:pPr>
        <w:keepNext w:val="0"/>
        <w:keepLines w:val="0"/>
        <w:pageBreakBefore w:val="0"/>
        <w:kinsoku/>
        <w:wordWrap/>
        <w:overflowPunct w:val="0"/>
        <w:topLinePunct w:val="0"/>
        <w:autoSpaceDE/>
        <w:autoSpaceDN/>
        <w:bidi w:val="0"/>
        <w:spacing w:line="240" w:lineRule="auto"/>
        <w:ind w:firstLine="640" w:firstLineChars="200"/>
        <w:textAlignment w:val="auto"/>
        <w:rPr>
          <w:rFonts w:ascii="宋体" w:hAnsi="宋体" w:eastAsia="方正仿宋_GBK"/>
          <w:sz w:val="32"/>
          <w:szCs w:val="32"/>
        </w:rPr>
      </w:pPr>
      <w:r>
        <w:rPr>
          <w:rFonts w:hint="eastAsia" w:ascii="宋体" w:hAnsi="宋体" w:eastAsia="方正仿宋_GBK"/>
          <w:sz w:val="32"/>
          <w:szCs w:val="32"/>
        </w:rPr>
        <w:t>（一）旅游设施和旅游活动设置要以保持自然生态系统的原生性和完整性为原则，不在自然保护区的核心区、缓冲区进行旅游开发。</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（二）应保持景区内生态系统的本土性，禁止引进可能威胁当地物种生存的植物。</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（三）保护景区内物种生存环境，并通过人工种植等方式扩大适宜物种生存空间；对景区内珍稀野生动物的繁殖地、栖息地设立保护隔离区和缓冲区。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（四）景区内的各类建设项目应减少对自然植被的侵占和破坏，旅游设施和旅游活动应选址和布局在不适宜绿化的难利用地段上和珍稀植物分布区以外。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六、景观绿化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（一）根据景区自然环境进行合理的绿化配置，形成适应当地自然条件、品种丰富、具有观赏性的景观绿化效果。</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（二）对景区内的裸露山体、荒地进行人工绿化。</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（三）因景区建设或其他旅游活动而造成的植被破坏，应采取人工绿化修复或封闭保护措施。</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（四）采用无公害的病虫害防治技术，规范杀虫剂、除草剂、化肥、农药等化学药品的使用，避免对景区土壤和地下水环境造成污染。</w:t>
      </w:r>
    </w:p>
    <w:p>
      <w:pPr>
        <w:keepNext w:val="0"/>
        <w:keepLines w:val="0"/>
        <w:pageBreakBefore w:val="0"/>
        <w:kinsoku/>
        <w:wordWrap/>
        <w:overflowPunct w:val="0"/>
        <w:topLinePunct w:val="0"/>
        <w:autoSpaceDE/>
        <w:autoSpaceDN/>
        <w:bidi w:val="0"/>
        <w:spacing w:line="240" w:lineRule="auto"/>
        <w:ind w:firstLine="640" w:firstLineChars="200"/>
        <w:textAlignment w:val="auto"/>
        <w:rPr>
          <w:rFonts w:ascii="宋体" w:hAnsi="宋体" w:eastAsia="方正黑体_GBK"/>
          <w:sz w:val="32"/>
          <w:szCs w:val="32"/>
        </w:rPr>
      </w:pPr>
      <w:r>
        <w:rPr>
          <w:rFonts w:hint="eastAsia" w:ascii="宋体" w:hAnsi="宋体" w:eastAsia="方正黑体_GBK"/>
          <w:sz w:val="32"/>
          <w:szCs w:val="32"/>
        </w:rPr>
        <w:t>七、资源管理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（一）对景区内各类景观资源，包括具有景观和科学研究价值的地貌景观资源、珍稀动植物资源、景观水体资源、土地资源进行建档管理。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（二）制定保护濒危物种、生物多样性、自然水系、植被、景观和历史文化遗产的保护制度和实施方案，并纳入实时监测范围。</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八、质量管理</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州文化和旅游局将绿美景区行动纳入景区等级质量管理工作，对工作不到位、不按时限和质量完成绿美景区行动的，按照旅游景区质量等级管理办法相关规定给予通报、降级或取消等级等处理；对景区绿美行动有力，景观质量、服务质量提升显著的，优先推荐申报高一等级旅游景区。</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黑体_GBK"/>
          <w:sz w:val="32"/>
          <w:szCs w:val="32"/>
        </w:rPr>
      </w:pPr>
      <w:r>
        <w:rPr>
          <w:rFonts w:hint="eastAsia" w:ascii="宋体" w:hAnsi="宋体" w:eastAsia="方正黑体_GBK"/>
          <w:sz w:val="32"/>
          <w:szCs w:val="32"/>
        </w:rPr>
        <w:t>九、人员培训</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（一）对企业员工进行生态环境保护知识、生态文明以及环境保护的行为规范培训，培训率达到100%。</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宋体" w:hAnsi="宋体" w:eastAsia="方正仿宋_GBK"/>
          <w:sz w:val="32"/>
          <w:szCs w:val="32"/>
        </w:rPr>
      </w:pPr>
      <w:r>
        <w:rPr>
          <w:rFonts w:hint="eastAsia" w:ascii="宋体" w:hAnsi="宋体" w:eastAsia="方正仿宋_GBK"/>
          <w:sz w:val="32"/>
          <w:szCs w:val="32"/>
        </w:rPr>
        <w:t>（二）对管理人员进行绿色景区管理培训，提高管理能力。</w:t>
      </w:r>
    </w:p>
    <w:p>
      <w:pPr>
        <w:keepNext w:val="0"/>
        <w:keepLines w:val="0"/>
        <w:pageBreakBefore w:val="0"/>
        <w:kinsoku/>
        <w:wordWrap/>
        <w:topLinePunct w:val="0"/>
        <w:autoSpaceDE/>
        <w:autoSpaceDN/>
        <w:bidi w:val="0"/>
        <w:spacing w:line="560" w:lineRule="exact"/>
        <w:textAlignment w:val="auto"/>
      </w:pPr>
    </w:p>
    <w:p/>
    <w:sectPr>
      <w:headerReference r:id="rId5" w:type="default"/>
      <w:footerReference r:id="rId6" w:type="default"/>
      <w:pgSz w:w="11906" w:h="16838"/>
      <w:pgMar w:top="2098" w:right="1474" w:bottom="1418" w:left="1588" w:header="851" w:footer="1418"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方正仿宋_GBK"/>
        <w:sz w:val="28"/>
        <w:szCs w:val="28"/>
      </w:rPr>
    </w:pPr>
    <w:r>
      <w:rPr>
        <w:rStyle w:val="11"/>
        <w:rFonts w:hint="eastAsia" w:ascii="宋体" w:hAnsi="宋体" w:eastAsia="方正仿宋_GBK"/>
        <w:sz w:val="28"/>
        <w:szCs w:val="28"/>
      </w:rPr>
      <w:t xml:space="preserve">— </w:t>
    </w:r>
    <w:r>
      <w:rPr>
        <w:rStyle w:val="11"/>
        <w:rFonts w:hint="eastAsia" w:ascii="宋体" w:hAnsi="宋体" w:eastAsia="方正仿宋_GBK"/>
        <w:sz w:val="28"/>
        <w:szCs w:val="28"/>
      </w:rPr>
      <w:fldChar w:fldCharType="begin"/>
    </w:r>
    <w:r>
      <w:rPr>
        <w:rStyle w:val="11"/>
        <w:rFonts w:hint="eastAsia" w:ascii="宋体" w:hAnsi="宋体" w:eastAsia="方正仿宋_GBK"/>
        <w:sz w:val="28"/>
        <w:szCs w:val="28"/>
      </w:rPr>
      <w:instrText xml:space="preserve">PAGE  </w:instrText>
    </w:r>
    <w:r>
      <w:rPr>
        <w:rStyle w:val="11"/>
        <w:rFonts w:hint="eastAsia" w:ascii="宋体" w:hAnsi="宋体" w:eastAsia="方正仿宋_GBK"/>
        <w:sz w:val="28"/>
        <w:szCs w:val="28"/>
      </w:rPr>
      <w:fldChar w:fldCharType="separate"/>
    </w:r>
    <w:r>
      <w:rPr>
        <w:rStyle w:val="11"/>
        <w:rFonts w:ascii="宋体" w:hAnsi="宋体" w:eastAsia="方正仿宋_GBK"/>
        <w:sz w:val="28"/>
        <w:szCs w:val="28"/>
      </w:rPr>
      <w:t>65</w:t>
    </w:r>
    <w:r>
      <w:rPr>
        <w:rStyle w:val="11"/>
        <w:rFonts w:hint="eastAsia" w:ascii="宋体" w:hAnsi="宋体" w:eastAsia="方正仿宋_GBK"/>
        <w:sz w:val="28"/>
        <w:szCs w:val="28"/>
      </w:rPr>
      <w:fldChar w:fldCharType="end"/>
    </w:r>
    <w:r>
      <w:rPr>
        <w:rStyle w:val="11"/>
        <w:rFonts w:hint="eastAsia" w:ascii="宋体" w:hAnsi="宋体" w:eastAsia="方正仿宋_GBK"/>
        <w:sz w:val="28"/>
        <w:szCs w:val="28"/>
      </w:rPr>
      <w:t xml:space="preserve"> —</w:t>
    </w:r>
  </w:p>
  <w:p>
    <w:pPr>
      <w:pStyle w:val="5"/>
      <w:ind w:right="360" w:firstLine="360"/>
      <w:rPr>
        <w:rFonts w:ascii="宋体" w:hAnsi="宋体" w:eastAsia="方正仿宋_GBK"/>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方正仿宋_GBK"/>
        <w:sz w:val="28"/>
        <w:szCs w:val="28"/>
      </w:rPr>
    </w:pPr>
    <w:r>
      <w:rPr>
        <w:rStyle w:val="11"/>
        <w:rFonts w:hint="eastAsia" w:ascii="宋体" w:hAnsi="宋体" w:eastAsia="方正仿宋_GBK"/>
        <w:sz w:val="28"/>
        <w:szCs w:val="28"/>
      </w:rPr>
      <w:t xml:space="preserve">— </w:t>
    </w:r>
    <w:r>
      <w:rPr>
        <w:rStyle w:val="11"/>
        <w:rFonts w:hint="eastAsia" w:ascii="宋体" w:hAnsi="宋体" w:eastAsia="方正仿宋_GBK"/>
        <w:sz w:val="28"/>
        <w:szCs w:val="28"/>
      </w:rPr>
      <w:fldChar w:fldCharType="begin"/>
    </w:r>
    <w:r>
      <w:rPr>
        <w:rStyle w:val="11"/>
        <w:rFonts w:hint="eastAsia" w:ascii="宋体" w:hAnsi="宋体" w:eastAsia="方正仿宋_GBK"/>
        <w:sz w:val="28"/>
        <w:szCs w:val="28"/>
      </w:rPr>
      <w:instrText xml:space="preserve">PAGE  </w:instrText>
    </w:r>
    <w:r>
      <w:rPr>
        <w:rStyle w:val="11"/>
        <w:rFonts w:hint="eastAsia" w:ascii="宋体" w:hAnsi="宋体" w:eastAsia="方正仿宋_GBK"/>
        <w:sz w:val="28"/>
        <w:szCs w:val="28"/>
      </w:rPr>
      <w:fldChar w:fldCharType="separate"/>
    </w:r>
    <w:r>
      <w:rPr>
        <w:rStyle w:val="11"/>
        <w:rFonts w:ascii="宋体" w:hAnsi="宋体" w:eastAsia="方正仿宋_GBK"/>
        <w:sz w:val="28"/>
        <w:szCs w:val="28"/>
      </w:rPr>
      <w:t>65</w:t>
    </w:r>
    <w:r>
      <w:rPr>
        <w:rStyle w:val="11"/>
        <w:rFonts w:hint="eastAsia" w:ascii="宋体" w:hAnsi="宋体" w:eastAsia="方正仿宋_GBK"/>
        <w:sz w:val="28"/>
        <w:szCs w:val="28"/>
      </w:rPr>
      <w:fldChar w:fldCharType="end"/>
    </w:r>
    <w:r>
      <w:rPr>
        <w:rStyle w:val="11"/>
        <w:rFonts w:hint="eastAsia" w:ascii="宋体" w:hAnsi="宋体" w:eastAsia="方正仿宋_GBK"/>
        <w:sz w:val="28"/>
        <w:szCs w:val="28"/>
      </w:rPr>
      <w:t xml:space="preserve"> —</w:t>
    </w:r>
  </w:p>
  <w:p>
    <w:pPr>
      <w:pStyle w:val="5"/>
      <w:ind w:right="360" w:firstLine="360"/>
      <w:rPr>
        <w:rFonts w:ascii="宋体" w:hAnsi="宋体" w:eastAsia="方正仿宋_GBK"/>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6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B4C1B"/>
    <w:rsid w:val="00001451"/>
    <w:rsid w:val="00001C54"/>
    <w:rsid w:val="00001E47"/>
    <w:rsid w:val="00002C3E"/>
    <w:rsid w:val="00002DDC"/>
    <w:rsid w:val="000033C1"/>
    <w:rsid w:val="00003BB0"/>
    <w:rsid w:val="00006444"/>
    <w:rsid w:val="00006499"/>
    <w:rsid w:val="00006778"/>
    <w:rsid w:val="000068BA"/>
    <w:rsid w:val="000117BB"/>
    <w:rsid w:val="00011C8C"/>
    <w:rsid w:val="000125E9"/>
    <w:rsid w:val="0001389B"/>
    <w:rsid w:val="00015851"/>
    <w:rsid w:val="000164E6"/>
    <w:rsid w:val="000201EC"/>
    <w:rsid w:val="00020CD9"/>
    <w:rsid w:val="00021058"/>
    <w:rsid w:val="000214F5"/>
    <w:rsid w:val="00024736"/>
    <w:rsid w:val="00024BEA"/>
    <w:rsid w:val="0002570B"/>
    <w:rsid w:val="0002572B"/>
    <w:rsid w:val="00026472"/>
    <w:rsid w:val="00027CDA"/>
    <w:rsid w:val="00027F9C"/>
    <w:rsid w:val="00031D8F"/>
    <w:rsid w:val="00032778"/>
    <w:rsid w:val="000327A1"/>
    <w:rsid w:val="00032C25"/>
    <w:rsid w:val="00032DF9"/>
    <w:rsid w:val="00033337"/>
    <w:rsid w:val="0003430A"/>
    <w:rsid w:val="000347CB"/>
    <w:rsid w:val="00034F45"/>
    <w:rsid w:val="0003652C"/>
    <w:rsid w:val="00036EFA"/>
    <w:rsid w:val="000374AA"/>
    <w:rsid w:val="000375E2"/>
    <w:rsid w:val="00040022"/>
    <w:rsid w:val="000406BA"/>
    <w:rsid w:val="00044E73"/>
    <w:rsid w:val="000458B9"/>
    <w:rsid w:val="00045C79"/>
    <w:rsid w:val="000465AA"/>
    <w:rsid w:val="0004664B"/>
    <w:rsid w:val="00050531"/>
    <w:rsid w:val="00051425"/>
    <w:rsid w:val="0005348D"/>
    <w:rsid w:val="00053721"/>
    <w:rsid w:val="00053EF9"/>
    <w:rsid w:val="00054D13"/>
    <w:rsid w:val="00056CDC"/>
    <w:rsid w:val="0006053E"/>
    <w:rsid w:val="000608AF"/>
    <w:rsid w:val="000619E6"/>
    <w:rsid w:val="00061BD1"/>
    <w:rsid w:val="00064F8B"/>
    <w:rsid w:val="00065CF3"/>
    <w:rsid w:val="00065EDF"/>
    <w:rsid w:val="00066391"/>
    <w:rsid w:val="000665EE"/>
    <w:rsid w:val="00066D91"/>
    <w:rsid w:val="0007027F"/>
    <w:rsid w:val="000709B4"/>
    <w:rsid w:val="00072252"/>
    <w:rsid w:val="00075A32"/>
    <w:rsid w:val="0007679D"/>
    <w:rsid w:val="0007690A"/>
    <w:rsid w:val="00076B7A"/>
    <w:rsid w:val="00077761"/>
    <w:rsid w:val="00080209"/>
    <w:rsid w:val="00080938"/>
    <w:rsid w:val="00080F68"/>
    <w:rsid w:val="00082918"/>
    <w:rsid w:val="00083940"/>
    <w:rsid w:val="00085530"/>
    <w:rsid w:val="00086FB7"/>
    <w:rsid w:val="00087594"/>
    <w:rsid w:val="00090E10"/>
    <w:rsid w:val="000915CE"/>
    <w:rsid w:val="00091961"/>
    <w:rsid w:val="0009240B"/>
    <w:rsid w:val="00092981"/>
    <w:rsid w:val="000929A0"/>
    <w:rsid w:val="00092F12"/>
    <w:rsid w:val="00092F19"/>
    <w:rsid w:val="00095F2E"/>
    <w:rsid w:val="00096AB6"/>
    <w:rsid w:val="000A1082"/>
    <w:rsid w:val="000A17D3"/>
    <w:rsid w:val="000A1A18"/>
    <w:rsid w:val="000A1D38"/>
    <w:rsid w:val="000A2070"/>
    <w:rsid w:val="000A236C"/>
    <w:rsid w:val="000A288E"/>
    <w:rsid w:val="000A2A72"/>
    <w:rsid w:val="000A43D2"/>
    <w:rsid w:val="000A492A"/>
    <w:rsid w:val="000A4F62"/>
    <w:rsid w:val="000A4F81"/>
    <w:rsid w:val="000A5300"/>
    <w:rsid w:val="000A78D1"/>
    <w:rsid w:val="000B0256"/>
    <w:rsid w:val="000B0B81"/>
    <w:rsid w:val="000B1A44"/>
    <w:rsid w:val="000B1E9F"/>
    <w:rsid w:val="000B2CE1"/>
    <w:rsid w:val="000B4D27"/>
    <w:rsid w:val="000B4DC1"/>
    <w:rsid w:val="000B66E6"/>
    <w:rsid w:val="000B6790"/>
    <w:rsid w:val="000B7224"/>
    <w:rsid w:val="000B744A"/>
    <w:rsid w:val="000B74B7"/>
    <w:rsid w:val="000C1676"/>
    <w:rsid w:val="000C2DD8"/>
    <w:rsid w:val="000C2F49"/>
    <w:rsid w:val="000C3027"/>
    <w:rsid w:val="000C3920"/>
    <w:rsid w:val="000C3C58"/>
    <w:rsid w:val="000C3DB7"/>
    <w:rsid w:val="000C4732"/>
    <w:rsid w:val="000C49E0"/>
    <w:rsid w:val="000C4FAD"/>
    <w:rsid w:val="000C4FC3"/>
    <w:rsid w:val="000C5C15"/>
    <w:rsid w:val="000C740F"/>
    <w:rsid w:val="000D1196"/>
    <w:rsid w:val="000D2085"/>
    <w:rsid w:val="000D2813"/>
    <w:rsid w:val="000D339B"/>
    <w:rsid w:val="000D4076"/>
    <w:rsid w:val="000D5353"/>
    <w:rsid w:val="000D5659"/>
    <w:rsid w:val="000D588F"/>
    <w:rsid w:val="000D7E7D"/>
    <w:rsid w:val="000E0001"/>
    <w:rsid w:val="000E1127"/>
    <w:rsid w:val="000E132B"/>
    <w:rsid w:val="000E192B"/>
    <w:rsid w:val="000E412F"/>
    <w:rsid w:val="000E5C0E"/>
    <w:rsid w:val="000E5D18"/>
    <w:rsid w:val="000E60CA"/>
    <w:rsid w:val="000F0614"/>
    <w:rsid w:val="000F12CE"/>
    <w:rsid w:val="000F266A"/>
    <w:rsid w:val="000F29F4"/>
    <w:rsid w:val="000F374B"/>
    <w:rsid w:val="000F4309"/>
    <w:rsid w:val="000F51BE"/>
    <w:rsid w:val="000F543E"/>
    <w:rsid w:val="000F6D2E"/>
    <w:rsid w:val="00102CAC"/>
    <w:rsid w:val="0010352C"/>
    <w:rsid w:val="00104CDB"/>
    <w:rsid w:val="00104F4B"/>
    <w:rsid w:val="00104FF9"/>
    <w:rsid w:val="00105530"/>
    <w:rsid w:val="00106C13"/>
    <w:rsid w:val="00107FD8"/>
    <w:rsid w:val="00110BA4"/>
    <w:rsid w:val="0011128E"/>
    <w:rsid w:val="00111B92"/>
    <w:rsid w:val="00112FA5"/>
    <w:rsid w:val="001130F4"/>
    <w:rsid w:val="001141C7"/>
    <w:rsid w:val="001143F0"/>
    <w:rsid w:val="00114521"/>
    <w:rsid w:val="00115C3B"/>
    <w:rsid w:val="00115E8E"/>
    <w:rsid w:val="00116C57"/>
    <w:rsid w:val="001177BC"/>
    <w:rsid w:val="0012026A"/>
    <w:rsid w:val="00122863"/>
    <w:rsid w:val="001239CF"/>
    <w:rsid w:val="00123D02"/>
    <w:rsid w:val="00124B8D"/>
    <w:rsid w:val="001256FD"/>
    <w:rsid w:val="00126723"/>
    <w:rsid w:val="00127009"/>
    <w:rsid w:val="00127251"/>
    <w:rsid w:val="00130F4D"/>
    <w:rsid w:val="00134FC9"/>
    <w:rsid w:val="00135C92"/>
    <w:rsid w:val="00135E9A"/>
    <w:rsid w:val="00137D08"/>
    <w:rsid w:val="001417C9"/>
    <w:rsid w:val="00141841"/>
    <w:rsid w:val="00141B37"/>
    <w:rsid w:val="00141BFF"/>
    <w:rsid w:val="001451B0"/>
    <w:rsid w:val="00145EE4"/>
    <w:rsid w:val="00147F86"/>
    <w:rsid w:val="00150C4D"/>
    <w:rsid w:val="00154E80"/>
    <w:rsid w:val="001570ED"/>
    <w:rsid w:val="00157E3E"/>
    <w:rsid w:val="001600BB"/>
    <w:rsid w:val="0016014E"/>
    <w:rsid w:val="00160237"/>
    <w:rsid w:val="00163328"/>
    <w:rsid w:val="00163B02"/>
    <w:rsid w:val="001642CD"/>
    <w:rsid w:val="00164D04"/>
    <w:rsid w:val="00164DFE"/>
    <w:rsid w:val="0016733B"/>
    <w:rsid w:val="00172607"/>
    <w:rsid w:val="00172B17"/>
    <w:rsid w:val="00173121"/>
    <w:rsid w:val="00173A77"/>
    <w:rsid w:val="00173EE8"/>
    <w:rsid w:val="00174A24"/>
    <w:rsid w:val="0017502C"/>
    <w:rsid w:val="001753AD"/>
    <w:rsid w:val="0018046C"/>
    <w:rsid w:val="00181428"/>
    <w:rsid w:val="00181591"/>
    <w:rsid w:val="0018160A"/>
    <w:rsid w:val="00181C50"/>
    <w:rsid w:val="00182A11"/>
    <w:rsid w:val="00183481"/>
    <w:rsid w:val="00183E00"/>
    <w:rsid w:val="001849B3"/>
    <w:rsid w:val="00186A60"/>
    <w:rsid w:val="00187D0A"/>
    <w:rsid w:val="0019233E"/>
    <w:rsid w:val="001923A8"/>
    <w:rsid w:val="00196C2A"/>
    <w:rsid w:val="001A08E2"/>
    <w:rsid w:val="001A1915"/>
    <w:rsid w:val="001A2BED"/>
    <w:rsid w:val="001A2E5C"/>
    <w:rsid w:val="001A41CF"/>
    <w:rsid w:val="001A4A4B"/>
    <w:rsid w:val="001A6367"/>
    <w:rsid w:val="001A6851"/>
    <w:rsid w:val="001B03F1"/>
    <w:rsid w:val="001B05D5"/>
    <w:rsid w:val="001B0AB0"/>
    <w:rsid w:val="001B2B1C"/>
    <w:rsid w:val="001B2D20"/>
    <w:rsid w:val="001B3D50"/>
    <w:rsid w:val="001B4449"/>
    <w:rsid w:val="001B7EEA"/>
    <w:rsid w:val="001C010E"/>
    <w:rsid w:val="001C08FC"/>
    <w:rsid w:val="001C2D81"/>
    <w:rsid w:val="001C399F"/>
    <w:rsid w:val="001C3AE0"/>
    <w:rsid w:val="001C42B7"/>
    <w:rsid w:val="001C6BAE"/>
    <w:rsid w:val="001C7166"/>
    <w:rsid w:val="001C783F"/>
    <w:rsid w:val="001D1955"/>
    <w:rsid w:val="001D1C60"/>
    <w:rsid w:val="001D34EC"/>
    <w:rsid w:val="001D4529"/>
    <w:rsid w:val="001D536D"/>
    <w:rsid w:val="001E0413"/>
    <w:rsid w:val="001E0900"/>
    <w:rsid w:val="001E222F"/>
    <w:rsid w:val="001E33F9"/>
    <w:rsid w:val="001E3A52"/>
    <w:rsid w:val="001E6909"/>
    <w:rsid w:val="001E6A08"/>
    <w:rsid w:val="001E6F99"/>
    <w:rsid w:val="001E7E7A"/>
    <w:rsid w:val="001F1386"/>
    <w:rsid w:val="001F256C"/>
    <w:rsid w:val="001F30DA"/>
    <w:rsid w:val="001F3960"/>
    <w:rsid w:val="001F490D"/>
    <w:rsid w:val="001F4AAB"/>
    <w:rsid w:val="001F4ECF"/>
    <w:rsid w:val="001F65C7"/>
    <w:rsid w:val="001F6C9E"/>
    <w:rsid w:val="001F6F4D"/>
    <w:rsid w:val="001F73FA"/>
    <w:rsid w:val="001F7520"/>
    <w:rsid w:val="0020025F"/>
    <w:rsid w:val="002017CF"/>
    <w:rsid w:val="00202703"/>
    <w:rsid w:val="00203187"/>
    <w:rsid w:val="002034C3"/>
    <w:rsid w:val="00204D5E"/>
    <w:rsid w:val="00205055"/>
    <w:rsid w:val="002056AA"/>
    <w:rsid w:val="00205935"/>
    <w:rsid w:val="00206258"/>
    <w:rsid w:val="00207984"/>
    <w:rsid w:val="002141D4"/>
    <w:rsid w:val="00214307"/>
    <w:rsid w:val="002158B9"/>
    <w:rsid w:val="00215A62"/>
    <w:rsid w:val="00216498"/>
    <w:rsid w:val="00216DE1"/>
    <w:rsid w:val="0021794B"/>
    <w:rsid w:val="00217EA5"/>
    <w:rsid w:val="00222F0E"/>
    <w:rsid w:val="00222F95"/>
    <w:rsid w:val="00223EB1"/>
    <w:rsid w:val="002246E6"/>
    <w:rsid w:val="00225DCF"/>
    <w:rsid w:val="00227090"/>
    <w:rsid w:val="00232139"/>
    <w:rsid w:val="0023406E"/>
    <w:rsid w:val="00234B51"/>
    <w:rsid w:val="00234F9B"/>
    <w:rsid w:val="0023505B"/>
    <w:rsid w:val="00235077"/>
    <w:rsid w:val="00235865"/>
    <w:rsid w:val="00235C9E"/>
    <w:rsid w:val="00237342"/>
    <w:rsid w:val="00240418"/>
    <w:rsid w:val="00241461"/>
    <w:rsid w:val="00241B25"/>
    <w:rsid w:val="00242229"/>
    <w:rsid w:val="00242479"/>
    <w:rsid w:val="002432FC"/>
    <w:rsid w:val="002437C7"/>
    <w:rsid w:val="0024516F"/>
    <w:rsid w:val="002463FC"/>
    <w:rsid w:val="00247D62"/>
    <w:rsid w:val="00250DF6"/>
    <w:rsid w:val="00252895"/>
    <w:rsid w:val="00253A8F"/>
    <w:rsid w:val="00253CCC"/>
    <w:rsid w:val="002541B5"/>
    <w:rsid w:val="002544B6"/>
    <w:rsid w:val="0025521B"/>
    <w:rsid w:val="00255536"/>
    <w:rsid w:val="002562BE"/>
    <w:rsid w:val="00257CFF"/>
    <w:rsid w:val="00261D00"/>
    <w:rsid w:val="00262326"/>
    <w:rsid w:val="00262F5E"/>
    <w:rsid w:val="002635E9"/>
    <w:rsid w:val="00263B1B"/>
    <w:rsid w:val="00270261"/>
    <w:rsid w:val="00270A66"/>
    <w:rsid w:val="00272B3E"/>
    <w:rsid w:val="00274964"/>
    <w:rsid w:val="002808BA"/>
    <w:rsid w:val="00281B5C"/>
    <w:rsid w:val="00281CA2"/>
    <w:rsid w:val="00282BF7"/>
    <w:rsid w:val="00283146"/>
    <w:rsid w:val="0028331A"/>
    <w:rsid w:val="00284FD7"/>
    <w:rsid w:val="00285144"/>
    <w:rsid w:val="0028611B"/>
    <w:rsid w:val="00286B5F"/>
    <w:rsid w:val="002903E3"/>
    <w:rsid w:val="00290A20"/>
    <w:rsid w:val="0029134F"/>
    <w:rsid w:val="002913CA"/>
    <w:rsid w:val="00292062"/>
    <w:rsid w:val="00292089"/>
    <w:rsid w:val="002920A9"/>
    <w:rsid w:val="00292748"/>
    <w:rsid w:val="00292DD7"/>
    <w:rsid w:val="00293F91"/>
    <w:rsid w:val="002943DE"/>
    <w:rsid w:val="00295E1C"/>
    <w:rsid w:val="00295F39"/>
    <w:rsid w:val="00296DF4"/>
    <w:rsid w:val="002A1666"/>
    <w:rsid w:val="002A1B74"/>
    <w:rsid w:val="002A1E09"/>
    <w:rsid w:val="002A2CBD"/>
    <w:rsid w:val="002A2F3D"/>
    <w:rsid w:val="002A30E7"/>
    <w:rsid w:val="002A39BC"/>
    <w:rsid w:val="002A450E"/>
    <w:rsid w:val="002A45FA"/>
    <w:rsid w:val="002A4611"/>
    <w:rsid w:val="002A4EE7"/>
    <w:rsid w:val="002A5189"/>
    <w:rsid w:val="002A54DB"/>
    <w:rsid w:val="002A67BA"/>
    <w:rsid w:val="002A6E0B"/>
    <w:rsid w:val="002A7884"/>
    <w:rsid w:val="002B297E"/>
    <w:rsid w:val="002B31C4"/>
    <w:rsid w:val="002B347B"/>
    <w:rsid w:val="002B4E33"/>
    <w:rsid w:val="002B50F7"/>
    <w:rsid w:val="002B5AB5"/>
    <w:rsid w:val="002B5B44"/>
    <w:rsid w:val="002B6FD6"/>
    <w:rsid w:val="002B7801"/>
    <w:rsid w:val="002B7A64"/>
    <w:rsid w:val="002C29D3"/>
    <w:rsid w:val="002C354F"/>
    <w:rsid w:val="002C3A73"/>
    <w:rsid w:val="002C4565"/>
    <w:rsid w:val="002C4996"/>
    <w:rsid w:val="002C4CCE"/>
    <w:rsid w:val="002C6638"/>
    <w:rsid w:val="002C6F7D"/>
    <w:rsid w:val="002D0064"/>
    <w:rsid w:val="002D0A82"/>
    <w:rsid w:val="002D1016"/>
    <w:rsid w:val="002D1864"/>
    <w:rsid w:val="002D26ED"/>
    <w:rsid w:val="002D3480"/>
    <w:rsid w:val="002D4506"/>
    <w:rsid w:val="002D6E42"/>
    <w:rsid w:val="002D70BF"/>
    <w:rsid w:val="002D7423"/>
    <w:rsid w:val="002E0763"/>
    <w:rsid w:val="002E13B5"/>
    <w:rsid w:val="002E181A"/>
    <w:rsid w:val="002E1866"/>
    <w:rsid w:val="002E1EB2"/>
    <w:rsid w:val="002E2ECB"/>
    <w:rsid w:val="002E471F"/>
    <w:rsid w:val="002E54C8"/>
    <w:rsid w:val="002E5901"/>
    <w:rsid w:val="002E599D"/>
    <w:rsid w:val="002E5BF9"/>
    <w:rsid w:val="002E7187"/>
    <w:rsid w:val="002F1464"/>
    <w:rsid w:val="002F2F67"/>
    <w:rsid w:val="002F3DD8"/>
    <w:rsid w:val="002F4236"/>
    <w:rsid w:val="002F574B"/>
    <w:rsid w:val="002F6D14"/>
    <w:rsid w:val="002F7CF9"/>
    <w:rsid w:val="00303E01"/>
    <w:rsid w:val="0030733C"/>
    <w:rsid w:val="0030773E"/>
    <w:rsid w:val="00307849"/>
    <w:rsid w:val="00310742"/>
    <w:rsid w:val="0031078B"/>
    <w:rsid w:val="0031366C"/>
    <w:rsid w:val="003140CD"/>
    <w:rsid w:val="00314B95"/>
    <w:rsid w:val="00315F7E"/>
    <w:rsid w:val="00316CC5"/>
    <w:rsid w:val="0031799B"/>
    <w:rsid w:val="00320FC6"/>
    <w:rsid w:val="003217EC"/>
    <w:rsid w:val="00321EA1"/>
    <w:rsid w:val="00323DC3"/>
    <w:rsid w:val="00324980"/>
    <w:rsid w:val="00324A5D"/>
    <w:rsid w:val="00324D22"/>
    <w:rsid w:val="00324F37"/>
    <w:rsid w:val="00325044"/>
    <w:rsid w:val="003252E1"/>
    <w:rsid w:val="0032572F"/>
    <w:rsid w:val="0032586C"/>
    <w:rsid w:val="00325C4D"/>
    <w:rsid w:val="0032628F"/>
    <w:rsid w:val="003264C3"/>
    <w:rsid w:val="00327524"/>
    <w:rsid w:val="003275DE"/>
    <w:rsid w:val="00330184"/>
    <w:rsid w:val="00330BD2"/>
    <w:rsid w:val="00332DEB"/>
    <w:rsid w:val="00333C90"/>
    <w:rsid w:val="0033473B"/>
    <w:rsid w:val="00334C41"/>
    <w:rsid w:val="00336010"/>
    <w:rsid w:val="003360B0"/>
    <w:rsid w:val="00336D65"/>
    <w:rsid w:val="00341DCD"/>
    <w:rsid w:val="003424A7"/>
    <w:rsid w:val="00344633"/>
    <w:rsid w:val="0034491E"/>
    <w:rsid w:val="00344A90"/>
    <w:rsid w:val="0034547B"/>
    <w:rsid w:val="00347166"/>
    <w:rsid w:val="00347351"/>
    <w:rsid w:val="00347FF8"/>
    <w:rsid w:val="00350335"/>
    <w:rsid w:val="003507F5"/>
    <w:rsid w:val="0035175E"/>
    <w:rsid w:val="003518C0"/>
    <w:rsid w:val="00351B09"/>
    <w:rsid w:val="00352959"/>
    <w:rsid w:val="00352DE5"/>
    <w:rsid w:val="00353DF7"/>
    <w:rsid w:val="00353E7D"/>
    <w:rsid w:val="003544A5"/>
    <w:rsid w:val="00355B28"/>
    <w:rsid w:val="00356BAD"/>
    <w:rsid w:val="00356E22"/>
    <w:rsid w:val="003570FD"/>
    <w:rsid w:val="00357B00"/>
    <w:rsid w:val="003602E5"/>
    <w:rsid w:val="003614EA"/>
    <w:rsid w:val="003625DB"/>
    <w:rsid w:val="003631D8"/>
    <w:rsid w:val="0036494B"/>
    <w:rsid w:val="00366DE5"/>
    <w:rsid w:val="00367B7C"/>
    <w:rsid w:val="00370FCF"/>
    <w:rsid w:val="00371070"/>
    <w:rsid w:val="00371A3A"/>
    <w:rsid w:val="00371D43"/>
    <w:rsid w:val="00374919"/>
    <w:rsid w:val="00375102"/>
    <w:rsid w:val="00375D95"/>
    <w:rsid w:val="00375DEE"/>
    <w:rsid w:val="00376752"/>
    <w:rsid w:val="00380C02"/>
    <w:rsid w:val="003812B4"/>
    <w:rsid w:val="003820F0"/>
    <w:rsid w:val="003849E0"/>
    <w:rsid w:val="00385464"/>
    <w:rsid w:val="003857F3"/>
    <w:rsid w:val="003864AE"/>
    <w:rsid w:val="003871C8"/>
    <w:rsid w:val="00392279"/>
    <w:rsid w:val="00393C9A"/>
    <w:rsid w:val="00393F86"/>
    <w:rsid w:val="003946C6"/>
    <w:rsid w:val="003946D6"/>
    <w:rsid w:val="00394F6F"/>
    <w:rsid w:val="0039506F"/>
    <w:rsid w:val="0039520C"/>
    <w:rsid w:val="0039526A"/>
    <w:rsid w:val="0039598B"/>
    <w:rsid w:val="00395CB6"/>
    <w:rsid w:val="00397D6D"/>
    <w:rsid w:val="00397EB5"/>
    <w:rsid w:val="003A0904"/>
    <w:rsid w:val="003A0B96"/>
    <w:rsid w:val="003A1910"/>
    <w:rsid w:val="003A3172"/>
    <w:rsid w:val="003A36E5"/>
    <w:rsid w:val="003A4533"/>
    <w:rsid w:val="003A464C"/>
    <w:rsid w:val="003A555E"/>
    <w:rsid w:val="003A6C33"/>
    <w:rsid w:val="003B00D4"/>
    <w:rsid w:val="003B0FFE"/>
    <w:rsid w:val="003B2079"/>
    <w:rsid w:val="003B289F"/>
    <w:rsid w:val="003B3F52"/>
    <w:rsid w:val="003B612E"/>
    <w:rsid w:val="003B63E5"/>
    <w:rsid w:val="003B67A8"/>
    <w:rsid w:val="003B7EFF"/>
    <w:rsid w:val="003C0DF5"/>
    <w:rsid w:val="003C10AA"/>
    <w:rsid w:val="003C1202"/>
    <w:rsid w:val="003C1406"/>
    <w:rsid w:val="003C49D8"/>
    <w:rsid w:val="003C502E"/>
    <w:rsid w:val="003C5197"/>
    <w:rsid w:val="003C52B9"/>
    <w:rsid w:val="003C58B6"/>
    <w:rsid w:val="003C5BFD"/>
    <w:rsid w:val="003C5C89"/>
    <w:rsid w:val="003C6016"/>
    <w:rsid w:val="003C6C3A"/>
    <w:rsid w:val="003C7E9A"/>
    <w:rsid w:val="003D044B"/>
    <w:rsid w:val="003D101C"/>
    <w:rsid w:val="003D1548"/>
    <w:rsid w:val="003D4ACC"/>
    <w:rsid w:val="003D4C87"/>
    <w:rsid w:val="003D74B1"/>
    <w:rsid w:val="003D7BF2"/>
    <w:rsid w:val="003E3001"/>
    <w:rsid w:val="003E339F"/>
    <w:rsid w:val="003E44E3"/>
    <w:rsid w:val="003E6899"/>
    <w:rsid w:val="003E77F5"/>
    <w:rsid w:val="003F0938"/>
    <w:rsid w:val="003F0FC9"/>
    <w:rsid w:val="003F1CE9"/>
    <w:rsid w:val="003F1FEB"/>
    <w:rsid w:val="003F272E"/>
    <w:rsid w:val="003F2FDD"/>
    <w:rsid w:val="003F3045"/>
    <w:rsid w:val="003F3877"/>
    <w:rsid w:val="003F4DF2"/>
    <w:rsid w:val="003F4E3D"/>
    <w:rsid w:val="003F5C85"/>
    <w:rsid w:val="004014CE"/>
    <w:rsid w:val="004018E6"/>
    <w:rsid w:val="004034E9"/>
    <w:rsid w:val="00403BBA"/>
    <w:rsid w:val="00405090"/>
    <w:rsid w:val="00405D38"/>
    <w:rsid w:val="004062EC"/>
    <w:rsid w:val="004117F7"/>
    <w:rsid w:val="004124A7"/>
    <w:rsid w:val="004133A2"/>
    <w:rsid w:val="00414008"/>
    <w:rsid w:val="00415836"/>
    <w:rsid w:val="00415DAA"/>
    <w:rsid w:val="004202F8"/>
    <w:rsid w:val="00421EDA"/>
    <w:rsid w:val="00422D6B"/>
    <w:rsid w:val="00424A36"/>
    <w:rsid w:val="00424B22"/>
    <w:rsid w:val="00424D70"/>
    <w:rsid w:val="0043235B"/>
    <w:rsid w:val="0043291B"/>
    <w:rsid w:val="00432A17"/>
    <w:rsid w:val="004350B8"/>
    <w:rsid w:val="00437F39"/>
    <w:rsid w:val="0044006F"/>
    <w:rsid w:val="00440739"/>
    <w:rsid w:val="00442D61"/>
    <w:rsid w:val="004430A1"/>
    <w:rsid w:val="004445F4"/>
    <w:rsid w:val="00444B8F"/>
    <w:rsid w:val="00445AEF"/>
    <w:rsid w:val="00445E2E"/>
    <w:rsid w:val="00446F8B"/>
    <w:rsid w:val="00451DE1"/>
    <w:rsid w:val="00451FE4"/>
    <w:rsid w:val="00452291"/>
    <w:rsid w:val="00452D29"/>
    <w:rsid w:val="004560F7"/>
    <w:rsid w:val="00456CB2"/>
    <w:rsid w:val="00457223"/>
    <w:rsid w:val="00457D1D"/>
    <w:rsid w:val="00460ECF"/>
    <w:rsid w:val="00462AC8"/>
    <w:rsid w:val="004651C5"/>
    <w:rsid w:val="0046552C"/>
    <w:rsid w:val="004706E9"/>
    <w:rsid w:val="004712C6"/>
    <w:rsid w:val="004719BE"/>
    <w:rsid w:val="00472E10"/>
    <w:rsid w:val="00473308"/>
    <w:rsid w:val="00474DFE"/>
    <w:rsid w:val="00474F6E"/>
    <w:rsid w:val="004756F9"/>
    <w:rsid w:val="00475DB5"/>
    <w:rsid w:val="00476027"/>
    <w:rsid w:val="0047609E"/>
    <w:rsid w:val="00476D25"/>
    <w:rsid w:val="00476DFB"/>
    <w:rsid w:val="00477EE1"/>
    <w:rsid w:val="00477F70"/>
    <w:rsid w:val="0048070D"/>
    <w:rsid w:val="0048348D"/>
    <w:rsid w:val="0048371B"/>
    <w:rsid w:val="00484E42"/>
    <w:rsid w:val="00485BBD"/>
    <w:rsid w:val="00486600"/>
    <w:rsid w:val="004875CE"/>
    <w:rsid w:val="00487A12"/>
    <w:rsid w:val="00494179"/>
    <w:rsid w:val="00494792"/>
    <w:rsid w:val="004950EE"/>
    <w:rsid w:val="0049511D"/>
    <w:rsid w:val="004953F8"/>
    <w:rsid w:val="0049603B"/>
    <w:rsid w:val="004962A2"/>
    <w:rsid w:val="00496E81"/>
    <w:rsid w:val="00497B28"/>
    <w:rsid w:val="004A0238"/>
    <w:rsid w:val="004A32AB"/>
    <w:rsid w:val="004B0B3E"/>
    <w:rsid w:val="004B0E72"/>
    <w:rsid w:val="004B26D2"/>
    <w:rsid w:val="004B3989"/>
    <w:rsid w:val="004B5C6B"/>
    <w:rsid w:val="004B714C"/>
    <w:rsid w:val="004B78D7"/>
    <w:rsid w:val="004C021F"/>
    <w:rsid w:val="004C0C47"/>
    <w:rsid w:val="004C15DF"/>
    <w:rsid w:val="004C2411"/>
    <w:rsid w:val="004C271F"/>
    <w:rsid w:val="004C2D12"/>
    <w:rsid w:val="004C43E1"/>
    <w:rsid w:val="004C6863"/>
    <w:rsid w:val="004C76C0"/>
    <w:rsid w:val="004D0F25"/>
    <w:rsid w:val="004D1053"/>
    <w:rsid w:val="004D1F1F"/>
    <w:rsid w:val="004D210F"/>
    <w:rsid w:val="004D2F0B"/>
    <w:rsid w:val="004D32A4"/>
    <w:rsid w:val="004D3C57"/>
    <w:rsid w:val="004D3E7B"/>
    <w:rsid w:val="004D40A7"/>
    <w:rsid w:val="004D4744"/>
    <w:rsid w:val="004D539D"/>
    <w:rsid w:val="004D59A3"/>
    <w:rsid w:val="004D5C53"/>
    <w:rsid w:val="004D60D4"/>
    <w:rsid w:val="004D7027"/>
    <w:rsid w:val="004D7451"/>
    <w:rsid w:val="004D7DF3"/>
    <w:rsid w:val="004E0345"/>
    <w:rsid w:val="004E20BF"/>
    <w:rsid w:val="004E229C"/>
    <w:rsid w:val="004E259E"/>
    <w:rsid w:val="004E2F12"/>
    <w:rsid w:val="004E31F6"/>
    <w:rsid w:val="004E5798"/>
    <w:rsid w:val="004E594B"/>
    <w:rsid w:val="004E5BEA"/>
    <w:rsid w:val="004E5F2A"/>
    <w:rsid w:val="004E6368"/>
    <w:rsid w:val="004E64A9"/>
    <w:rsid w:val="004F0408"/>
    <w:rsid w:val="004F0E19"/>
    <w:rsid w:val="004F18B5"/>
    <w:rsid w:val="004F2835"/>
    <w:rsid w:val="004F2BE6"/>
    <w:rsid w:val="004F2C61"/>
    <w:rsid w:val="004F3163"/>
    <w:rsid w:val="004F390C"/>
    <w:rsid w:val="004F492C"/>
    <w:rsid w:val="004F4B82"/>
    <w:rsid w:val="004F515F"/>
    <w:rsid w:val="004F51ED"/>
    <w:rsid w:val="004F53EC"/>
    <w:rsid w:val="004F5591"/>
    <w:rsid w:val="004F5A72"/>
    <w:rsid w:val="004F5EC2"/>
    <w:rsid w:val="004F69CA"/>
    <w:rsid w:val="00500409"/>
    <w:rsid w:val="005004F8"/>
    <w:rsid w:val="00503839"/>
    <w:rsid w:val="0050482E"/>
    <w:rsid w:val="00507390"/>
    <w:rsid w:val="005105E6"/>
    <w:rsid w:val="00512C02"/>
    <w:rsid w:val="00514163"/>
    <w:rsid w:val="005143CD"/>
    <w:rsid w:val="00515769"/>
    <w:rsid w:val="00515850"/>
    <w:rsid w:val="00515D58"/>
    <w:rsid w:val="0051667D"/>
    <w:rsid w:val="00516BDE"/>
    <w:rsid w:val="005200E9"/>
    <w:rsid w:val="00520F95"/>
    <w:rsid w:val="00521E21"/>
    <w:rsid w:val="0052270B"/>
    <w:rsid w:val="0052289A"/>
    <w:rsid w:val="00523262"/>
    <w:rsid w:val="005240E8"/>
    <w:rsid w:val="005257F3"/>
    <w:rsid w:val="00525E4A"/>
    <w:rsid w:val="0052643F"/>
    <w:rsid w:val="005268C2"/>
    <w:rsid w:val="00526C67"/>
    <w:rsid w:val="00527CDC"/>
    <w:rsid w:val="00530208"/>
    <w:rsid w:val="005335B6"/>
    <w:rsid w:val="00533942"/>
    <w:rsid w:val="005344C2"/>
    <w:rsid w:val="0053552C"/>
    <w:rsid w:val="005363A7"/>
    <w:rsid w:val="00540233"/>
    <w:rsid w:val="00540418"/>
    <w:rsid w:val="00540B35"/>
    <w:rsid w:val="00540D33"/>
    <w:rsid w:val="0054331C"/>
    <w:rsid w:val="005436CB"/>
    <w:rsid w:val="0054416F"/>
    <w:rsid w:val="00544489"/>
    <w:rsid w:val="005448CC"/>
    <w:rsid w:val="00545366"/>
    <w:rsid w:val="00545F1F"/>
    <w:rsid w:val="00545FCD"/>
    <w:rsid w:val="00546F72"/>
    <w:rsid w:val="00550685"/>
    <w:rsid w:val="00550C45"/>
    <w:rsid w:val="005510E7"/>
    <w:rsid w:val="005513B0"/>
    <w:rsid w:val="00552726"/>
    <w:rsid w:val="0055301A"/>
    <w:rsid w:val="00553025"/>
    <w:rsid w:val="00553722"/>
    <w:rsid w:val="005545A0"/>
    <w:rsid w:val="00555D88"/>
    <w:rsid w:val="00556C92"/>
    <w:rsid w:val="00556D08"/>
    <w:rsid w:val="0055774A"/>
    <w:rsid w:val="00557A64"/>
    <w:rsid w:val="0056078E"/>
    <w:rsid w:val="00561681"/>
    <w:rsid w:val="0056377D"/>
    <w:rsid w:val="00563B84"/>
    <w:rsid w:val="0056613C"/>
    <w:rsid w:val="00566858"/>
    <w:rsid w:val="00566F19"/>
    <w:rsid w:val="00567202"/>
    <w:rsid w:val="00570E8F"/>
    <w:rsid w:val="00571234"/>
    <w:rsid w:val="00572CB5"/>
    <w:rsid w:val="005741AA"/>
    <w:rsid w:val="005761BB"/>
    <w:rsid w:val="005763B6"/>
    <w:rsid w:val="00577615"/>
    <w:rsid w:val="00577829"/>
    <w:rsid w:val="0058013B"/>
    <w:rsid w:val="00582101"/>
    <w:rsid w:val="005832D1"/>
    <w:rsid w:val="00583EC5"/>
    <w:rsid w:val="0058405D"/>
    <w:rsid w:val="0058439C"/>
    <w:rsid w:val="0058564A"/>
    <w:rsid w:val="0058580F"/>
    <w:rsid w:val="00586177"/>
    <w:rsid w:val="005863F9"/>
    <w:rsid w:val="00587658"/>
    <w:rsid w:val="00587BC0"/>
    <w:rsid w:val="005905CB"/>
    <w:rsid w:val="005920AB"/>
    <w:rsid w:val="005938DE"/>
    <w:rsid w:val="00596214"/>
    <w:rsid w:val="005967C4"/>
    <w:rsid w:val="00597595"/>
    <w:rsid w:val="005A0405"/>
    <w:rsid w:val="005A173D"/>
    <w:rsid w:val="005A1A34"/>
    <w:rsid w:val="005A39D1"/>
    <w:rsid w:val="005A3A5C"/>
    <w:rsid w:val="005A4F6B"/>
    <w:rsid w:val="005A5022"/>
    <w:rsid w:val="005A5679"/>
    <w:rsid w:val="005A61B0"/>
    <w:rsid w:val="005A667A"/>
    <w:rsid w:val="005A6F87"/>
    <w:rsid w:val="005A761F"/>
    <w:rsid w:val="005A773F"/>
    <w:rsid w:val="005A7774"/>
    <w:rsid w:val="005B0892"/>
    <w:rsid w:val="005B25C4"/>
    <w:rsid w:val="005B2B1A"/>
    <w:rsid w:val="005B369D"/>
    <w:rsid w:val="005B3921"/>
    <w:rsid w:val="005B4AE2"/>
    <w:rsid w:val="005B4B37"/>
    <w:rsid w:val="005B646D"/>
    <w:rsid w:val="005B68EE"/>
    <w:rsid w:val="005B6B7D"/>
    <w:rsid w:val="005B784B"/>
    <w:rsid w:val="005B7FE4"/>
    <w:rsid w:val="005C0A0A"/>
    <w:rsid w:val="005C26E6"/>
    <w:rsid w:val="005C2F44"/>
    <w:rsid w:val="005C3178"/>
    <w:rsid w:val="005C3734"/>
    <w:rsid w:val="005C5CC9"/>
    <w:rsid w:val="005C5FC0"/>
    <w:rsid w:val="005D054C"/>
    <w:rsid w:val="005D1E66"/>
    <w:rsid w:val="005D404D"/>
    <w:rsid w:val="005D48D6"/>
    <w:rsid w:val="005D4F06"/>
    <w:rsid w:val="005D5602"/>
    <w:rsid w:val="005D64DF"/>
    <w:rsid w:val="005D73D3"/>
    <w:rsid w:val="005E1352"/>
    <w:rsid w:val="005E1CCD"/>
    <w:rsid w:val="005E1E99"/>
    <w:rsid w:val="005E230A"/>
    <w:rsid w:val="005E2BED"/>
    <w:rsid w:val="005E3045"/>
    <w:rsid w:val="005E51BB"/>
    <w:rsid w:val="005E7B9F"/>
    <w:rsid w:val="005F16BD"/>
    <w:rsid w:val="005F1959"/>
    <w:rsid w:val="005F2C3D"/>
    <w:rsid w:val="005F2FBA"/>
    <w:rsid w:val="005F42F5"/>
    <w:rsid w:val="005F471C"/>
    <w:rsid w:val="005F56A4"/>
    <w:rsid w:val="00601011"/>
    <w:rsid w:val="006011D6"/>
    <w:rsid w:val="006022A4"/>
    <w:rsid w:val="00602AB5"/>
    <w:rsid w:val="00604B22"/>
    <w:rsid w:val="00606A9A"/>
    <w:rsid w:val="00606FC9"/>
    <w:rsid w:val="0060773E"/>
    <w:rsid w:val="00611F29"/>
    <w:rsid w:val="00612637"/>
    <w:rsid w:val="00612979"/>
    <w:rsid w:val="00613335"/>
    <w:rsid w:val="00613451"/>
    <w:rsid w:val="00613FDD"/>
    <w:rsid w:val="0061488B"/>
    <w:rsid w:val="0061543B"/>
    <w:rsid w:val="00615B9B"/>
    <w:rsid w:val="00616B09"/>
    <w:rsid w:val="006212DA"/>
    <w:rsid w:val="0062137E"/>
    <w:rsid w:val="006215CD"/>
    <w:rsid w:val="006255EB"/>
    <w:rsid w:val="00625832"/>
    <w:rsid w:val="006261C8"/>
    <w:rsid w:val="006278B4"/>
    <w:rsid w:val="0063240E"/>
    <w:rsid w:val="006326FF"/>
    <w:rsid w:val="0063277E"/>
    <w:rsid w:val="00633013"/>
    <w:rsid w:val="00633979"/>
    <w:rsid w:val="00634099"/>
    <w:rsid w:val="006348B5"/>
    <w:rsid w:val="0063504E"/>
    <w:rsid w:val="006369EA"/>
    <w:rsid w:val="0063797B"/>
    <w:rsid w:val="00642556"/>
    <w:rsid w:val="0064290E"/>
    <w:rsid w:val="00642C7B"/>
    <w:rsid w:val="00642CA1"/>
    <w:rsid w:val="00643A23"/>
    <w:rsid w:val="0064436D"/>
    <w:rsid w:val="006444E7"/>
    <w:rsid w:val="006466C8"/>
    <w:rsid w:val="00646735"/>
    <w:rsid w:val="00651595"/>
    <w:rsid w:val="00651A25"/>
    <w:rsid w:val="006530CB"/>
    <w:rsid w:val="006561AA"/>
    <w:rsid w:val="00656597"/>
    <w:rsid w:val="00656DD3"/>
    <w:rsid w:val="00657C3B"/>
    <w:rsid w:val="00660236"/>
    <w:rsid w:val="006607DB"/>
    <w:rsid w:val="00660FBB"/>
    <w:rsid w:val="0066155C"/>
    <w:rsid w:val="00661AA8"/>
    <w:rsid w:val="00663204"/>
    <w:rsid w:val="00663F83"/>
    <w:rsid w:val="0066428C"/>
    <w:rsid w:val="00664770"/>
    <w:rsid w:val="006658F8"/>
    <w:rsid w:val="00666590"/>
    <w:rsid w:val="00666FBE"/>
    <w:rsid w:val="0067038C"/>
    <w:rsid w:val="006703C0"/>
    <w:rsid w:val="00671DD2"/>
    <w:rsid w:val="00673BDD"/>
    <w:rsid w:val="00674FC8"/>
    <w:rsid w:val="0068152C"/>
    <w:rsid w:val="0068292F"/>
    <w:rsid w:val="00682D40"/>
    <w:rsid w:val="0068336E"/>
    <w:rsid w:val="00684AF9"/>
    <w:rsid w:val="006852E0"/>
    <w:rsid w:val="00685437"/>
    <w:rsid w:val="00685E91"/>
    <w:rsid w:val="00686A1B"/>
    <w:rsid w:val="00687309"/>
    <w:rsid w:val="006878BA"/>
    <w:rsid w:val="00690044"/>
    <w:rsid w:val="00690635"/>
    <w:rsid w:val="00693454"/>
    <w:rsid w:val="00695378"/>
    <w:rsid w:val="00696084"/>
    <w:rsid w:val="006966B5"/>
    <w:rsid w:val="00696925"/>
    <w:rsid w:val="006A075A"/>
    <w:rsid w:val="006A0A4C"/>
    <w:rsid w:val="006A1428"/>
    <w:rsid w:val="006A366F"/>
    <w:rsid w:val="006A3781"/>
    <w:rsid w:val="006A4646"/>
    <w:rsid w:val="006A53AB"/>
    <w:rsid w:val="006A5A50"/>
    <w:rsid w:val="006A5B88"/>
    <w:rsid w:val="006A7506"/>
    <w:rsid w:val="006A7DDE"/>
    <w:rsid w:val="006A7FF8"/>
    <w:rsid w:val="006B0DF8"/>
    <w:rsid w:val="006B14B0"/>
    <w:rsid w:val="006B27E7"/>
    <w:rsid w:val="006B3314"/>
    <w:rsid w:val="006B3AC9"/>
    <w:rsid w:val="006B4CCD"/>
    <w:rsid w:val="006B4E5C"/>
    <w:rsid w:val="006B7498"/>
    <w:rsid w:val="006B7762"/>
    <w:rsid w:val="006C00AA"/>
    <w:rsid w:val="006C4FF6"/>
    <w:rsid w:val="006C63CD"/>
    <w:rsid w:val="006C7375"/>
    <w:rsid w:val="006C794C"/>
    <w:rsid w:val="006D0919"/>
    <w:rsid w:val="006D10EC"/>
    <w:rsid w:val="006D1BF3"/>
    <w:rsid w:val="006D390A"/>
    <w:rsid w:val="006D39EE"/>
    <w:rsid w:val="006D65C2"/>
    <w:rsid w:val="006D6E46"/>
    <w:rsid w:val="006D72F6"/>
    <w:rsid w:val="006D7C86"/>
    <w:rsid w:val="006E1E43"/>
    <w:rsid w:val="006E259C"/>
    <w:rsid w:val="006E2F52"/>
    <w:rsid w:val="006E39C8"/>
    <w:rsid w:val="006E6EA9"/>
    <w:rsid w:val="006E6FF2"/>
    <w:rsid w:val="006F2389"/>
    <w:rsid w:val="006F25F9"/>
    <w:rsid w:val="006F2829"/>
    <w:rsid w:val="006F2C67"/>
    <w:rsid w:val="006F2FDC"/>
    <w:rsid w:val="006F362F"/>
    <w:rsid w:val="006F6526"/>
    <w:rsid w:val="006F6E4A"/>
    <w:rsid w:val="00700226"/>
    <w:rsid w:val="00704169"/>
    <w:rsid w:val="00705BDC"/>
    <w:rsid w:val="007062E8"/>
    <w:rsid w:val="00706609"/>
    <w:rsid w:val="007121E5"/>
    <w:rsid w:val="007132E1"/>
    <w:rsid w:val="00713EC7"/>
    <w:rsid w:val="007152C5"/>
    <w:rsid w:val="007166E0"/>
    <w:rsid w:val="0072020B"/>
    <w:rsid w:val="007203F5"/>
    <w:rsid w:val="00724019"/>
    <w:rsid w:val="007260E8"/>
    <w:rsid w:val="00726327"/>
    <w:rsid w:val="00726EB9"/>
    <w:rsid w:val="007270D8"/>
    <w:rsid w:val="00727DB0"/>
    <w:rsid w:val="00730EE6"/>
    <w:rsid w:val="00730EFB"/>
    <w:rsid w:val="007322E3"/>
    <w:rsid w:val="00733EE8"/>
    <w:rsid w:val="007345D7"/>
    <w:rsid w:val="00735047"/>
    <w:rsid w:val="00735A86"/>
    <w:rsid w:val="007365D3"/>
    <w:rsid w:val="00736F10"/>
    <w:rsid w:val="007404D4"/>
    <w:rsid w:val="007407F8"/>
    <w:rsid w:val="007419E4"/>
    <w:rsid w:val="00741D43"/>
    <w:rsid w:val="007424C4"/>
    <w:rsid w:val="007444AB"/>
    <w:rsid w:val="00744A5D"/>
    <w:rsid w:val="0074546E"/>
    <w:rsid w:val="007462AD"/>
    <w:rsid w:val="007478BD"/>
    <w:rsid w:val="00751C33"/>
    <w:rsid w:val="00752C97"/>
    <w:rsid w:val="00753B84"/>
    <w:rsid w:val="00754BD3"/>
    <w:rsid w:val="00754DA5"/>
    <w:rsid w:val="007568E6"/>
    <w:rsid w:val="00756D74"/>
    <w:rsid w:val="00756F73"/>
    <w:rsid w:val="00757D5A"/>
    <w:rsid w:val="00760E38"/>
    <w:rsid w:val="0076121E"/>
    <w:rsid w:val="007619DB"/>
    <w:rsid w:val="00762A62"/>
    <w:rsid w:val="00763474"/>
    <w:rsid w:val="00763C23"/>
    <w:rsid w:val="00763F83"/>
    <w:rsid w:val="007640C7"/>
    <w:rsid w:val="00765D2D"/>
    <w:rsid w:val="00766279"/>
    <w:rsid w:val="007669B4"/>
    <w:rsid w:val="00767A54"/>
    <w:rsid w:val="00767DED"/>
    <w:rsid w:val="00770328"/>
    <w:rsid w:val="007712B2"/>
    <w:rsid w:val="00771F48"/>
    <w:rsid w:val="00771FF4"/>
    <w:rsid w:val="0077228B"/>
    <w:rsid w:val="00772788"/>
    <w:rsid w:val="00772858"/>
    <w:rsid w:val="00773021"/>
    <w:rsid w:val="0077392A"/>
    <w:rsid w:val="0077427C"/>
    <w:rsid w:val="00775479"/>
    <w:rsid w:val="00780752"/>
    <w:rsid w:val="0078290B"/>
    <w:rsid w:val="00782C20"/>
    <w:rsid w:val="00784928"/>
    <w:rsid w:val="00785499"/>
    <w:rsid w:val="00785D5A"/>
    <w:rsid w:val="00787436"/>
    <w:rsid w:val="00792EB4"/>
    <w:rsid w:val="00792FB5"/>
    <w:rsid w:val="007936D9"/>
    <w:rsid w:val="00794194"/>
    <w:rsid w:val="00794472"/>
    <w:rsid w:val="00795260"/>
    <w:rsid w:val="007957C5"/>
    <w:rsid w:val="0079588E"/>
    <w:rsid w:val="00795D75"/>
    <w:rsid w:val="007970BD"/>
    <w:rsid w:val="00797C91"/>
    <w:rsid w:val="007A2E70"/>
    <w:rsid w:val="007A5CE5"/>
    <w:rsid w:val="007A6A5B"/>
    <w:rsid w:val="007A7E33"/>
    <w:rsid w:val="007B054F"/>
    <w:rsid w:val="007B0D5B"/>
    <w:rsid w:val="007B1A91"/>
    <w:rsid w:val="007B26F7"/>
    <w:rsid w:val="007B3371"/>
    <w:rsid w:val="007B5DB4"/>
    <w:rsid w:val="007B6803"/>
    <w:rsid w:val="007C11C0"/>
    <w:rsid w:val="007C28F4"/>
    <w:rsid w:val="007C6AD3"/>
    <w:rsid w:val="007C7D19"/>
    <w:rsid w:val="007D2B02"/>
    <w:rsid w:val="007D2C24"/>
    <w:rsid w:val="007D311B"/>
    <w:rsid w:val="007D5896"/>
    <w:rsid w:val="007D58CB"/>
    <w:rsid w:val="007D6565"/>
    <w:rsid w:val="007E0179"/>
    <w:rsid w:val="007E0546"/>
    <w:rsid w:val="007E31E7"/>
    <w:rsid w:val="007E4BBE"/>
    <w:rsid w:val="007E4E42"/>
    <w:rsid w:val="007E7236"/>
    <w:rsid w:val="007E796F"/>
    <w:rsid w:val="007F0753"/>
    <w:rsid w:val="007F0815"/>
    <w:rsid w:val="007F135D"/>
    <w:rsid w:val="007F1F14"/>
    <w:rsid w:val="007F2863"/>
    <w:rsid w:val="007F3984"/>
    <w:rsid w:val="007F3B52"/>
    <w:rsid w:val="007F40FE"/>
    <w:rsid w:val="007F5225"/>
    <w:rsid w:val="007F60A6"/>
    <w:rsid w:val="007F6CED"/>
    <w:rsid w:val="007F70B6"/>
    <w:rsid w:val="007F77DB"/>
    <w:rsid w:val="007F7D54"/>
    <w:rsid w:val="00801283"/>
    <w:rsid w:val="00802120"/>
    <w:rsid w:val="00802C2E"/>
    <w:rsid w:val="00802D7E"/>
    <w:rsid w:val="0080338E"/>
    <w:rsid w:val="008053E0"/>
    <w:rsid w:val="00806A52"/>
    <w:rsid w:val="00807782"/>
    <w:rsid w:val="00807D76"/>
    <w:rsid w:val="00810950"/>
    <w:rsid w:val="00810C4C"/>
    <w:rsid w:val="0081211D"/>
    <w:rsid w:val="00812279"/>
    <w:rsid w:val="00813016"/>
    <w:rsid w:val="00813895"/>
    <w:rsid w:val="00813991"/>
    <w:rsid w:val="008154B0"/>
    <w:rsid w:val="00815C00"/>
    <w:rsid w:val="00816266"/>
    <w:rsid w:val="0081730B"/>
    <w:rsid w:val="00817C61"/>
    <w:rsid w:val="00820322"/>
    <w:rsid w:val="00820FA9"/>
    <w:rsid w:val="008212BF"/>
    <w:rsid w:val="0082193C"/>
    <w:rsid w:val="00821BF9"/>
    <w:rsid w:val="0082378A"/>
    <w:rsid w:val="00824BDC"/>
    <w:rsid w:val="00825AC1"/>
    <w:rsid w:val="00826A7D"/>
    <w:rsid w:val="00826E33"/>
    <w:rsid w:val="00826E59"/>
    <w:rsid w:val="00831E58"/>
    <w:rsid w:val="0083259F"/>
    <w:rsid w:val="00832908"/>
    <w:rsid w:val="00833025"/>
    <w:rsid w:val="008353B1"/>
    <w:rsid w:val="00835424"/>
    <w:rsid w:val="00835629"/>
    <w:rsid w:val="008370CF"/>
    <w:rsid w:val="0084003A"/>
    <w:rsid w:val="00841225"/>
    <w:rsid w:val="00841849"/>
    <w:rsid w:val="008448B2"/>
    <w:rsid w:val="0084523B"/>
    <w:rsid w:val="008479BF"/>
    <w:rsid w:val="0085021B"/>
    <w:rsid w:val="00850C71"/>
    <w:rsid w:val="00850EA3"/>
    <w:rsid w:val="00851A7B"/>
    <w:rsid w:val="008532E6"/>
    <w:rsid w:val="0085676F"/>
    <w:rsid w:val="00857F8F"/>
    <w:rsid w:val="0086038F"/>
    <w:rsid w:val="00861112"/>
    <w:rsid w:val="00861973"/>
    <w:rsid w:val="00861AFA"/>
    <w:rsid w:val="00861D84"/>
    <w:rsid w:val="00862D7D"/>
    <w:rsid w:val="00864A13"/>
    <w:rsid w:val="00871AD7"/>
    <w:rsid w:val="00872904"/>
    <w:rsid w:val="0087450E"/>
    <w:rsid w:val="00874CB2"/>
    <w:rsid w:val="00874D0D"/>
    <w:rsid w:val="00876335"/>
    <w:rsid w:val="008778FE"/>
    <w:rsid w:val="00877EC9"/>
    <w:rsid w:val="0088173D"/>
    <w:rsid w:val="00882AFC"/>
    <w:rsid w:val="008830EE"/>
    <w:rsid w:val="008832E7"/>
    <w:rsid w:val="008835C7"/>
    <w:rsid w:val="00885AA5"/>
    <w:rsid w:val="00886F96"/>
    <w:rsid w:val="00890016"/>
    <w:rsid w:val="0089060F"/>
    <w:rsid w:val="00892024"/>
    <w:rsid w:val="00892628"/>
    <w:rsid w:val="00893D09"/>
    <w:rsid w:val="0089482B"/>
    <w:rsid w:val="00895E82"/>
    <w:rsid w:val="008966D7"/>
    <w:rsid w:val="008A085E"/>
    <w:rsid w:val="008A269B"/>
    <w:rsid w:val="008A306A"/>
    <w:rsid w:val="008A5125"/>
    <w:rsid w:val="008A6756"/>
    <w:rsid w:val="008B0359"/>
    <w:rsid w:val="008B0979"/>
    <w:rsid w:val="008B1764"/>
    <w:rsid w:val="008B1A96"/>
    <w:rsid w:val="008B2613"/>
    <w:rsid w:val="008B3150"/>
    <w:rsid w:val="008B3333"/>
    <w:rsid w:val="008B3EEE"/>
    <w:rsid w:val="008B482A"/>
    <w:rsid w:val="008B58DC"/>
    <w:rsid w:val="008B5C25"/>
    <w:rsid w:val="008B6651"/>
    <w:rsid w:val="008B764E"/>
    <w:rsid w:val="008C0B72"/>
    <w:rsid w:val="008C2425"/>
    <w:rsid w:val="008C24F7"/>
    <w:rsid w:val="008C26C6"/>
    <w:rsid w:val="008C4325"/>
    <w:rsid w:val="008C486C"/>
    <w:rsid w:val="008C6566"/>
    <w:rsid w:val="008C677D"/>
    <w:rsid w:val="008C721C"/>
    <w:rsid w:val="008D0651"/>
    <w:rsid w:val="008D0D31"/>
    <w:rsid w:val="008D1C38"/>
    <w:rsid w:val="008D223A"/>
    <w:rsid w:val="008D299B"/>
    <w:rsid w:val="008D2AED"/>
    <w:rsid w:val="008D2BBD"/>
    <w:rsid w:val="008D4A5B"/>
    <w:rsid w:val="008D4C6C"/>
    <w:rsid w:val="008D4CCC"/>
    <w:rsid w:val="008D5E42"/>
    <w:rsid w:val="008D6672"/>
    <w:rsid w:val="008E063C"/>
    <w:rsid w:val="008E165C"/>
    <w:rsid w:val="008E2BDC"/>
    <w:rsid w:val="008E4076"/>
    <w:rsid w:val="008E423E"/>
    <w:rsid w:val="008E4671"/>
    <w:rsid w:val="008E532B"/>
    <w:rsid w:val="008E55C2"/>
    <w:rsid w:val="008E5751"/>
    <w:rsid w:val="008E5E80"/>
    <w:rsid w:val="008E6A11"/>
    <w:rsid w:val="008E6E88"/>
    <w:rsid w:val="008E6FC1"/>
    <w:rsid w:val="008E7100"/>
    <w:rsid w:val="008E7563"/>
    <w:rsid w:val="008F1981"/>
    <w:rsid w:val="008F34CD"/>
    <w:rsid w:val="008F680F"/>
    <w:rsid w:val="008F7123"/>
    <w:rsid w:val="008F783F"/>
    <w:rsid w:val="008F7A4E"/>
    <w:rsid w:val="008F7B7E"/>
    <w:rsid w:val="009023EC"/>
    <w:rsid w:val="00902A56"/>
    <w:rsid w:val="0090420C"/>
    <w:rsid w:val="009047CE"/>
    <w:rsid w:val="00904B4A"/>
    <w:rsid w:val="009052DC"/>
    <w:rsid w:val="00905A82"/>
    <w:rsid w:val="0090633C"/>
    <w:rsid w:val="00912984"/>
    <w:rsid w:val="00912DCC"/>
    <w:rsid w:val="00913F77"/>
    <w:rsid w:val="0091418C"/>
    <w:rsid w:val="0091437B"/>
    <w:rsid w:val="00915CB3"/>
    <w:rsid w:val="0092013C"/>
    <w:rsid w:val="0092219B"/>
    <w:rsid w:val="009225AE"/>
    <w:rsid w:val="0092364E"/>
    <w:rsid w:val="00924588"/>
    <w:rsid w:val="009246CB"/>
    <w:rsid w:val="0092626E"/>
    <w:rsid w:val="00927AE1"/>
    <w:rsid w:val="00930042"/>
    <w:rsid w:val="009311BF"/>
    <w:rsid w:val="00931732"/>
    <w:rsid w:val="0093453B"/>
    <w:rsid w:val="0093651B"/>
    <w:rsid w:val="00936A2C"/>
    <w:rsid w:val="00936F15"/>
    <w:rsid w:val="009404DF"/>
    <w:rsid w:val="00940697"/>
    <w:rsid w:val="00940FCF"/>
    <w:rsid w:val="009415C0"/>
    <w:rsid w:val="00941CAD"/>
    <w:rsid w:val="0094286C"/>
    <w:rsid w:val="00943265"/>
    <w:rsid w:val="00944571"/>
    <w:rsid w:val="00945D75"/>
    <w:rsid w:val="00946021"/>
    <w:rsid w:val="0094619C"/>
    <w:rsid w:val="0094633C"/>
    <w:rsid w:val="00951053"/>
    <w:rsid w:val="009510FB"/>
    <w:rsid w:val="00951D48"/>
    <w:rsid w:val="009524CA"/>
    <w:rsid w:val="00952519"/>
    <w:rsid w:val="0095298A"/>
    <w:rsid w:val="00952A47"/>
    <w:rsid w:val="009533B7"/>
    <w:rsid w:val="009539C3"/>
    <w:rsid w:val="009541D7"/>
    <w:rsid w:val="0095427D"/>
    <w:rsid w:val="00954512"/>
    <w:rsid w:val="009553F9"/>
    <w:rsid w:val="00955425"/>
    <w:rsid w:val="009579FC"/>
    <w:rsid w:val="0096092E"/>
    <w:rsid w:val="00960DCC"/>
    <w:rsid w:val="00961FA9"/>
    <w:rsid w:val="009626A2"/>
    <w:rsid w:val="00963A7F"/>
    <w:rsid w:val="00964001"/>
    <w:rsid w:val="009653D2"/>
    <w:rsid w:val="00965F19"/>
    <w:rsid w:val="009664E8"/>
    <w:rsid w:val="00971157"/>
    <w:rsid w:val="009716DC"/>
    <w:rsid w:val="00972800"/>
    <w:rsid w:val="00972FD1"/>
    <w:rsid w:val="009737A2"/>
    <w:rsid w:val="00974A6F"/>
    <w:rsid w:val="0097669D"/>
    <w:rsid w:val="00976D89"/>
    <w:rsid w:val="00977233"/>
    <w:rsid w:val="009802F1"/>
    <w:rsid w:val="00980555"/>
    <w:rsid w:val="00980FB7"/>
    <w:rsid w:val="00981017"/>
    <w:rsid w:val="00982993"/>
    <w:rsid w:val="00983557"/>
    <w:rsid w:val="00984035"/>
    <w:rsid w:val="00986D52"/>
    <w:rsid w:val="00987261"/>
    <w:rsid w:val="009874F2"/>
    <w:rsid w:val="009879BC"/>
    <w:rsid w:val="00987FE1"/>
    <w:rsid w:val="009922DF"/>
    <w:rsid w:val="0099235B"/>
    <w:rsid w:val="0099244B"/>
    <w:rsid w:val="00992788"/>
    <w:rsid w:val="009945C6"/>
    <w:rsid w:val="0099541A"/>
    <w:rsid w:val="00995489"/>
    <w:rsid w:val="009956C9"/>
    <w:rsid w:val="0099589F"/>
    <w:rsid w:val="00996613"/>
    <w:rsid w:val="00997826"/>
    <w:rsid w:val="009A1002"/>
    <w:rsid w:val="009A120F"/>
    <w:rsid w:val="009A14E0"/>
    <w:rsid w:val="009A2DB6"/>
    <w:rsid w:val="009A3492"/>
    <w:rsid w:val="009A42CD"/>
    <w:rsid w:val="009A70B5"/>
    <w:rsid w:val="009A7689"/>
    <w:rsid w:val="009B0A7F"/>
    <w:rsid w:val="009B35EF"/>
    <w:rsid w:val="009B4CE8"/>
    <w:rsid w:val="009B6D2C"/>
    <w:rsid w:val="009B73B9"/>
    <w:rsid w:val="009C0AA0"/>
    <w:rsid w:val="009C1DD6"/>
    <w:rsid w:val="009C2121"/>
    <w:rsid w:val="009C2CC0"/>
    <w:rsid w:val="009C40CA"/>
    <w:rsid w:val="009C4CB8"/>
    <w:rsid w:val="009C5614"/>
    <w:rsid w:val="009C5FDA"/>
    <w:rsid w:val="009C6B24"/>
    <w:rsid w:val="009C6F76"/>
    <w:rsid w:val="009C78BD"/>
    <w:rsid w:val="009D23B3"/>
    <w:rsid w:val="009D2D3E"/>
    <w:rsid w:val="009D3D73"/>
    <w:rsid w:val="009D4363"/>
    <w:rsid w:val="009D45D0"/>
    <w:rsid w:val="009D553F"/>
    <w:rsid w:val="009D5BF8"/>
    <w:rsid w:val="009D7089"/>
    <w:rsid w:val="009E28C2"/>
    <w:rsid w:val="009E33EA"/>
    <w:rsid w:val="009E3734"/>
    <w:rsid w:val="009E5208"/>
    <w:rsid w:val="009E5362"/>
    <w:rsid w:val="009E5383"/>
    <w:rsid w:val="009E56B6"/>
    <w:rsid w:val="009E5CBC"/>
    <w:rsid w:val="009E5D84"/>
    <w:rsid w:val="009E68DC"/>
    <w:rsid w:val="009E6AB8"/>
    <w:rsid w:val="009E6AC6"/>
    <w:rsid w:val="009E72A3"/>
    <w:rsid w:val="009E736E"/>
    <w:rsid w:val="009E779B"/>
    <w:rsid w:val="009F010D"/>
    <w:rsid w:val="009F0288"/>
    <w:rsid w:val="009F0682"/>
    <w:rsid w:val="009F1C1B"/>
    <w:rsid w:val="009F2782"/>
    <w:rsid w:val="009F417B"/>
    <w:rsid w:val="009F64A0"/>
    <w:rsid w:val="009F7236"/>
    <w:rsid w:val="009F7843"/>
    <w:rsid w:val="00A01D4A"/>
    <w:rsid w:val="00A04613"/>
    <w:rsid w:val="00A04E53"/>
    <w:rsid w:val="00A1107A"/>
    <w:rsid w:val="00A117EF"/>
    <w:rsid w:val="00A11BF5"/>
    <w:rsid w:val="00A12070"/>
    <w:rsid w:val="00A12199"/>
    <w:rsid w:val="00A129BE"/>
    <w:rsid w:val="00A12F71"/>
    <w:rsid w:val="00A130F4"/>
    <w:rsid w:val="00A16403"/>
    <w:rsid w:val="00A1752B"/>
    <w:rsid w:val="00A17AEF"/>
    <w:rsid w:val="00A17E87"/>
    <w:rsid w:val="00A22678"/>
    <w:rsid w:val="00A243D5"/>
    <w:rsid w:val="00A24657"/>
    <w:rsid w:val="00A24BAD"/>
    <w:rsid w:val="00A251AD"/>
    <w:rsid w:val="00A25644"/>
    <w:rsid w:val="00A2640B"/>
    <w:rsid w:val="00A2680A"/>
    <w:rsid w:val="00A274CE"/>
    <w:rsid w:val="00A32368"/>
    <w:rsid w:val="00A32B6F"/>
    <w:rsid w:val="00A33072"/>
    <w:rsid w:val="00A33EC3"/>
    <w:rsid w:val="00A342EC"/>
    <w:rsid w:val="00A3632E"/>
    <w:rsid w:val="00A37696"/>
    <w:rsid w:val="00A37753"/>
    <w:rsid w:val="00A37BBE"/>
    <w:rsid w:val="00A37E84"/>
    <w:rsid w:val="00A407C6"/>
    <w:rsid w:val="00A4149F"/>
    <w:rsid w:val="00A41C56"/>
    <w:rsid w:val="00A41DAD"/>
    <w:rsid w:val="00A42054"/>
    <w:rsid w:val="00A436ED"/>
    <w:rsid w:val="00A4396D"/>
    <w:rsid w:val="00A43CBC"/>
    <w:rsid w:val="00A476EA"/>
    <w:rsid w:val="00A51265"/>
    <w:rsid w:val="00A51576"/>
    <w:rsid w:val="00A52AFF"/>
    <w:rsid w:val="00A53D24"/>
    <w:rsid w:val="00A55DFD"/>
    <w:rsid w:val="00A56A61"/>
    <w:rsid w:val="00A614D7"/>
    <w:rsid w:val="00A6173A"/>
    <w:rsid w:val="00A61CF1"/>
    <w:rsid w:val="00A632C6"/>
    <w:rsid w:val="00A64075"/>
    <w:rsid w:val="00A647A6"/>
    <w:rsid w:val="00A6718D"/>
    <w:rsid w:val="00A71BB5"/>
    <w:rsid w:val="00A71C72"/>
    <w:rsid w:val="00A72C79"/>
    <w:rsid w:val="00A73695"/>
    <w:rsid w:val="00A73D49"/>
    <w:rsid w:val="00A75569"/>
    <w:rsid w:val="00A763B5"/>
    <w:rsid w:val="00A76DB9"/>
    <w:rsid w:val="00A8074C"/>
    <w:rsid w:val="00A8270E"/>
    <w:rsid w:val="00A84632"/>
    <w:rsid w:val="00A84AFD"/>
    <w:rsid w:val="00A86D70"/>
    <w:rsid w:val="00A86F1F"/>
    <w:rsid w:val="00A87799"/>
    <w:rsid w:val="00A902FD"/>
    <w:rsid w:val="00A93384"/>
    <w:rsid w:val="00A955C3"/>
    <w:rsid w:val="00AA029E"/>
    <w:rsid w:val="00AA048E"/>
    <w:rsid w:val="00AA16A3"/>
    <w:rsid w:val="00AA1880"/>
    <w:rsid w:val="00AA1B61"/>
    <w:rsid w:val="00AA1E8A"/>
    <w:rsid w:val="00AA1F91"/>
    <w:rsid w:val="00AA4A95"/>
    <w:rsid w:val="00AB0501"/>
    <w:rsid w:val="00AB0D99"/>
    <w:rsid w:val="00AB1F30"/>
    <w:rsid w:val="00AB424A"/>
    <w:rsid w:val="00AB4530"/>
    <w:rsid w:val="00AB48F7"/>
    <w:rsid w:val="00AB6C99"/>
    <w:rsid w:val="00AB7932"/>
    <w:rsid w:val="00AC041F"/>
    <w:rsid w:val="00AC0E2F"/>
    <w:rsid w:val="00AC38CD"/>
    <w:rsid w:val="00AC38F5"/>
    <w:rsid w:val="00AC3FCC"/>
    <w:rsid w:val="00AC51B9"/>
    <w:rsid w:val="00AC5DA7"/>
    <w:rsid w:val="00AC624F"/>
    <w:rsid w:val="00AD04E6"/>
    <w:rsid w:val="00AD09A9"/>
    <w:rsid w:val="00AD11D9"/>
    <w:rsid w:val="00AD129E"/>
    <w:rsid w:val="00AD19F8"/>
    <w:rsid w:val="00AD3BE9"/>
    <w:rsid w:val="00AD3D25"/>
    <w:rsid w:val="00AD47C0"/>
    <w:rsid w:val="00AD48D1"/>
    <w:rsid w:val="00AD4EDE"/>
    <w:rsid w:val="00AD565D"/>
    <w:rsid w:val="00AD6D77"/>
    <w:rsid w:val="00AE08F3"/>
    <w:rsid w:val="00AE0F11"/>
    <w:rsid w:val="00AE25F3"/>
    <w:rsid w:val="00AE3759"/>
    <w:rsid w:val="00AE3787"/>
    <w:rsid w:val="00AE4E14"/>
    <w:rsid w:val="00AE5449"/>
    <w:rsid w:val="00AE55B5"/>
    <w:rsid w:val="00AE606B"/>
    <w:rsid w:val="00AF0362"/>
    <w:rsid w:val="00AF075A"/>
    <w:rsid w:val="00AF2057"/>
    <w:rsid w:val="00AF2F5D"/>
    <w:rsid w:val="00AF70B1"/>
    <w:rsid w:val="00B01137"/>
    <w:rsid w:val="00B01C15"/>
    <w:rsid w:val="00B029F1"/>
    <w:rsid w:val="00B031F1"/>
    <w:rsid w:val="00B034B9"/>
    <w:rsid w:val="00B03D25"/>
    <w:rsid w:val="00B054C2"/>
    <w:rsid w:val="00B0697D"/>
    <w:rsid w:val="00B06C59"/>
    <w:rsid w:val="00B10A1B"/>
    <w:rsid w:val="00B129AD"/>
    <w:rsid w:val="00B13883"/>
    <w:rsid w:val="00B13C7E"/>
    <w:rsid w:val="00B14904"/>
    <w:rsid w:val="00B14D73"/>
    <w:rsid w:val="00B1696D"/>
    <w:rsid w:val="00B202C1"/>
    <w:rsid w:val="00B20B94"/>
    <w:rsid w:val="00B21DFB"/>
    <w:rsid w:val="00B24D2F"/>
    <w:rsid w:val="00B24E03"/>
    <w:rsid w:val="00B2594A"/>
    <w:rsid w:val="00B27E87"/>
    <w:rsid w:val="00B30A61"/>
    <w:rsid w:val="00B30B85"/>
    <w:rsid w:val="00B31D55"/>
    <w:rsid w:val="00B31DD8"/>
    <w:rsid w:val="00B32FDF"/>
    <w:rsid w:val="00B33955"/>
    <w:rsid w:val="00B359D5"/>
    <w:rsid w:val="00B3622D"/>
    <w:rsid w:val="00B36F5A"/>
    <w:rsid w:val="00B36FAC"/>
    <w:rsid w:val="00B37D15"/>
    <w:rsid w:val="00B40D3E"/>
    <w:rsid w:val="00B41AC8"/>
    <w:rsid w:val="00B42E9A"/>
    <w:rsid w:val="00B43999"/>
    <w:rsid w:val="00B43AD6"/>
    <w:rsid w:val="00B4433C"/>
    <w:rsid w:val="00B44B07"/>
    <w:rsid w:val="00B450F9"/>
    <w:rsid w:val="00B4662E"/>
    <w:rsid w:val="00B509C8"/>
    <w:rsid w:val="00B51660"/>
    <w:rsid w:val="00B51756"/>
    <w:rsid w:val="00B51BC0"/>
    <w:rsid w:val="00B52576"/>
    <w:rsid w:val="00B55190"/>
    <w:rsid w:val="00B553DD"/>
    <w:rsid w:val="00B55970"/>
    <w:rsid w:val="00B55FCA"/>
    <w:rsid w:val="00B56A0F"/>
    <w:rsid w:val="00B61BF1"/>
    <w:rsid w:val="00B63083"/>
    <w:rsid w:val="00B64833"/>
    <w:rsid w:val="00B64967"/>
    <w:rsid w:val="00B65BDE"/>
    <w:rsid w:val="00B661D8"/>
    <w:rsid w:val="00B661F6"/>
    <w:rsid w:val="00B661F8"/>
    <w:rsid w:val="00B665A6"/>
    <w:rsid w:val="00B676A0"/>
    <w:rsid w:val="00B707C7"/>
    <w:rsid w:val="00B70CC2"/>
    <w:rsid w:val="00B7103C"/>
    <w:rsid w:val="00B710E9"/>
    <w:rsid w:val="00B71E2C"/>
    <w:rsid w:val="00B73F26"/>
    <w:rsid w:val="00B77E8B"/>
    <w:rsid w:val="00B80C7D"/>
    <w:rsid w:val="00B81631"/>
    <w:rsid w:val="00B83BAF"/>
    <w:rsid w:val="00B8464E"/>
    <w:rsid w:val="00B8657E"/>
    <w:rsid w:val="00B878AB"/>
    <w:rsid w:val="00B87A45"/>
    <w:rsid w:val="00B9063F"/>
    <w:rsid w:val="00B909BF"/>
    <w:rsid w:val="00B90C7F"/>
    <w:rsid w:val="00B910A0"/>
    <w:rsid w:val="00B92A54"/>
    <w:rsid w:val="00B92EA0"/>
    <w:rsid w:val="00B942FB"/>
    <w:rsid w:val="00B94EAD"/>
    <w:rsid w:val="00B95D95"/>
    <w:rsid w:val="00B973F6"/>
    <w:rsid w:val="00B97446"/>
    <w:rsid w:val="00BA07A6"/>
    <w:rsid w:val="00BA19F4"/>
    <w:rsid w:val="00BA313E"/>
    <w:rsid w:val="00BA342B"/>
    <w:rsid w:val="00BA4AC4"/>
    <w:rsid w:val="00BA4FDA"/>
    <w:rsid w:val="00BA5C99"/>
    <w:rsid w:val="00BA6179"/>
    <w:rsid w:val="00BA707C"/>
    <w:rsid w:val="00BA75BC"/>
    <w:rsid w:val="00BB0AFE"/>
    <w:rsid w:val="00BB0DBC"/>
    <w:rsid w:val="00BB0F8C"/>
    <w:rsid w:val="00BB201F"/>
    <w:rsid w:val="00BB2633"/>
    <w:rsid w:val="00BB32EC"/>
    <w:rsid w:val="00BB39C0"/>
    <w:rsid w:val="00BB40A5"/>
    <w:rsid w:val="00BB523F"/>
    <w:rsid w:val="00BB676D"/>
    <w:rsid w:val="00BB6E5B"/>
    <w:rsid w:val="00BB7BF5"/>
    <w:rsid w:val="00BC05BF"/>
    <w:rsid w:val="00BC0677"/>
    <w:rsid w:val="00BC0A07"/>
    <w:rsid w:val="00BC0FB4"/>
    <w:rsid w:val="00BC2C38"/>
    <w:rsid w:val="00BC3759"/>
    <w:rsid w:val="00BC53B1"/>
    <w:rsid w:val="00BC5447"/>
    <w:rsid w:val="00BC5673"/>
    <w:rsid w:val="00BC5924"/>
    <w:rsid w:val="00BC63A0"/>
    <w:rsid w:val="00BC7007"/>
    <w:rsid w:val="00BC7079"/>
    <w:rsid w:val="00BD1584"/>
    <w:rsid w:val="00BD1894"/>
    <w:rsid w:val="00BD2A10"/>
    <w:rsid w:val="00BD2DA4"/>
    <w:rsid w:val="00BD507D"/>
    <w:rsid w:val="00BD5975"/>
    <w:rsid w:val="00BD5DAF"/>
    <w:rsid w:val="00BD5EEB"/>
    <w:rsid w:val="00BD6DA0"/>
    <w:rsid w:val="00BD6F84"/>
    <w:rsid w:val="00BE16E1"/>
    <w:rsid w:val="00BE288A"/>
    <w:rsid w:val="00BE3353"/>
    <w:rsid w:val="00BE7F06"/>
    <w:rsid w:val="00BF3DBA"/>
    <w:rsid w:val="00BF5163"/>
    <w:rsid w:val="00BF62D5"/>
    <w:rsid w:val="00BF7004"/>
    <w:rsid w:val="00BF713E"/>
    <w:rsid w:val="00BF7260"/>
    <w:rsid w:val="00C003C1"/>
    <w:rsid w:val="00C003E8"/>
    <w:rsid w:val="00C00C0D"/>
    <w:rsid w:val="00C01D74"/>
    <w:rsid w:val="00C02551"/>
    <w:rsid w:val="00C02980"/>
    <w:rsid w:val="00C037A7"/>
    <w:rsid w:val="00C03AA1"/>
    <w:rsid w:val="00C03FC3"/>
    <w:rsid w:val="00C04559"/>
    <w:rsid w:val="00C04F1B"/>
    <w:rsid w:val="00C0532A"/>
    <w:rsid w:val="00C077C3"/>
    <w:rsid w:val="00C07E95"/>
    <w:rsid w:val="00C10A9F"/>
    <w:rsid w:val="00C111D0"/>
    <w:rsid w:val="00C154BF"/>
    <w:rsid w:val="00C155AE"/>
    <w:rsid w:val="00C16362"/>
    <w:rsid w:val="00C177E1"/>
    <w:rsid w:val="00C17983"/>
    <w:rsid w:val="00C17B0F"/>
    <w:rsid w:val="00C211F6"/>
    <w:rsid w:val="00C21767"/>
    <w:rsid w:val="00C2190C"/>
    <w:rsid w:val="00C219D1"/>
    <w:rsid w:val="00C25A1A"/>
    <w:rsid w:val="00C269CD"/>
    <w:rsid w:val="00C27A6E"/>
    <w:rsid w:val="00C32924"/>
    <w:rsid w:val="00C32B05"/>
    <w:rsid w:val="00C3316F"/>
    <w:rsid w:val="00C33D21"/>
    <w:rsid w:val="00C3414F"/>
    <w:rsid w:val="00C35058"/>
    <w:rsid w:val="00C3526D"/>
    <w:rsid w:val="00C362A8"/>
    <w:rsid w:val="00C37C7E"/>
    <w:rsid w:val="00C40C38"/>
    <w:rsid w:val="00C415AE"/>
    <w:rsid w:val="00C41D90"/>
    <w:rsid w:val="00C427C3"/>
    <w:rsid w:val="00C42864"/>
    <w:rsid w:val="00C42DA0"/>
    <w:rsid w:val="00C44524"/>
    <w:rsid w:val="00C4520E"/>
    <w:rsid w:val="00C4578D"/>
    <w:rsid w:val="00C457E4"/>
    <w:rsid w:val="00C46088"/>
    <w:rsid w:val="00C475C7"/>
    <w:rsid w:val="00C478EC"/>
    <w:rsid w:val="00C47CED"/>
    <w:rsid w:val="00C56EFF"/>
    <w:rsid w:val="00C5720A"/>
    <w:rsid w:val="00C576AA"/>
    <w:rsid w:val="00C57BCC"/>
    <w:rsid w:val="00C60AF8"/>
    <w:rsid w:val="00C617BD"/>
    <w:rsid w:val="00C6223F"/>
    <w:rsid w:val="00C626CC"/>
    <w:rsid w:val="00C64C7C"/>
    <w:rsid w:val="00C70A60"/>
    <w:rsid w:val="00C74C40"/>
    <w:rsid w:val="00C74F28"/>
    <w:rsid w:val="00C7545F"/>
    <w:rsid w:val="00C767AF"/>
    <w:rsid w:val="00C7690C"/>
    <w:rsid w:val="00C76FAB"/>
    <w:rsid w:val="00C80623"/>
    <w:rsid w:val="00C806C5"/>
    <w:rsid w:val="00C80F91"/>
    <w:rsid w:val="00C812FF"/>
    <w:rsid w:val="00C82F53"/>
    <w:rsid w:val="00C84BDC"/>
    <w:rsid w:val="00C87C8A"/>
    <w:rsid w:val="00C90391"/>
    <w:rsid w:val="00C90728"/>
    <w:rsid w:val="00C90BE0"/>
    <w:rsid w:val="00C91EA1"/>
    <w:rsid w:val="00C9238A"/>
    <w:rsid w:val="00C924BC"/>
    <w:rsid w:val="00C94307"/>
    <w:rsid w:val="00C95855"/>
    <w:rsid w:val="00C977AA"/>
    <w:rsid w:val="00CA03B2"/>
    <w:rsid w:val="00CA0789"/>
    <w:rsid w:val="00CA0AF7"/>
    <w:rsid w:val="00CA0CCF"/>
    <w:rsid w:val="00CA21A9"/>
    <w:rsid w:val="00CA2DDE"/>
    <w:rsid w:val="00CA3236"/>
    <w:rsid w:val="00CA3308"/>
    <w:rsid w:val="00CA383C"/>
    <w:rsid w:val="00CA383F"/>
    <w:rsid w:val="00CA4103"/>
    <w:rsid w:val="00CA6830"/>
    <w:rsid w:val="00CA6AD5"/>
    <w:rsid w:val="00CA6BF9"/>
    <w:rsid w:val="00CA6BFB"/>
    <w:rsid w:val="00CA73C9"/>
    <w:rsid w:val="00CB0198"/>
    <w:rsid w:val="00CB4168"/>
    <w:rsid w:val="00CB4C1B"/>
    <w:rsid w:val="00CB5004"/>
    <w:rsid w:val="00CB7068"/>
    <w:rsid w:val="00CC060C"/>
    <w:rsid w:val="00CC18A7"/>
    <w:rsid w:val="00CC2070"/>
    <w:rsid w:val="00CC37F8"/>
    <w:rsid w:val="00CC3F0A"/>
    <w:rsid w:val="00CC4ABC"/>
    <w:rsid w:val="00CC664D"/>
    <w:rsid w:val="00CC7B5E"/>
    <w:rsid w:val="00CD0138"/>
    <w:rsid w:val="00CD03EE"/>
    <w:rsid w:val="00CD05F6"/>
    <w:rsid w:val="00CD0DCB"/>
    <w:rsid w:val="00CD2A32"/>
    <w:rsid w:val="00CD401F"/>
    <w:rsid w:val="00CD4887"/>
    <w:rsid w:val="00CD50A4"/>
    <w:rsid w:val="00CD549E"/>
    <w:rsid w:val="00CD5636"/>
    <w:rsid w:val="00CD5681"/>
    <w:rsid w:val="00CD5A4A"/>
    <w:rsid w:val="00CD6A6A"/>
    <w:rsid w:val="00CD73B7"/>
    <w:rsid w:val="00CD78F8"/>
    <w:rsid w:val="00CE2ED3"/>
    <w:rsid w:val="00CE302D"/>
    <w:rsid w:val="00CE613B"/>
    <w:rsid w:val="00CE7BC3"/>
    <w:rsid w:val="00CE7C0F"/>
    <w:rsid w:val="00CF03E8"/>
    <w:rsid w:val="00CF0577"/>
    <w:rsid w:val="00CF0E6C"/>
    <w:rsid w:val="00CF0E7C"/>
    <w:rsid w:val="00CF1259"/>
    <w:rsid w:val="00CF3885"/>
    <w:rsid w:val="00CF3EF3"/>
    <w:rsid w:val="00CF5135"/>
    <w:rsid w:val="00D00AF6"/>
    <w:rsid w:val="00D01054"/>
    <w:rsid w:val="00D02454"/>
    <w:rsid w:val="00D02C1B"/>
    <w:rsid w:val="00D02C3A"/>
    <w:rsid w:val="00D02DA4"/>
    <w:rsid w:val="00D02E9A"/>
    <w:rsid w:val="00D030C6"/>
    <w:rsid w:val="00D031CA"/>
    <w:rsid w:val="00D035BA"/>
    <w:rsid w:val="00D035F6"/>
    <w:rsid w:val="00D0375F"/>
    <w:rsid w:val="00D04BB1"/>
    <w:rsid w:val="00D061E5"/>
    <w:rsid w:val="00D07752"/>
    <w:rsid w:val="00D07788"/>
    <w:rsid w:val="00D07A25"/>
    <w:rsid w:val="00D11409"/>
    <w:rsid w:val="00D120D3"/>
    <w:rsid w:val="00D129A8"/>
    <w:rsid w:val="00D1361D"/>
    <w:rsid w:val="00D13F35"/>
    <w:rsid w:val="00D20C47"/>
    <w:rsid w:val="00D2212B"/>
    <w:rsid w:val="00D23537"/>
    <w:rsid w:val="00D24C9E"/>
    <w:rsid w:val="00D25F15"/>
    <w:rsid w:val="00D2623E"/>
    <w:rsid w:val="00D27D7F"/>
    <w:rsid w:val="00D30597"/>
    <w:rsid w:val="00D30714"/>
    <w:rsid w:val="00D30DF0"/>
    <w:rsid w:val="00D31AF7"/>
    <w:rsid w:val="00D31F83"/>
    <w:rsid w:val="00D329F3"/>
    <w:rsid w:val="00D33B49"/>
    <w:rsid w:val="00D33C75"/>
    <w:rsid w:val="00D36999"/>
    <w:rsid w:val="00D402A8"/>
    <w:rsid w:val="00D42E2F"/>
    <w:rsid w:val="00D43EFB"/>
    <w:rsid w:val="00D44389"/>
    <w:rsid w:val="00D44D8B"/>
    <w:rsid w:val="00D45400"/>
    <w:rsid w:val="00D459A5"/>
    <w:rsid w:val="00D50B14"/>
    <w:rsid w:val="00D50E08"/>
    <w:rsid w:val="00D510A1"/>
    <w:rsid w:val="00D52472"/>
    <w:rsid w:val="00D52E63"/>
    <w:rsid w:val="00D52F76"/>
    <w:rsid w:val="00D53786"/>
    <w:rsid w:val="00D55DF5"/>
    <w:rsid w:val="00D55E00"/>
    <w:rsid w:val="00D56134"/>
    <w:rsid w:val="00D57DA4"/>
    <w:rsid w:val="00D60206"/>
    <w:rsid w:val="00D60685"/>
    <w:rsid w:val="00D60FC4"/>
    <w:rsid w:val="00D61FA2"/>
    <w:rsid w:val="00D63DE0"/>
    <w:rsid w:val="00D6568C"/>
    <w:rsid w:val="00D65861"/>
    <w:rsid w:val="00D676D0"/>
    <w:rsid w:val="00D70B9A"/>
    <w:rsid w:val="00D70C7B"/>
    <w:rsid w:val="00D71ED2"/>
    <w:rsid w:val="00D7386D"/>
    <w:rsid w:val="00D73AA7"/>
    <w:rsid w:val="00D74374"/>
    <w:rsid w:val="00D74B92"/>
    <w:rsid w:val="00D7513B"/>
    <w:rsid w:val="00D7597C"/>
    <w:rsid w:val="00D80FFA"/>
    <w:rsid w:val="00D81738"/>
    <w:rsid w:val="00D8488B"/>
    <w:rsid w:val="00D867D3"/>
    <w:rsid w:val="00D8706D"/>
    <w:rsid w:val="00D8742A"/>
    <w:rsid w:val="00D90FD4"/>
    <w:rsid w:val="00D92209"/>
    <w:rsid w:val="00D924F1"/>
    <w:rsid w:val="00D926BA"/>
    <w:rsid w:val="00D946A0"/>
    <w:rsid w:val="00D95752"/>
    <w:rsid w:val="00D9776E"/>
    <w:rsid w:val="00DA1C4C"/>
    <w:rsid w:val="00DA1CC8"/>
    <w:rsid w:val="00DA30FF"/>
    <w:rsid w:val="00DA3330"/>
    <w:rsid w:val="00DA3B37"/>
    <w:rsid w:val="00DA41B5"/>
    <w:rsid w:val="00DA4ABB"/>
    <w:rsid w:val="00DA6696"/>
    <w:rsid w:val="00DA74F6"/>
    <w:rsid w:val="00DB0A29"/>
    <w:rsid w:val="00DB23DC"/>
    <w:rsid w:val="00DB28FC"/>
    <w:rsid w:val="00DB314B"/>
    <w:rsid w:val="00DB4A93"/>
    <w:rsid w:val="00DB5B5F"/>
    <w:rsid w:val="00DB5DC9"/>
    <w:rsid w:val="00DB78CB"/>
    <w:rsid w:val="00DC0B8B"/>
    <w:rsid w:val="00DC1918"/>
    <w:rsid w:val="00DC2DC3"/>
    <w:rsid w:val="00DC38E0"/>
    <w:rsid w:val="00DC5050"/>
    <w:rsid w:val="00DC55C6"/>
    <w:rsid w:val="00DC689F"/>
    <w:rsid w:val="00DC7975"/>
    <w:rsid w:val="00DC7E16"/>
    <w:rsid w:val="00DD018A"/>
    <w:rsid w:val="00DD0989"/>
    <w:rsid w:val="00DD4278"/>
    <w:rsid w:val="00DD44FE"/>
    <w:rsid w:val="00DD5E49"/>
    <w:rsid w:val="00DD64DA"/>
    <w:rsid w:val="00DD72F9"/>
    <w:rsid w:val="00DD7C97"/>
    <w:rsid w:val="00DE2814"/>
    <w:rsid w:val="00DE2DC9"/>
    <w:rsid w:val="00DE3320"/>
    <w:rsid w:val="00DE3CB3"/>
    <w:rsid w:val="00DE4FEF"/>
    <w:rsid w:val="00DE5263"/>
    <w:rsid w:val="00DE6469"/>
    <w:rsid w:val="00DE6A47"/>
    <w:rsid w:val="00DE6D99"/>
    <w:rsid w:val="00DF2EE2"/>
    <w:rsid w:val="00DF30B3"/>
    <w:rsid w:val="00DF5960"/>
    <w:rsid w:val="00DF71C4"/>
    <w:rsid w:val="00DF79AB"/>
    <w:rsid w:val="00DF7E57"/>
    <w:rsid w:val="00DF7FF5"/>
    <w:rsid w:val="00E0243C"/>
    <w:rsid w:val="00E02C54"/>
    <w:rsid w:val="00E03A51"/>
    <w:rsid w:val="00E040FC"/>
    <w:rsid w:val="00E049DA"/>
    <w:rsid w:val="00E05946"/>
    <w:rsid w:val="00E06147"/>
    <w:rsid w:val="00E06EAC"/>
    <w:rsid w:val="00E074D7"/>
    <w:rsid w:val="00E12C10"/>
    <w:rsid w:val="00E16A8B"/>
    <w:rsid w:val="00E17677"/>
    <w:rsid w:val="00E205E1"/>
    <w:rsid w:val="00E20BAB"/>
    <w:rsid w:val="00E21669"/>
    <w:rsid w:val="00E247DD"/>
    <w:rsid w:val="00E263B9"/>
    <w:rsid w:val="00E2706E"/>
    <w:rsid w:val="00E2763F"/>
    <w:rsid w:val="00E300BB"/>
    <w:rsid w:val="00E32CE0"/>
    <w:rsid w:val="00E3314D"/>
    <w:rsid w:val="00E33E9F"/>
    <w:rsid w:val="00E34EA3"/>
    <w:rsid w:val="00E3504A"/>
    <w:rsid w:val="00E3557E"/>
    <w:rsid w:val="00E366B0"/>
    <w:rsid w:val="00E40383"/>
    <w:rsid w:val="00E40ED1"/>
    <w:rsid w:val="00E412EE"/>
    <w:rsid w:val="00E414D3"/>
    <w:rsid w:val="00E42513"/>
    <w:rsid w:val="00E43869"/>
    <w:rsid w:val="00E45CC0"/>
    <w:rsid w:val="00E4757D"/>
    <w:rsid w:val="00E47FB8"/>
    <w:rsid w:val="00E502DF"/>
    <w:rsid w:val="00E507D4"/>
    <w:rsid w:val="00E51241"/>
    <w:rsid w:val="00E51B7C"/>
    <w:rsid w:val="00E51F18"/>
    <w:rsid w:val="00E5237F"/>
    <w:rsid w:val="00E53089"/>
    <w:rsid w:val="00E53167"/>
    <w:rsid w:val="00E53590"/>
    <w:rsid w:val="00E546D2"/>
    <w:rsid w:val="00E55EC7"/>
    <w:rsid w:val="00E56594"/>
    <w:rsid w:val="00E57726"/>
    <w:rsid w:val="00E57961"/>
    <w:rsid w:val="00E602CF"/>
    <w:rsid w:val="00E60665"/>
    <w:rsid w:val="00E609D4"/>
    <w:rsid w:val="00E61188"/>
    <w:rsid w:val="00E629B0"/>
    <w:rsid w:val="00E62DC0"/>
    <w:rsid w:val="00E64276"/>
    <w:rsid w:val="00E653EC"/>
    <w:rsid w:val="00E65C9F"/>
    <w:rsid w:val="00E6722F"/>
    <w:rsid w:val="00E67453"/>
    <w:rsid w:val="00E714F1"/>
    <w:rsid w:val="00E717E7"/>
    <w:rsid w:val="00E71C45"/>
    <w:rsid w:val="00E72017"/>
    <w:rsid w:val="00E72656"/>
    <w:rsid w:val="00E72D39"/>
    <w:rsid w:val="00E7304F"/>
    <w:rsid w:val="00E732F3"/>
    <w:rsid w:val="00E7379B"/>
    <w:rsid w:val="00E739A6"/>
    <w:rsid w:val="00E74AF5"/>
    <w:rsid w:val="00E75329"/>
    <w:rsid w:val="00E7539B"/>
    <w:rsid w:val="00E75DED"/>
    <w:rsid w:val="00E75E51"/>
    <w:rsid w:val="00E77BB9"/>
    <w:rsid w:val="00E80545"/>
    <w:rsid w:val="00E8058B"/>
    <w:rsid w:val="00E83420"/>
    <w:rsid w:val="00E83653"/>
    <w:rsid w:val="00E836CC"/>
    <w:rsid w:val="00E83F52"/>
    <w:rsid w:val="00E8486A"/>
    <w:rsid w:val="00E9071A"/>
    <w:rsid w:val="00E90BB9"/>
    <w:rsid w:val="00E9365A"/>
    <w:rsid w:val="00E948A7"/>
    <w:rsid w:val="00E9499A"/>
    <w:rsid w:val="00E95503"/>
    <w:rsid w:val="00E95ABB"/>
    <w:rsid w:val="00E95EBC"/>
    <w:rsid w:val="00E96E96"/>
    <w:rsid w:val="00E96F8D"/>
    <w:rsid w:val="00E97410"/>
    <w:rsid w:val="00E978D6"/>
    <w:rsid w:val="00E97B6B"/>
    <w:rsid w:val="00EA0D34"/>
    <w:rsid w:val="00EA0D70"/>
    <w:rsid w:val="00EA1422"/>
    <w:rsid w:val="00EA1603"/>
    <w:rsid w:val="00EA1AF9"/>
    <w:rsid w:val="00EA3100"/>
    <w:rsid w:val="00EA3E86"/>
    <w:rsid w:val="00EA5094"/>
    <w:rsid w:val="00EA58CE"/>
    <w:rsid w:val="00EA5A1F"/>
    <w:rsid w:val="00EA670B"/>
    <w:rsid w:val="00EB180A"/>
    <w:rsid w:val="00EB1910"/>
    <w:rsid w:val="00EB3025"/>
    <w:rsid w:val="00EB5CB6"/>
    <w:rsid w:val="00EB753C"/>
    <w:rsid w:val="00EB7D61"/>
    <w:rsid w:val="00EC01B1"/>
    <w:rsid w:val="00EC2341"/>
    <w:rsid w:val="00EC48EC"/>
    <w:rsid w:val="00EC49F8"/>
    <w:rsid w:val="00EC57A4"/>
    <w:rsid w:val="00EC58D9"/>
    <w:rsid w:val="00EC7E0F"/>
    <w:rsid w:val="00ED0A7E"/>
    <w:rsid w:val="00ED1F6B"/>
    <w:rsid w:val="00ED367F"/>
    <w:rsid w:val="00ED3B08"/>
    <w:rsid w:val="00ED4529"/>
    <w:rsid w:val="00ED4651"/>
    <w:rsid w:val="00ED5A76"/>
    <w:rsid w:val="00ED72E4"/>
    <w:rsid w:val="00EE29B0"/>
    <w:rsid w:val="00EE2B5E"/>
    <w:rsid w:val="00EE3001"/>
    <w:rsid w:val="00EE3F7C"/>
    <w:rsid w:val="00EE46F3"/>
    <w:rsid w:val="00EE4BDC"/>
    <w:rsid w:val="00EE6AFC"/>
    <w:rsid w:val="00EE7EEA"/>
    <w:rsid w:val="00EF24DE"/>
    <w:rsid w:val="00EF25C6"/>
    <w:rsid w:val="00EF2AA1"/>
    <w:rsid w:val="00EF342D"/>
    <w:rsid w:val="00EF409A"/>
    <w:rsid w:val="00EF55A8"/>
    <w:rsid w:val="00EF698B"/>
    <w:rsid w:val="00F00907"/>
    <w:rsid w:val="00F00A6C"/>
    <w:rsid w:val="00F04FBB"/>
    <w:rsid w:val="00F0623A"/>
    <w:rsid w:val="00F06842"/>
    <w:rsid w:val="00F07C36"/>
    <w:rsid w:val="00F10D04"/>
    <w:rsid w:val="00F10F7B"/>
    <w:rsid w:val="00F1176E"/>
    <w:rsid w:val="00F11878"/>
    <w:rsid w:val="00F11B62"/>
    <w:rsid w:val="00F127C6"/>
    <w:rsid w:val="00F1380E"/>
    <w:rsid w:val="00F13982"/>
    <w:rsid w:val="00F14726"/>
    <w:rsid w:val="00F16FA1"/>
    <w:rsid w:val="00F20E27"/>
    <w:rsid w:val="00F213F0"/>
    <w:rsid w:val="00F21D2F"/>
    <w:rsid w:val="00F224D9"/>
    <w:rsid w:val="00F23678"/>
    <w:rsid w:val="00F2554D"/>
    <w:rsid w:val="00F25770"/>
    <w:rsid w:val="00F25CB1"/>
    <w:rsid w:val="00F263E8"/>
    <w:rsid w:val="00F26A29"/>
    <w:rsid w:val="00F301FC"/>
    <w:rsid w:val="00F308E0"/>
    <w:rsid w:val="00F3277F"/>
    <w:rsid w:val="00F32F0A"/>
    <w:rsid w:val="00F337F3"/>
    <w:rsid w:val="00F352D8"/>
    <w:rsid w:val="00F35807"/>
    <w:rsid w:val="00F358CF"/>
    <w:rsid w:val="00F362A0"/>
    <w:rsid w:val="00F404E5"/>
    <w:rsid w:val="00F412E1"/>
    <w:rsid w:val="00F41329"/>
    <w:rsid w:val="00F41572"/>
    <w:rsid w:val="00F42278"/>
    <w:rsid w:val="00F427C2"/>
    <w:rsid w:val="00F42D25"/>
    <w:rsid w:val="00F431FE"/>
    <w:rsid w:val="00F47435"/>
    <w:rsid w:val="00F4796A"/>
    <w:rsid w:val="00F5271A"/>
    <w:rsid w:val="00F54B9B"/>
    <w:rsid w:val="00F55D04"/>
    <w:rsid w:val="00F6157D"/>
    <w:rsid w:val="00F63192"/>
    <w:rsid w:val="00F65602"/>
    <w:rsid w:val="00F65877"/>
    <w:rsid w:val="00F65C11"/>
    <w:rsid w:val="00F66CDE"/>
    <w:rsid w:val="00F66E23"/>
    <w:rsid w:val="00F70109"/>
    <w:rsid w:val="00F70570"/>
    <w:rsid w:val="00F7305E"/>
    <w:rsid w:val="00F741E2"/>
    <w:rsid w:val="00F77561"/>
    <w:rsid w:val="00F804CC"/>
    <w:rsid w:val="00F80D56"/>
    <w:rsid w:val="00F81081"/>
    <w:rsid w:val="00F8259C"/>
    <w:rsid w:val="00F829A8"/>
    <w:rsid w:val="00F837FA"/>
    <w:rsid w:val="00F86B71"/>
    <w:rsid w:val="00F90417"/>
    <w:rsid w:val="00F90588"/>
    <w:rsid w:val="00F909AB"/>
    <w:rsid w:val="00F91EC8"/>
    <w:rsid w:val="00F91FD1"/>
    <w:rsid w:val="00F9474C"/>
    <w:rsid w:val="00FA0B97"/>
    <w:rsid w:val="00FA0C90"/>
    <w:rsid w:val="00FA2534"/>
    <w:rsid w:val="00FA361E"/>
    <w:rsid w:val="00FA5A90"/>
    <w:rsid w:val="00FA6697"/>
    <w:rsid w:val="00FA66C8"/>
    <w:rsid w:val="00FA6A37"/>
    <w:rsid w:val="00FA6BC4"/>
    <w:rsid w:val="00FA772C"/>
    <w:rsid w:val="00FB0B97"/>
    <w:rsid w:val="00FB2664"/>
    <w:rsid w:val="00FB35D9"/>
    <w:rsid w:val="00FB6C4D"/>
    <w:rsid w:val="00FB6D19"/>
    <w:rsid w:val="00FB7655"/>
    <w:rsid w:val="00FC2718"/>
    <w:rsid w:val="00FC2731"/>
    <w:rsid w:val="00FC2E5C"/>
    <w:rsid w:val="00FC426A"/>
    <w:rsid w:val="00FC4775"/>
    <w:rsid w:val="00FC4A41"/>
    <w:rsid w:val="00FC55B2"/>
    <w:rsid w:val="00FC64D4"/>
    <w:rsid w:val="00FC6957"/>
    <w:rsid w:val="00FD0A8B"/>
    <w:rsid w:val="00FD24A3"/>
    <w:rsid w:val="00FD404D"/>
    <w:rsid w:val="00FD44FC"/>
    <w:rsid w:val="00FD5100"/>
    <w:rsid w:val="00FD6985"/>
    <w:rsid w:val="00FD7700"/>
    <w:rsid w:val="00FD7A68"/>
    <w:rsid w:val="00FE033D"/>
    <w:rsid w:val="00FE03AB"/>
    <w:rsid w:val="00FE04FE"/>
    <w:rsid w:val="00FE1296"/>
    <w:rsid w:val="00FE782D"/>
    <w:rsid w:val="00FF02D4"/>
    <w:rsid w:val="00FF08B5"/>
    <w:rsid w:val="00FF2C59"/>
    <w:rsid w:val="00FF5E96"/>
    <w:rsid w:val="00FF64B1"/>
    <w:rsid w:val="00FF7821"/>
    <w:rsid w:val="00FF7A49"/>
    <w:rsid w:val="02842950"/>
    <w:rsid w:val="04C519AE"/>
    <w:rsid w:val="05700A3E"/>
    <w:rsid w:val="09151A77"/>
    <w:rsid w:val="0CC0486D"/>
    <w:rsid w:val="0D3A4872"/>
    <w:rsid w:val="0DBD2D8D"/>
    <w:rsid w:val="0E3B6E14"/>
    <w:rsid w:val="248E106C"/>
    <w:rsid w:val="27AB5071"/>
    <w:rsid w:val="27D57226"/>
    <w:rsid w:val="354209BE"/>
    <w:rsid w:val="398B1E1C"/>
    <w:rsid w:val="39A97B77"/>
    <w:rsid w:val="3E6A3DA1"/>
    <w:rsid w:val="406A4509"/>
    <w:rsid w:val="412A32DC"/>
    <w:rsid w:val="42A67E03"/>
    <w:rsid w:val="42CF5FC5"/>
    <w:rsid w:val="4B2562D3"/>
    <w:rsid w:val="4C210C6E"/>
    <w:rsid w:val="503D64C3"/>
    <w:rsid w:val="58ED61F9"/>
    <w:rsid w:val="5C706DEB"/>
    <w:rsid w:val="5DA27043"/>
    <w:rsid w:val="63871490"/>
    <w:rsid w:val="654461C8"/>
    <w:rsid w:val="6DEE6EDD"/>
    <w:rsid w:val="6E122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5"/>
    <w:qFormat/>
    <w:uiPriority w:val="9"/>
    <w:pPr>
      <w:overflowPunct w:val="0"/>
      <w:spacing w:line="560" w:lineRule="exact"/>
      <w:jc w:val="center"/>
      <w:outlineLvl w:val="0"/>
    </w:pPr>
    <w:rPr>
      <w:rFonts w:eastAsia="方正小标宋_GBK"/>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宋体" w:hAnsi="Times New Roman"/>
      <w:sz w:val="32"/>
    </w:rPr>
  </w:style>
  <w:style w:type="paragraph" w:styleId="3">
    <w:name w:val="Body Text Indent"/>
    <w:basedOn w:val="1"/>
    <w:qFormat/>
    <w:uiPriority w:val="0"/>
    <w:pPr>
      <w:ind w:firstLine="660"/>
    </w:pPr>
    <w:rPr>
      <w:rFonts w:ascii="宋体" w:eastAsia="宋体"/>
      <w:sz w:val="32"/>
      <w:szCs w:val="24"/>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next w:val="5"/>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overflowPunct w:val="0"/>
      <w:spacing w:line="560" w:lineRule="exact"/>
    </w:pPr>
    <w:rPr>
      <w:rFonts w:ascii="宋体" w:hAnsi="宋体" w:eastAsia="方正楷体_GBK"/>
      <w:sz w:val="32"/>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semiHidden/>
    <w:unhideWhenUsed/>
    <w:qFormat/>
    <w:uiPriority w:val="99"/>
  </w:style>
  <w:style w:type="character" w:styleId="12">
    <w:name w:val="Hyperlink"/>
    <w:basedOn w:val="10"/>
    <w:unhideWhenUsed/>
    <w:qFormat/>
    <w:uiPriority w:val="99"/>
    <w:rPr>
      <w:color w:val="0000FF" w:themeColor="hyperlink"/>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标题 1 Char"/>
    <w:basedOn w:val="10"/>
    <w:link w:val="4"/>
    <w:qFormat/>
    <w:uiPriority w:val="9"/>
    <w:rPr>
      <w:rFonts w:eastAsia="方正小标宋_GBK"/>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A49A-C07C-49E7-A2F6-5F561603EF6E}">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71</Pages>
  <Words>4675</Words>
  <Characters>26652</Characters>
  <Lines>222</Lines>
  <Paragraphs>62</Paragraphs>
  <TotalTime>1</TotalTime>
  <ScaleCrop>false</ScaleCrop>
  <LinksUpToDate>false</LinksUpToDate>
  <CharactersWithSpaces>31265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2022-07-22T09:35:00Z</dcterms:created>
  <dc:creator>Windows 用户</dc:creator>
  <cp:lastModifiedBy>Administrator</cp:lastModifiedBy>
  <dcterms:modified xsi:type="dcterms:W3CDTF">2022-10-20T07:41:34Z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688D9325DA414EB4BA7B2F23C9D5E0AC</vt:lpwstr>
  </property>
</Properties>
</file>