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</w:pPr>
      <w:bookmarkStart w:id="0" w:name="_GoBack"/>
      <w:bookmarkEnd w:id="0"/>
    </w:p>
    <w:tbl>
      <w:tblPr>
        <w:tblStyle w:val="11"/>
        <w:tblW w:w="10279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建设地点</w:t>
            </w:r>
          </w:p>
        </w:tc>
        <w:tc>
          <w:tcPr>
            <w:tcW w:w="9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文山州西畴县兴街镇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建设单位</w:t>
            </w:r>
          </w:p>
        </w:tc>
        <w:tc>
          <w:tcPr>
            <w:tcW w:w="9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 xml:space="preserve">云南华阳建筑工程有限公司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环境影响评价机构</w:t>
            </w:r>
          </w:p>
        </w:tc>
        <w:tc>
          <w:tcPr>
            <w:tcW w:w="9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丽江智德环境咨询有限公司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9" w:hRule="atLeast"/>
        </w:trPr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项目概况</w:t>
            </w:r>
          </w:p>
        </w:tc>
        <w:tc>
          <w:tcPr>
            <w:tcW w:w="9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bidi w:val="0"/>
              <w:ind w:left="0" w:leftChars="0" w:firstLine="480" w:firstLineChars="200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西畴县兴街国际商贸中心建设项目（二期）临时搅拌站</w:t>
            </w:r>
            <w:r>
              <w:rPr>
                <w:rFonts w:hint="eastAsia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建设性质：新建，建设地点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：文山州西畴县兴街镇，地理坐标为：E104°34'15.452″，N23°14'39.256″。项目占地面积400m2，购置搅拌机2台（一用一备），年产4万m3混凝土。项目由主体工程、辅助工程、储运工程、公用工程及环保工程组成</w:t>
            </w:r>
            <w:r>
              <w:rPr>
                <w:rFonts w:hint="eastAsia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。其生产的混凝土主要供应西畴县兴街国际商贸中心建设项目（二期）使用，不外售给第三方。该项目为临时工程，使用期预计1年，待相关工程结束后，建设单位将按照政府相关部门要求进行搬迁或拆除，不作为永久性设施。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项目不占用生态保护范围，符合“三线一单”的相关要求，项目选址合理可行。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总投资</w:t>
            </w:r>
            <w:r>
              <w:rPr>
                <w:rFonts w:hint="eastAsia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300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万元，环保投资为13.15万元，约占总投资的4.38%。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8" w:hRule="atLeast"/>
        </w:trPr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主要环境影响及预防或者减轻不良环境影响的对策和措施</w:t>
            </w:r>
          </w:p>
        </w:tc>
        <w:tc>
          <w:tcPr>
            <w:tcW w:w="9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1"/>
              <w:tblW w:w="9183" w:type="dxa"/>
              <w:jc w:val="center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4"/>
              <w:gridCol w:w="1980"/>
              <w:gridCol w:w="1330"/>
              <w:gridCol w:w="2509"/>
              <w:gridCol w:w="2130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  <w:jc w:val="center"/>
              </w:trPr>
              <w:tc>
                <w:tcPr>
                  <w:tcW w:w="1234" w:type="dxa"/>
                  <w:tcBorders>
                    <w:tl2br w:val="single" w:color="auto" w:sz="4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ind w:firstLine="210" w:firstLineChars="100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内容</w:t>
                  </w:r>
                </w:p>
                <w:p>
                  <w:pPr>
                    <w:adjustRightInd w:val="0"/>
                    <w:snapToGrid w:val="0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要素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排放口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编号、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名称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eastAsia="zh-CN"/>
                    </w:rPr>
                    <w:t>）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/污染源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污染物项目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kern w:val="0"/>
                      <w:szCs w:val="20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Cs w:val="20"/>
                      <w:lang w:val="en-US" w:eastAsia="zh-CN"/>
                    </w:rPr>
                    <w:t>环境保护措施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执行标准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9" w:hRule="atLeast"/>
                <w:jc w:val="center"/>
              </w:trPr>
              <w:tc>
                <w:tcPr>
                  <w:tcW w:w="1234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大气环境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1"/>
                      <w:szCs w:val="21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kern w:val="0"/>
                      <w:szCs w:val="20"/>
                      <w:lang w:val="en-US" w:eastAsia="zh-CN"/>
                    </w:rPr>
                    <w:t>水泥筒仓</w:t>
                  </w:r>
                  <w:r>
                    <w:rPr>
                      <w:rFonts w:ascii="Times New Roman" w:hAnsi="Times New Roman"/>
                      <w:kern w:val="0"/>
                      <w:szCs w:val="20"/>
                    </w:rPr>
                    <w:t>排气筒出口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（DA00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）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kern w:val="2"/>
                      <w:sz w:val="21"/>
                      <w:szCs w:val="21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颗粒物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水泥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筒仓仓顶设置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布袋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除尘器</w:t>
                  </w:r>
                </w:p>
              </w:tc>
              <w:tc>
                <w:tcPr>
                  <w:tcW w:w="2130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《水泥工业大气污染物排放标准》（GB</w:t>
                  </w:r>
                  <w:r>
                    <w:rPr>
                      <w:rFonts w:hint="eastAsia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4915-2013）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1234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/>
                      <w:kern w:val="0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kern w:val="0"/>
                      <w:szCs w:val="20"/>
                      <w:lang w:val="en-US" w:eastAsia="zh-CN"/>
                    </w:rPr>
                    <w:t>搅拌粉尘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粉尘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color w:val="000000" w:themeColor="text1"/>
                      <w:kern w:val="2"/>
                      <w:sz w:val="21"/>
                      <w:szCs w:val="21"/>
                      <w:highlight w:val="none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  <w:t>搅拌机安装于彩钢瓦棚内</w:t>
                  </w:r>
                </w:p>
              </w:tc>
              <w:tc>
                <w:tcPr>
                  <w:tcW w:w="2130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7" w:hRule="atLeast"/>
                <w:jc w:val="center"/>
              </w:trPr>
              <w:tc>
                <w:tcPr>
                  <w:tcW w:w="1234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contextualSpacing/>
                    <w:jc w:val="center"/>
                    <w:rPr>
                      <w:rFonts w:hint="default" w:ascii="Times New Roman" w:hAnsi="Times New Roman" w:cs="Times New Roman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color w:val="auto"/>
                      <w:szCs w:val="24"/>
                      <w:highlight w:val="none"/>
                      <w:lang w:val="en-US" w:eastAsia="zh-CN"/>
                    </w:rPr>
                    <w:t>堆料场</w:t>
                  </w:r>
                  <w:r>
                    <w:rPr>
                      <w:rFonts w:ascii="Times New Roman" w:hAnsi="Times New Roman" w:eastAsia="宋体"/>
                      <w:color w:val="auto"/>
                      <w:szCs w:val="24"/>
                      <w:highlight w:val="none"/>
                    </w:rPr>
                    <w:t>砂石料装卸、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Cs w:val="24"/>
                      <w:highlight w:val="none"/>
                    </w:rPr>
                    <w:t>配料地仓进料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szCs w:val="24"/>
                      <w:highlight w:val="none"/>
                      <w:lang w:eastAsia="zh-CN"/>
                    </w:rPr>
                    <w:t>、</w:t>
                  </w:r>
                  <w:r>
                    <w:rPr>
                      <w:rFonts w:ascii="Times New Roman" w:hAnsi="Times New Roman" w:eastAsia="宋体"/>
                      <w:color w:val="auto"/>
                      <w:szCs w:val="24"/>
                      <w:highlight w:val="none"/>
                    </w:rPr>
                    <w:t>堆存粉尘，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Cs w:val="24"/>
                      <w:highlight w:val="none"/>
                    </w:rPr>
                    <w:t>厂区转运道路运输粉尘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粉尘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原料采用土工布覆盖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；皮带输送机</w:t>
                  </w:r>
                  <w:r>
                    <w:rPr>
                      <w:rFonts w:hint="eastAsia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设置于彩钢瓦棚内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物料装卸处</w:t>
                  </w:r>
                  <w:r>
                    <w:rPr>
                      <w:rFonts w:hint="eastAsia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设置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喷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雾</w:t>
                  </w: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装置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；厂区道路及时清扫、定期洒水降尘</w:t>
                  </w:r>
                </w:p>
              </w:tc>
              <w:tc>
                <w:tcPr>
                  <w:tcW w:w="2130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" w:hRule="atLeast"/>
                <w:jc w:val="center"/>
              </w:trPr>
              <w:tc>
                <w:tcPr>
                  <w:tcW w:w="1234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highlight w:val="none"/>
                    </w:rPr>
                  </w:pP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contextualSpacing/>
                    <w:jc w:val="center"/>
                    <w:rPr>
                      <w:rFonts w:hint="default" w:ascii="Times New Roman" w:hAnsi="Times New Roman" w:cs="Times New Roman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highlight w:val="none"/>
                      <w:lang w:val="en-US" w:eastAsia="zh-CN"/>
                    </w:rPr>
                    <w:t>运输车辆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contextualSpacing/>
                    <w:jc w:val="center"/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</w:rPr>
                    <w:t>CO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</w:rPr>
                    <w:t>NOx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  <w:lang w:eastAsia="zh-CN"/>
                    </w:rPr>
                    <w:t>、THC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contextualSpacing/>
                    <w:jc w:val="center"/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highlight w:val="none"/>
                      <w:lang w:val="en-US" w:eastAsia="zh-CN"/>
                    </w:rPr>
                    <w:t>运输车辆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234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地表水环境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搅拌机</w:t>
                  </w: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及输送泵</w:t>
                  </w:r>
                  <w:r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清洗</w:t>
                  </w: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废水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</w:rPr>
                    <w:t>COD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BOD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1"/>
                      <w:szCs w:val="21"/>
                      <w:highlight w:val="none"/>
                      <w:vertAlign w:val="subscript"/>
                      <w:lang w:val="en-US" w:eastAsia="zh-CN" w:bidi="ar"/>
                    </w:rPr>
                    <w:t>5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</w:rPr>
                    <w:t>SS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NH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vertAlign w:val="subscript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-N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FF0000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由输送泵输送至西畴县兴街国际商贸中心建设项目（二期）</w:t>
                  </w: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施工场地</w:t>
                  </w:r>
                  <w:r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用作养护用水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不外排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234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初期雨水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 w:themeColor="text1"/>
                      <w:sz w:val="2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SS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经初期雨水收集池收集沉淀后用作生产用水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val="en-US" w:eastAsia="zh-CN"/>
                    </w:rPr>
                    <w:t>不外排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1234" w:type="dxa"/>
                  <w:vMerge w:val="continue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  <w:t>生活废水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氨氮、COD、BOD</w:t>
                  </w:r>
                  <w:r>
                    <w:rPr>
                      <w:rFonts w:ascii="Times New Roman" w:hAnsi="Times New Roman"/>
                      <w:sz w:val="21"/>
                      <w:szCs w:val="21"/>
                      <w:vertAlign w:val="subscript"/>
                    </w:rPr>
                    <w:t>5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、动植物油、悬浮物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生活污水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进入化粪池处理达《污水综合排放标准》（GB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8978-1996）三级标准及《污水排入城镇下水道水质标准》（GB/T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31962-2015）中B等级标准后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排入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兴街镇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</w:rPr>
                    <w:t>污水管网，最终进入兴街镇污水处理厂处理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《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污水综合排放标准》（GB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8978-1996）三级标准及《污水排入城镇下水道水质标准》（GB/T31962-2015）中B等级标准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声环境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机械设备噪声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Lep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A）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auto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合理布局，优先选用低噪声设备，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安装消声器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、基础减振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eastAsia="zh-CN"/>
                    </w:rPr>
                    <w:t>、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距离衰减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</w:rPr>
                    <w:t>《工业企业厂界环境噪声排放标准》（ GB</w:t>
                  </w:r>
                  <w:r>
                    <w:rPr>
                      <w:rFonts w:hint="eastAsia" w:cs="Times New Roman"/>
                      <w:color w:val="auto"/>
                      <w:kern w:val="0"/>
                      <w:szCs w:val="21"/>
                      <w:highlight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</w:rPr>
                    <w:t>12348-2008）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  <w:lang w:val="en-US" w:eastAsia="zh-CN"/>
                    </w:rPr>
                    <w:t>2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  <w:lang w:val="en-US" w:eastAsia="zh-CN"/>
                    </w:rPr>
                    <w:t>类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Cs w:val="21"/>
                      <w:highlight w:val="none"/>
                    </w:rPr>
                    <w:t>标准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要求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电磁辐射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/</w:t>
                  </w:r>
                </w:p>
              </w:tc>
              <w:tc>
                <w:tcPr>
                  <w:tcW w:w="13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/</w:t>
                  </w:r>
                </w:p>
              </w:tc>
              <w:tc>
                <w:tcPr>
                  <w:tcW w:w="250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/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6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固体废物</w:t>
                  </w:r>
                </w:p>
              </w:tc>
              <w:tc>
                <w:tcPr>
                  <w:tcW w:w="7949" w:type="dxa"/>
                  <w:gridSpan w:val="4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项目生活垃圾经集中收集后委托环卫部门清运处置；布袋收尘器收集的粉尘</w:t>
                  </w: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返回</w:t>
                  </w:r>
                  <w:r>
                    <w:rPr>
                      <w:rFonts w:hint="eastAsia" w:ascii="Times New Roman" w:hAnsi="Times New Roman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筒仓内，作为原料使用；</w:t>
                  </w: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初期雨水收集池产生的泥沙定期清掏后按市政管理部门要求处置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6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highlight w:val="none"/>
                    </w:rPr>
                    <w:t>土壤及地下水污染防治措施</w:t>
                  </w:r>
                </w:p>
              </w:tc>
              <w:tc>
                <w:tcPr>
                  <w:tcW w:w="7949" w:type="dxa"/>
                  <w:gridSpan w:val="4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color w:val="000000" w:themeColor="text1"/>
                      <w:sz w:val="2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根据本项目污染性质不同，防渗分区为一般防渗区和简单防渗区。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初期雨水收集</w:t>
                  </w:r>
                  <w:r>
                    <w:rPr>
                      <w:rFonts w:hint="eastAsia" w:ascii="Times New Roman" w:hAnsi="Times New Roman"/>
                      <w:sz w:val="21"/>
                      <w:szCs w:val="21"/>
                      <w:lang w:val="en-US" w:eastAsia="zh-CN"/>
                    </w:rPr>
                    <w:t>池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做一般防渗，防渗系数K≤10</w:t>
                  </w:r>
                  <w:r>
                    <w:rPr>
                      <w:rFonts w:ascii="Times New Roman" w:hAnsi="Times New Roman"/>
                      <w:sz w:val="21"/>
                      <w:szCs w:val="21"/>
                      <w:vertAlign w:val="superscript"/>
                    </w:rPr>
                    <w:t>-7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cm/s。项目区其他生产区域做简单防渗，地面做硬化处理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6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  <w:highlight w:val="none"/>
                    </w:rPr>
                    <w:t>生态保护措施</w:t>
                  </w:r>
                </w:p>
              </w:tc>
              <w:tc>
                <w:tcPr>
                  <w:tcW w:w="7949" w:type="dxa"/>
                  <w:gridSpan w:val="4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  <w:highlight w:val="none"/>
                      <w:lang w:eastAsia="zh-CN"/>
                    </w:rPr>
                  </w:pPr>
                  <w:r>
                    <w:rPr>
                      <w:rFonts w:hint="eastAsia" w:cs="Times New Roman"/>
                      <w:color w:val="auto"/>
                      <w:szCs w:val="21"/>
                      <w:highlight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32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pacing w:val="-8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pacing w:val="-8"/>
                      <w:szCs w:val="21"/>
                      <w:highlight w:val="none"/>
                    </w:rPr>
                    <w:t>环境风险防范措施</w:t>
                  </w:r>
                </w:p>
              </w:tc>
              <w:tc>
                <w:tcPr>
                  <w:tcW w:w="7949" w:type="dxa"/>
                  <w:gridSpan w:val="4"/>
                  <w:noWrap w:val="0"/>
                  <w:vAlign w:val="center"/>
                </w:tcPr>
                <w:p>
                  <w:pPr>
                    <w:keepNext/>
                    <w:keepLines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宋体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  <w:jc w:val="center"/>
              </w:trPr>
              <w:tc>
                <w:tcPr>
                  <w:tcW w:w="1234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auto"/>
                      <w:spacing w:val="-8"/>
                      <w:szCs w:val="21"/>
                      <w:highlight w:val="none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pacing w:val="-8"/>
                      <w:szCs w:val="21"/>
                      <w:highlight w:val="none"/>
                    </w:rPr>
                    <w:t>其他环境管理要求</w:t>
                  </w:r>
                </w:p>
              </w:tc>
              <w:tc>
                <w:tcPr>
                  <w:tcW w:w="7949" w:type="dxa"/>
                  <w:gridSpan w:val="4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color w:val="000000" w:themeColor="text1"/>
                      <w:szCs w:val="2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 w:themeColor="text1"/>
                      <w:szCs w:val="21"/>
                      <w:highlight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强化环境管理，按照环保要求落实各项环保措施，确保污染物稳定达标排放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D8FB"/>
    <w:multiLevelType w:val="singleLevel"/>
    <w:tmpl w:val="1FFED8FB"/>
    <w:lvl w:ilvl="0" w:tentative="0">
      <w:start w:val="1"/>
      <w:numFmt w:val="bullet"/>
      <w:pStyle w:val="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00DED"/>
    <w:rsid w:val="01594C9F"/>
    <w:rsid w:val="01A713EB"/>
    <w:rsid w:val="07C524B8"/>
    <w:rsid w:val="08666437"/>
    <w:rsid w:val="0989468D"/>
    <w:rsid w:val="0D75484E"/>
    <w:rsid w:val="0E5863A6"/>
    <w:rsid w:val="11484B39"/>
    <w:rsid w:val="14C94390"/>
    <w:rsid w:val="15AF630E"/>
    <w:rsid w:val="176F7B69"/>
    <w:rsid w:val="1C800DED"/>
    <w:rsid w:val="1D827358"/>
    <w:rsid w:val="1DE51BD3"/>
    <w:rsid w:val="1E572C23"/>
    <w:rsid w:val="1F0C1C14"/>
    <w:rsid w:val="2250518B"/>
    <w:rsid w:val="22740BEC"/>
    <w:rsid w:val="2582154E"/>
    <w:rsid w:val="2703457D"/>
    <w:rsid w:val="2F360CFB"/>
    <w:rsid w:val="2F4740AB"/>
    <w:rsid w:val="2FC07975"/>
    <w:rsid w:val="326C0058"/>
    <w:rsid w:val="32B17DDB"/>
    <w:rsid w:val="330632BA"/>
    <w:rsid w:val="33CA252A"/>
    <w:rsid w:val="34DB165D"/>
    <w:rsid w:val="35022C93"/>
    <w:rsid w:val="36076C9A"/>
    <w:rsid w:val="36326B13"/>
    <w:rsid w:val="38275498"/>
    <w:rsid w:val="3A7578A7"/>
    <w:rsid w:val="3B834A7C"/>
    <w:rsid w:val="3BB93FFE"/>
    <w:rsid w:val="3D4F54F7"/>
    <w:rsid w:val="3D657E62"/>
    <w:rsid w:val="3D81346E"/>
    <w:rsid w:val="3E5027B4"/>
    <w:rsid w:val="40E5693C"/>
    <w:rsid w:val="41FF46E9"/>
    <w:rsid w:val="42F65232"/>
    <w:rsid w:val="43B23412"/>
    <w:rsid w:val="472B1A05"/>
    <w:rsid w:val="48873DB8"/>
    <w:rsid w:val="4AAF22C7"/>
    <w:rsid w:val="4DE6289A"/>
    <w:rsid w:val="4E054A96"/>
    <w:rsid w:val="4FE171BC"/>
    <w:rsid w:val="531743B1"/>
    <w:rsid w:val="533073F3"/>
    <w:rsid w:val="57D5566E"/>
    <w:rsid w:val="594D6B86"/>
    <w:rsid w:val="59B35B52"/>
    <w:rsid w:val="59EC129F"/>
    <w:rsid w:val="5C061416"/>
    <w:rsid w:val="5EF65A05"/>
    <w:rsid w:val="61422A43"/>
    <w:rsid w:val="61881095"/>
    <w:rsid w:val="65455AFC"/>
    <w:rsid w:val="670D576D"/>
    <w:rsid w:val="672E7FAC"/>
    <w:rsid w:val="672F0288"/>
    <w:rsid w:val="683B1B4D"/>
    <w:rsid w:val="690134C0"/>
    <w:rsid w:val="6970566E"/>
    <w:rsid w:val="6A000802"/>
    <w:rsid w:val="6ABF7E9B"/>
    <w:rsid w:val="6AD51D8B"/>
    <w:rsid w:val="6C5A2033"/>
    <w:rsid w:val="6DD27AA9"/>
    <w:rsid w:val="6F495CC9"/>
    <w:rsid w:val="6F64016F"/>
    <w:rsid w:val="71482403"/>
    <w:rsid w:val="72197B59"/>
    <w:rsid w:val="76FE1467"/>
    <w:rsid w:val="777950C8"/>
    <w:rsid w:val="7ADF53F3"/>
    <w:rsid w:val="7B4D0851"/>
    <w:rsid w:val="7D103A42"/>
    <w:rsid w:val="7D2128F9"/>
    <w:rsid w:val="7DD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  <w:rPr>
      <w:rFonts w:asciiTheme="minorHAnsi" w:hAnsiTheme="minorHAnsi" w:eastAsiaTheme="minorEastAsia" w:cstheme="minorBidi"/>
    </w:rPr>
  </w:style>
  <w:style w:type="paragraph" w:styleId="3">
    <w:name w:val="Body Text"/>
    <w:basedOn w:val="1"/>
    <w:next w:val="1"/>
    <w:qFormat/>
    <w:uiPriority w:val="0"/>
    <w:pPr>
      <w:spacing w:line="460" w:lineRule="exact"/>
      <w:jc w:val="center"/>
    </w:pPr>
    <w:rPr>
      <w:color w:val="000000"/>
      <w:w w:val="90"/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tabs>
        <w:tab w:val="left" w:pos="8607"/>
      </w:tabs>
      <w:spacing w:line="400" w:lineRule="exact"/>
      <w:ind w:firstLine="556"/>
    </w:pPr>
    <w:rPr>
      <w:sz w:val="28"/>
    </w:rPr>
  </w:style>
  <w:style w:type="paragraph" w:customStyle="1" w:styleId="5">
    <w:name w:val="样式 正文文本缩进 + 行距: 1.5 倍行距"/>
    <w:basedOn w:val="4"/>
    <w:qFormat/>
    <w:uiPriority w:val="0"/>
    <w:pPr>
      <w:spacing w:line="360" w:lineRule="auto"/>
      <w:ind w:left="0" w:leftChars="0" w:firstLine="560" w:firstLineChars="200"/>
    </w:pPr>
    <w:rPr>
      <w:rFonts w:cs="宋体"/>
      <w:b/>
      <w:bCs/>
      <w:sz w:val="28"/>
      <w:szCs w:val="20"/>
    </w:rPr>
  </w:style>
  <w:style w:type="paragraph" w:styleId="6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7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"/>
    <w:basedOn w:val="3"/>
    <w:next w:val="1"/>
    <w:qFormat/>
    <w:uiPriority w:val="0"/>
    <w:pPr>
      <w:spacing w:after="120" w:line="240" w:lineRule="auto"/>
      <w:ind w:firstLine="420" w:firstLineChars="100"/>
      <w:jc w:val="both"/>
    </w:pPr>
  </w:style>
  <w:style w:type="paragraph" w:styleId="10">
    <w:name w:val="Body Text First Indent 2"/>
    <w:basedOn w:val="4"/>
    <w:next w:val="9"/>
    <w:qFormat/>
    <w:uiPriority w:val="0"/>
    <w:pPr>
      <w:ind w:firstLine="420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XXXXX"/>
    <w:basedOn w:val="1"/>
    <w:qFormat/>
    <w:uiPriority w:val="0"/>
    <w:pPr>
      <w:spacing w:line="440" w:lineRule="exact"/>
      <w:ind w:firstLine="1526" w:firstLineChars="200"/>
    </w:pPr>
    <w:rPr>
      <w:rFonts w:ascii="Times New Roman" w:hAnsi="Times New Roman" w:eastAsia="宋体"/>
      <w:sz w:val="24"/>
    </w:rPr>
  </w:style>
  <w:style w:type="paragraph" w:customStyle="1" w:styleId="15">
    <w:name w:val="新正文"/>
    <w:basedOn w:val="1"/>
    <w:link w:val="16"/>
    <w:qFormat/>
    <w:uiPriority w:val="0"/>
    <w:pPr>
      <w:adjustRightInd w:val="0"/>
      <w:snapToGrid w:val="0"/>
      <w:spacing w:line="360" w:lineRule="auto"/>
      <w:ind w:firstLine="720" w:firstLineChars="200"/>
    </w:pPr>
    <w:rPr>
      <w:rFonts w:ascii="Times New Roman" w:hAnsi="Times New Roman" w:eastAsia="宋体"/>
      <w:sz w:val="24"/>
    </w:rPr>
  </w:style>
  <w:style w:type="character" w:customStyle="1" w:styleId="16">
    <w:name w:val="新正文 Char"/>
    <w:link w:val="15"/>
    <w:qFormat/>
    <w:uiPriority w:val="0"/>
    <w:rPr>
      <w:rFonts w:ascii="Times New Roman" w:hAnsi="Times New Roman" w:eastAsia="宋体"/>
      <w:sz w:val="24"/>
    </w:rPr>
  </w:style>
  <w:style w:type="paragraph" w:customStyle="1" w:styleId="17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2021-04-26T07:22:00Z</dcterms:created>
  <dc:creator>bingo</dc:creator>
  <cp:lastModifiedBy>Lenovo</cp:lastModifiedBy>
  <dcterms:modified xsi:type="dcterms:W3CDTF">2022-08-18T08:36:29Z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8681F8C87715465780150235C0B38E60</vt:lpwstr>
  </property>
</Properties>
</file>