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both"/>
        <w:textAlignment w:val="auto"/>
        <w:rPr>
          <w:rFonts w:hint="default" w:ascii="Times New Roman" w:hAnsi="Times New Roman" w:eastAsia="方正仿宋_GBK" w:cs="Times New Roman"/>
          <w:bCs/>
          <w:sz w:val="32"/>
          <w:szCs w:val="32"/>
        </w:rPr>
      </w:pPr>
    </w:p>
    <w:tbl>
      <w:tblPr>
        <w:tblStyle w:val="10"/>
        <w:tblW w:w="10095"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456"/>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4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639"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西畴县莲花塘乡莲花塘村委会独店村小组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2" w:hRule="atLeast"/>
        </w:trPr>
        <w:tc>
          <w:tcPr>
            <w:tcW w:w="456"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639"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西畴县詠发烤烟种植专业合作社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18" w:hRule="atLeast"/>
        </w:trPr>
        <w:tc>
          <w:tcPr>
            <w:tcW w:w="4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639"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河北诚羿环保工程有限公司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10" w:hRule="atLeast"/>
        </w:trPr>
        <w:tc>
          <w:tcPr>
            <w:tcW w:w="4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639" w:type="dxa"/>
            <w:shd w:val="clear" w:color="auto" w:fill="FFFFFF"/>
            <w:tcMar>
              <w:top w:w="0" w:type="dxa"/>
              <w:left w:w="108" w:type="dxa"/>
              <w:bottom w:w="0" w:type="dxa"/>
              <w:right w:w="108" w:type="dxa"/>
            </w:tcMar>
          </w:tcPr>
          <w:p>
            <w:pPr>
              <w:pStyle w:val="12"/>
              <w:keepNext w:val="0"/>
              <w:keepLines w:val="0"/>
              <w:pageBreakBefore w:val="0"/>
              <w:kinsoku/>
              <w:wordWrap/>
              <w:overflowPunct/>
              <w:topLinePunct w:val="0"/>
              <w:autoSpaceDE/>
              <w:autoSpaceDN/>
              <w:bidi w:val="0"/>
              <w:adjustRightInd/>
              <w:snapToGrid/>
              <w:spacing w:line="480" w:lineRule="exact"/>
              <w:ind w:right="92" w:firstLine="480" w:firstLineChars="200"/>
              <w:jc w:val="both"/>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项目名称：西畴县烤烟生物质颗粒加工厂</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建设单位：西畴县詠发烤烟种植专业合作社</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位于西畴县莲花塘乡莲花塘村委会独店村小组，本项目租用西畴县莲花塘乡莲花塘村委会独店村小组闲置场地进行建设生产，场地原为彩钢瓦空置厂房，用作建材仓储，分布有砖混结构建筑和彩钢瓦大棚，场地均为硬化场地。</w:t>
            </w:r>
          </w:p>
          <w:p>
            <w:pPr>
              <w:pStyle w:val="12"/>
              <w:keepNext w:val="0"/>
              <w:keepLines w:val="0"/>
              <w:pageBreakBefore w:val="0"/>
              <w:kinsoku/>
              <w:wordWrap/>
              <w:overflowPunct/>
              <w:topLinePunct w:val="0"/>
              <w:autoSpaceDE/>
              <w:autoSpaceDN/>
              <w:bidi w:val="0"/>
              <w:adjustRightInd/>
              <w:snapToGrid/>
              <w:spacing w:line="480" w:lineRule="exact"/>
              <w:ind w:right="92" w:firstLine="480" w:firstLineChars="200"/>
              <w:jc w:val="both"/>
              <w:textAlignment w:val="auto"/>
              <w:rPr>
                <w:rFonts w:hint="default"/>
                <w:lang w:val="en-US"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项目生产以锯木屑、烤烟杆及秸秆、废弃木质边角料等木材加工厂产生的废弃物料生产生物质致密成型燃料</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bookmarkStart w:id="0" w:name="_GoBack"/>
            <w:bookmarkEnd w:id="0"/>
            <w:r>
              <w:rPr>
                <w:rFonts w:hint="default" w:ascii="Times New Roman" w:hAnsi="Times New Roman" w:eastAsia="方正仿宋_GBK" w:cs="Times New Roman"/>
                <w:color w:val="000000"/>
                <w:kern w:val="2"/>
                <w:sz w:val="24"/>
                <w:szCs w:val="24"/>
                <w:highlight w:val="none"/>
                <w:shd w:val="clear" w:color="auto" w:fill="FFFFFF"/>
                <w:lang w:val="en-US" w:eastAsia="zh-CN" w:bidi="ar-SA"/>
              </w:rPr>
              <w:t>年生产规模达</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3500</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吨。项目建设地址不在生态保护红线内，所在区域环境质量符合环境功能区划，生产运营不会改变区域环境质量，不会导致区域资源利用过载，项目不属于环境准入负面清单。项目区占地面积2273.95m2，总建筑面积为2273.95m2，项目主要建设内容包括主体工程、辅助工程、公用工程、环保工程，项目总投资280万元，其中环保投资29.8万元，占总投资的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2726" w:hRule="atLeast"/>
        </w:trPr>
        <w:tc>
          <w:tcPr>
            <w:tcW w:w="456"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639" w:type="dxa"/>
            <w:shd w:val="clear" w:color="auto" w:fill="FFFFFF"/>
            <w:tcMar>
              <w:top w:w="0" w:type="dxa"/>
              <w:left w:w="108" w:type="dxa"/>
              <w:bottom w:w="0" w:type="dxa"/>
              <w:right w:w="108" w:type="dxa"/>
            </w:tcMar>
          </w:tcPr>
          <w:tbl>
            <w:tblPr>
              <w:tblStyle w:val="10"/>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18"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vMerge w:val="restart"/>
                  <w:noWrap w:val="0"/>
                  <w:vAlign w:val="center"/>
                </w:tcPr>
                <w:p>
                  <w:pPr>
                    <w:jc w:val="center"/>
                    <w:rPr>
                      <w:b/>
                      <w:bCs/>
                      <w:szCs w:val="21"/>
                    </w:rPr>
                  </w:pPr>
                  <w:r>
                    <w:rPr>
                      <w:b/>
                      <w:bCs/>
                      <w:szCs w:val="21"/>
                    </w:rPr>
                    <w:t>大气环境</w:t>
                  </w:r>
                </w:p>
              </w:tc>
              <w:tc>
                <w:tcPr>
                  <w:tcW w:w="1750" w:type="dxa"/>
                  <w:noWrap w:val="0"/>
                  <w:vAlign w:val="center"/>
                </w:tcPr>
                <w:p>
                  <w:pPr>
                    <w:jc w:val="center"/>
                    <w:rPr>
                      <w:szCs w:val="21"/>
                    </w:rPr>
                  </w:pPr>
                  <w:r>
                    <w:rPr>
                      <w:rFonts w:hint="eastAsia"/>
                    </w:rPr>
                    <w:t>原料堆棚及装卸</w:t>
                  </w:r>
                </w:p>
              </w:tc>
              <w:tc>
                <w:tcPr>
                  <w:tcW w:w="1125" w:type="dxa"/>
                  <w:noWrap w:val="0"/>
                  <w:vAlign w:val="center"/>
                </w:tcPr>
                <w:p>
                  <w:pPr>
                    <w:jc w:val="center"/>
                    <w:rPr>
                      <w:szCs w:val="21"/>
                    </w:rPr>
                  </w:pPr>
                  <w:r>
                    <w:rPr>
                      <w:rFonts w:hint="eastAsia"/>
                      <w:szCs w:val="21"/>
                    </w:rPr>
                    <w:t>颗粒物</w:t>
                  </w:r>
                </w:p>
              </w:tc>
              <w:tc>
                <w:tcPr>
                  <w:tcW w:w="2335" w:type="dxa"/>
                  <w:tcBorders>
                    <w:bottom w:val="single" w:color="auto" w:sz="4" w:space="0"/>
                  </w:tcBorders>
                  <w:noWrap w:val="0"/>
                  <w:vAlign w:val="center"/>
                </w:tcPr>
                <w:p>
                  <w:pPr>
                    <w:rPr>
                      <w:szCs w:val="21"/>
                    </w:rPr>
                  </w:pPr>
                  <w:r>
                    <w:rPr>
                      <w:rFonts w:hint="eastAsia"/>
                      <w:szCs w:val="21"/>
                    </w:rPr>
                    <w:t>原料堆存于钢架大棚内，钢架大棚占地面积</w:t>
                  </w:r>
                  <w:r>
                    <w:rPr>
                      <w:szCs w:val="21"/>
                    </w:rPr>
                    <w:t>302.41</w:t>
                  </w:r>
                  <w:r>
                    <w:rPr>
                      <w:rFonts w:hint="eastAsia"/>
                      <w:szCs w:val="21"/>
                    </w:rPr>
                    <w:t>m</w:t>
                  </w:r>
                  <w:r>
                    <w:rPr>
                      <w:szCs w:val="21"/>
                      <w:vertAlign w:val="superscript"/>
                    </w:rPr>
                    <w:t>2</w:t>
                  </w:r>
                </w:p>
              </w:tc>
              <w:tc>
                <w:tcPr>
                  <w:tcW w:w="2272" w:type="dxa"/>
                  <w:tcBorders>
                    <w:bottom w:val="single" w:color="auto" w:sz="4" w:space="0"/>
                  </w:tcBorders>
                  <w:noWrap w:val="0"/>
                  <w:vAlign w:val="center"/>
                </w:tcPr>
                <w:p>
                  <w:pPr>
                    <w:rPr>
                      <w:szCs w:val="21"/>
                    </w:rPr>
                  </w:pPr>
                  <w:r>
                    <w:rPr>
                      <w:rFonts w:hint="eastAsia"/>
                      <w:snapToGrid w:val="0"/>
                      <w:kern w:val="0"/>
                      <w:szCs w:val="21"/>
                    </w:rPr>
                    <w:t>达到《大气污染物综合排放标准》（GB16297-1996）中颗粒物无组织排放限值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rFonts w:hint="eastAsia"/>
                    </w:rPr>
                  </w:pPr>
                  <w:r>
                    <w:rPr>
                      <w:rFonts w:hint="eastAsia"/>
                    </w:rPr>
                    <w:t>D</w:t>
                  </w:r>
                  <w:r>
                    <w:t>A001</w:t>
                  </w:r>
                  <w:r>
                    <w:rPr>
                      <w:rFonts w:hint="eastAsia"/>
                    </w:rPr>
                    <w:t>排气筒/破碎筛分</w:t>
                  </w:r>
                </w:p>
              </w:tc>
              <w:tc>
                <w:tcPr>
                  <w:tcW w:w="1125" w:type="dxa"/>
                  <w:noWrap w:val="0"/>
                  <w:vAlign w:val="center"/>
                </w:tcPr>
                <w:p>
                  <w:pPr>
                    <w:jc w:val="center"/>
                    <w:rPr>
                      <w:rFonts w:hint="eastAsia"/>
                      <w:szCs w:val="21"/>
                    </w:rPr>
                  </w:pPr>
                  <w:r>
                    <w:rPr>
                      <w:rFonts w:hint="eastAsia"/>
                      <w:szCs w:val="21"/>
                    </w:rPr>
                    <w:t>颗粒物</w:t>
                  </w:r>
                </w:p>
              </w:tc>
              <w:tc>
                <w:tcPr>
                  <w:tcW w:w="2335" w:type="dxa"/>
                  <w:tcBorders>
                    <w:bottom w:val="single" w:color="auto" w:sz="4" w:space="0"/>
                  </w:tcBorders>
                  <w:noWrap w:val="0"/>
                  <w:vAlign w:val="center"/>
                </w:tcPr>
                <w:p>
                  <w:pPr>
                    <w:rPr>
                      <w:rFonts w:hint="eastAsia"/>
                      <w:szCs w:val="21"/>
                    </w:rPr>
                  </w:pPr>
                  <w:r>
                    <w:rPr>
                      <w:rFonts w:hint="eastAsia"/>
                      <w:szCs w:val="21"/>
                    </w:rPr>
                    <w:t>项目物料破碎及筛分过程中产生的废气采用“旋风（T</w:t>
                  </w:r>
                  <w:r>
                    <w:rPr>
                      <w:szCs w:val="21"/>
                    </w:rPr>
                    <w:t>A001</w:t>
                  </w:r>
                  <w:r>
                    <w:rPr>
                      <w:rFonts w:hint="eastAsia"/>
                      <w:szCs w:val="21"/>
                    </w:rPr>
                    <w:t>）+袋式除尘（T</w:t>
                  </w:r>
                  <w:r>
                    <w:rPr>
                      <w:szCs w:val="21"/>
                    </w:rPr>
                    <w:t>A002</w:t>
                  </w:r>
                  <w:r>
                    <w:rPr>
                      <w:rFonts w:hint="eastAsia"/>
                      <w:szCs w:val="21"/>
                    </w:rPr>
                    <w:t>）”装置处理，其处理风量为</w:t>
                  </w:r>
                  <w:r>
                    <w:rPr>
                      <w:szCs w:val="21"/>
                    </w:rPr>
                    <w:t>8000</w:t>
                  </w:r>
                  <w:r>
                    <w:rPr>
                      <w:rFonts w:hint="eastAsia"/>
                      <w:szCs w:val="21"/>
                    </w:rPr>
                    <w:t>m</w:t>
                  </w:r>
                  <w:r>
                    <w:rPr>
                      <w:szCs w:val="21"/>
                      <w:vertAlign w:val="superscript"/>
                    </w:rPr>
                    <w:t>3</w:t>
                  </w:r>
                  <w:r>
                    <w:rPr>
                      <w:szCs w:val="21"/>
                    </w:rPr>
                    <w:t>/</w:t>
                  </w:r>
                  <w:r>
                    <w:rPr>
                      <w:rFonts w:hint="eastAsia"/>
                      <w:szCs w:val="21"/>
                    </w:rPr>
                    <w:t>h，除尘效率≥9</w:t>
                  </w:r>
                  <w:r>
                    <w:rPr>
                      <w:szCs w:val="21"/>
                    </w:rPr>
                    <w:t>2</w:t>
                  </w:r>
                  <w:r>
                    <w:rPr>
                      <w:rFonts w:hint="eastAsia"/>
                      <w:szCs w:val="21"/>
                    </w:rPr>
                    <w:t>%，处理后的废气经1</w:t>
                  </w:r>
                  <w:r>
                    <w:rPr>
                      <w:szCs w:val="21"/>
                    </w:rPr>
                    <w:t>5</w:t>
                  </w:r>
                  <w:r>
                    <w:rPr>
                      <w:rFonts w:hint="eastAsia"/>
                      <w:szCs w:val="21"/>
                    </w:rPr>
                    <w:t>m高排气筒（D</w:t>
                  </w:r>
                  <w:r>
                    <w:rPr>
                      <w:szCs w:val="21"/>
                    </w:rPr>
                    <w:t>A001</w:t>
                  </w:r>
                  <w:r>
                    <w:rPr>
                      <w:rFonts w:hint="eastAsia"/>
                      <w:szCs w:val="21"/>
                    </w:rPr>
                    <w:t>）排放</w:t>
                  </w:r>
                </w:p>
              </w:tc>
              <w:tc>
                <w:tcPr>
                  <w:tcW w:w="2272" w:type="dxa"/>
                  <w:tcBorders>
                    <w:bottom w:val="single" w:color="auto" w:sz="4" w:space="0"/>
                  </w:tcBorders>
                  <w:noWrap w:val="0"/>
                  <w:vAlign w:val="center"/>
                </w:tcPr>
                <w:p>
                  <w:pPr>
                    <w:rPr>
                      <w:rFonts w:hint="eastAsia"/>
                      <w:snapToGrid w:val="0"/>
                      <w:kern w:val="0"/>
                      <w:szCs w:val="21"/>
                    </w:rPr>
                  </w:pPr>
                  <w:r>
                    <w:rPr>
                      <w:rFonts w:hint="eastAsia"/>
                      <w:snapToGrid w:val="0"/>
                      <w:kern w:val="0"/>
                      <w:szCs w:val="21"/>
                    </w:rPr>
                    <w:t>达到《大气污染物综合排放标准》（GB16297-1996）中颗粒物有组织排放值限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t>DA002</w:t>
                  </w:r>
                  <w:r>
                    <w:rPr>
                      <w:rFonts w:hint="eastAsia"/>
                    </w:rPr>
                    <w:t>排气筒/破碎、烘干</w:t>
                  </w:r>
                </w:p>
              </w:tc>
              <w:tc>
                <w:tcPr>
                  <w:tcW w:w="1125" w:type="dxa"/>
                  <w:noWrap w:val="0"/>
                  <w:vAlign w:val="center"/>
                </w:tcPr>
                <w:p>
                  <w:pPr>
                    <w:jc w:val="center"/>
                    <w:rPr>
                      <w:szCs w:val="21"/>
                    </w:rPr>
                  </w:pPr>
                  <w:r>
                    <w:rPr>
                      <w:rFonts w:hint="eastAsia"/>
                      <w:szCs w:val="21"/>
                    </w:rPr>
                    <w:t>颗粒物、N</w:t>
                  </w:r>
                  <w:r>
                    <w:rPr>
                      <w:szCs w:val="21"/>
                    </w:rPr>
                    <w:t>O</w:t>
                  </w:r>
                  <w:r>
                    <w:rPr>
                      <w:rFonts w:hint="eastAsia"/>
                      <w:szCs w:val="21"/>
                      <w:vertAlign w:val="subscript"/>
                    </w:rPr>
                    <w:t>x</w:t>
                  </w:r>
                  <w:r>
                    <w:rPr>
                      <w:rFonts w:hint="eastAsia"/>
                      <w:szCs w:val="21"/>
                    </w:rPr>
                    <w:t>、S</w:t>
                  </w:r>
                  <w:r>
                    <w:rPr>
                      <w:szCs w:val="21"/>
                    </w:rPr>
                    <w:t>O</w:t>
                  </w:r>
                  <w:r>
                    <w:rPr>
                      <w:szCs w:val="21"/>
                      <w:vertAlign w:val="subscript"/>
                    </w:rPr>
                    <w:t>2</w:t>
                  </w:r>
                </w:p>
              </w:tc>
              <w:tc>
                <w:tcPr>
                  <w:tcW w:w="2335" w:type="dxa"/>
                  <w:tcBorders>
                    <w:top w:val="single" w:color="auto" w:sz="4" w:space="0"/>
                    <w:bottom w:val="single" w:color="auto" w:sz="4" w:space="0"/>
                  </w:tcBorders>
                  <w:noWrap w:val="0"/>
                  <w:vAlign w:val="center"/>
                </w:tcPr>
                <w:p>
                  <w:pPr>
                    <w:rPr>
                      <w:szCs w:val="21"/>
                    </w:rPr>
                  </w:pPr>
                  <w:r>
                    <w:rPr>
                      <w:rFonts w:hint="eastAsia"/>
                      <w:szCs w:val="21"/>
                    </w:rPr>
                    <w:t>项目物料干燥过程中产生的废气采用“旋风（T</w:t>
                  </w:r>
                  <w:r>
                    <w:rPr>
                      <w:szCs w:val="21"/>
                    </w:rPr>
                    <w:t>A003</w:t>
                  </w:r>
                  <w:r>
                    <w:rPr>
                      <w:rFonts w:hint="eastAsia"/>
                      <w:szCs w:val="21"/>
                    </w:rPr>
                    <w:t>）+水膜除尘（T</w:t>
                  </w:r>
                  <w:r>
                    <w:rPr>
                      <w:szCs w:val="21"/>
                    </w:rPr>
                    <w:t>A004</w:t>
                  </w:r>
                  <w:r>
                    <w:rPr>
                      <w:rFonts w:hint="eastAsia"/>
                      <w:szCs w:val="21"/>
                    </w:rPr>
                    <w:t>）”装置处理，其处理风量为1</w:t>
                  </w:r>
                  <w:r>
                    <w:rPr>
                      <w:szCs w:val="21"/>
                    </w:rPr>
                    <w:t>0000</w:t>
                  </w:r>
                  <w:r>
                    <w:rPr>
                      <w:rFonts w:hint="eastAsia"/>
                      <w:szCs w:val="21"/>
                    </w:rPr>
                    <w:t>m</w:t>
                  </w:r>
                  <w:r>
                    <w:rPr>
                      <w:szCs w:val="21"/>
                      <w:vertAlign w:val="superscript"/>
                    </w:rPr>
                    <w:t>3</w:t>
                  </w:r>
                  <w:r>
                    <w:rPr>
                      <w:szCs w:val="21"/>
                    </w:rPr>
                    <w:t>/</w:t>
                  </w:r>
                  <w:r>
                    <w:rPr>
                      <w:rFonts w:hint="eastAsia"/>
                      <w:szCs w:val="21"/>
                    </w:rPr>
                    <w:t>h，除尘效率≥9</w:t>
                  </w:r>
                  <w:r>
                    <w:rPr>
                      <w:szCs w:val="21"/>
                    </w:rPr>
                    <w:t>2</w:t>
                  </w:r>
                  <w:r>
                    <w:rPr>
                      <w:rFonts w:hint="eastAsia"/>
                      <w:szCs w:val="21"/>
                    </w:rPr>
                    <w:t>%，处理后的废气经1</w:t>
                  </w:r>
                  <w:r>
                    <w:rPr>
                      <w:szCs w:val="21"/>
                    </w:rPr>
                    <w:t>5</w:t>
                  </w:r>
                  <w:r>
                    <w:rPr>
                      <w:rFonts w:hint="eastAsia"/>
                      <w:szCs w:val="21"/>
                    </w:rPr>
                    <w:t>m高排气筒（D</w:t>
                  </w:r>
                  <w:r>
                    <w:rPr>
                      <w:szCs w:val="21"/>
                    </w:rPr>
                    <w:t>A002</w:t>
                  </w:r>
                  <w:r>
                    <w:rPr>
                      <w:rFonts w:hint="eastAsia"/>
                      <w:szCs w:val="21"/>
                    </w:rPr>
                    <w:t>）排放</w:t>
                  </w:r>
                </w:p>
              </w:tc>
              <w:tc>
                <w:tcPr>
                  <w:tcW w:w="2272" w:type="dxa"/>
                  <w:tcBorders>
                    <w:top w:val="single" w:color="auto" w:sz="4" w:space="0"/>
                    <w:bottom w:val="single" w:color="auto" w:sz="4" w:space="0"/>
                  </w:tcBorders>
                  <w:noWrap w:val="0"/>
                  <w:vAlign w:val="center"/>
                </w:tcPr>
                <w:p>
                  <w:pPr>
                    <w:rPr>
                      <w:szCs w:val="21"/>
                    </w:rPr>
                  </w:pPr>
                  <w:r>
                    <w:rPr>
                      <w:rFonts w:hint="eastAsia"/>
                      <w:snapToGrid w:val="0"/>
                      <w:kern w:val="0"/>
                      <w:szCs w:val="21"/>
                    </w:rPr>
                    <w:t>粉尘排放满足（GB9078-1996）《工业炉窑大气污染物排放标准》中表2标准（粉尘≤2</w:t>
                  </w:r>
                  <w:r>
                    <w:rPr>
                      <w:snapToGrid w:val="0"/>
                      <w:kern w:val="0"/>
                      <w:szCs w:val="21"/>
                    </w:rPr>
                    <w:t>00mg/m</w:t>
                  </w:r>
                  <w:r>
                    <w:rPr>
                      <w:snapToGrid w:val="0"/>
                      <w:kern w:val="0"/>
                      <w:szCs w:val="21"/>
                      <w:vertAlign w:val="superscript"/>
                    </w:rPr>
                    <w:t>3</w:t>
                  </w:r>
                  <w:r>
                    <w:rPr>
                      <w:rFonts w:hint="eastAsia"/>
                      <w:snapToGrid w:val="0"/>
                      <w:kern w:val="0"/>
                      <w:szCs w:val="21"/>
                    </w:rPr>
                    <w:t>），二氧化硫和氮氧化物排放满足</w:t>
                  </w:r>
                  <w:r>
                    <w:rPr>
                      <w:snapToGrid w:val="0"/>
                      <w:kern w:val="0"/>
                      <w:szCs w:val="21"/>
                    </w:rPr>
                    <w:t>《大气污染物综合排放标准》（GB16297-1996）表2标准</w:t>
                  </w:r>
                  <w:r>
                    <w:rPr>
                      <w:rFonts w:hint="eastAsia"/>
                      <w:snapToGrid w:val="0"/>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18" w:type="dxa"/>
                  <w:noWrap w:val="0"/>
                  <w:vAlign w:val="center"/>
                </w:tcPr>
                <w:p>
                  <w:pPr>
                    <w:jc w:val="center"/>
                    <w:rPr>
                      <w:b/>
                      <w:bCs/>
                      <w:szCs w:val="21"/>
                    </w:rPr>
                  </w:pPr>
                  <w:r>
                    <w:rPr>
                      <w:b/>
                      <w:bCs/>
                      <w:szCs w:val="21"/>
                    </w:rPr>
                    <w:t>地表水环境</w:t>
                  </w:r>
                </w:p>
              </w:tc>
              <w:tc>
                <w:tcPr>
                  <w:tcW w:w="1750" w:type="dxa"/>
                  <w:noWrap w:val="0"/>
                  <w:vAlign w:val="center"/>
                </w:tcPr>
                <w:p>
                  <w:pPr>
                    <w:jc w:val="center"/>
                    <w:rPr>
                      <w:snapToGrid w:val="0"/>
                      <w:kern w:val="0"/>
                      <w:szCs w:val="21"/>
                    </w:rPr>
                  </w:pPr>
                  <w:r>
                    <w:rPr>
                      <w:snapToGrid w:val="0"/>
                      <w:kern w:val="0"/>
                      <w:szCs w:val="21"/>
                    </w:rPr>
                    <w:t>生活废水</w:t>
                  </w:r>
                </w:p>
              </w:tc>
              <w:tc>
                <w:tcPr>
                  <w:tcW w:w="1125" w:type="dxa"/>
                  <w:noWrap w:val="0"/>
                  <w:vAlign w:val="center"/>
                </w:tcPr>
                <w:p>
                  <w:pPr>
                    <w:jc w:val="center"/>
                    <w:rPr>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、氨氮、SS、TP、粪大肠菌群</w:t>
                  </w:r>
                </w:p>
              </w:tc>
              <w:tc>
                <w:tcPr>
                  <w:tcW w:w="2335" w:type="dxa"/>
                  <w:noWrap w:val="0"/>
                  <w:vAlign w:val="center"/>
                </w:tcPr>
                <w:p>
                  <w:pPr>
                    <w:jc w:val="center"/>
                    <w:rPr>
                      <w:rFonts w:hint="eastAsia"/>
                      <w:szCs w:val="21"/>
                    </w:rPr>
                  </w:pPr>
                  <w:r>
                    <w:rPr>
                      <w:rFonts w:hint="eastAsia"/>
                      <w:szCs w:val="21"/>
                    </w:rPr>
                    <w:t>隔油池（0</w:t>
                  </w:r>
                  <w:r>
                    <w:rPr>
                      <w:szCs w:val="21"/>
                    </w:rPr>
                    <w:t>.5</w:t>
                  </w:r>
                  <w:r>
                    <w:rPr>
                      <w:rFonts w:hint="eastAsia"/>
                      <w:szCs w:val="21"/>
                    </w:rPr>
                    <w:t>m</w:t>
                  </w:r>
                  <w:r>
                    <w:rPr>
                      <w:szCs w:val="21"/>
                      <w:vertAlign w:val="superscript"/>
                    </w:rPr>
                    <w:t>3</w:t>
                  </w:r>
                  <w:r>
                    <w:rPr>
                      <w:rFonts w:hint="eastAsia"/>
                      <w:szCs w:val="21"/>
                    </w:rPr>
                    <w:t>，1个）、</w:t>
                  </w:r>
                  <w:r>
                    <w:rPr>
                      <w:szCs w:val="21"/>
                    </w:rPr>
                    <w:t>化粪池</w:t>
                  </w:r>
                  <w:r>
                    <w:rPr>
                      <w:rFonts w:hint="eastAsia"/>
                      <w:szCs w:val="21"/>
                    </w:rPr>
                    <w:t>（</w:t>
                  </w:r>
                  <w:r>
                    <w:rPr>
                      <w:szCs w:val="21"/>
                    </w:rPr>
                    <w:t>10</w:t>
                  </w:r>
                  <w:r>
                    <w:rPr>
                      <w:rFonts w:hint="eastAsia"/>
                      <w:szCs w:val="21"/>
                    </w:rPr>
                    <w:t>m</w:t>
                  </w:r>
                  <w:r>
                    <w:rPr>
                      <w:szCs w:val="21"/>
                      <w:vertAlign w:val="superscript"/>
                    </w:rPr>
                    <w:t>3</w:t>
                  </w:r>
                  <w:r>
                    <w:rPr>
                      <w:rFonts w:hint="eastAsia"/>
                      <w:szCs w:val="21"/>
                    </w:rPr>
                    <w:t>，1个）</w:t>
                  </w:r>
                  <w:r>
                    <w:rPr>
                      <w:szCs w:val="21"/>
                    </w:rPr>
                    <w:t>处理</w:t>
                  </w:r>
                  <w:r>
                    <w:rPr>
                      <w:rFonts w:hint="eastAsia"/>
                      <w:szCs w:val="21"/>
                    </w:rPr>
                    <w:t>，定期清掏作为周围旱地肥料施用</w:t>
                  </w:r>
                </w:p>
              </w:tc>
              <w:tc>
                <w:tcPr>
                  <w:tcW w:w="2272" w:type="dxa"/>
                  <w:noWrap w:val="0"/>
                  <w:vAlign w:val="center"/>
                </w:tcPr>
                <w:p>
                  <w:pPr>
                    <w:jc w:val="center"/>
                    <w:rPr>
                      <w:szCs w:val="21"/>
                    </w:rPr>
                  </w:pPr>
                  <w:r>
                    <w:rPr>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szCs w:val="21"/>
                    </w:rPr>
                    <w:t>噪声</w:t>
                  </w:r>
                </w:p>
              </w:tc>
              <w:tc>
                <w:tcPr>
                  <w:tcW w:w="2335" w:type="dxa"/>
                  <w:noWrap w:val="0"/>
                  <w:vAlign w:val="center"/>
                </w:tcPr>
                <w:p>
                  <w:pPr>
                    <w:jc w:val="center"/>
                    <w:rPr>
                      <w:szCs w:val="21"/>
                    </w:rPr>
                  </w:pPr>
                  <w:r>
                    <w:rPr>
                      <w:rFonts w:hint="eastAsia"/>
                    </w:rPr>
                    <w:t>安装减震、距离衰减</w:t>
                  </w:r>
                </w:p>
              </w:tc>
              <w:tc>
                <w:tcPr>
                  <w:tcW w:w="2272" w:type="dxa"/>
                  <w:noWrap w:val="0"/>
                  <w:vAlign w:val="center"/>
                </w:tcPr>
                <w:p>
                  <w:pPr>
                    <w:jc w:val="center"/>
                    <w:rPr>
                      <w:szCs w:val="21"/>
                    </w:rPr>
                  </w:pPr>
                  <w:r>
                    <w:rPr>
                      <w:rFonts w:hint="eastAsia"/>
                    </w:rPr>
                    <w:t>达到《工业企业厂界环境噪声排放标准》（GB12348-2008）2、4类标准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8"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318" w:type="dxa"/>
                  <w:noWrap w:val="0"/>
                  <w:vAlign w:val="center"/>
                </w:tcPr>
                <w:p>
                  <w:pPr>
                    <w:jc w:val="center"/>
                    <w:rPr>
                      <w:b/>
                      <w:bCs/>
                      <w:szCs w:val="21"/>
                    </w:rPr>
                  </w:pPr>
                  <w:r>
                    <w:rPr>
                      <w:b/>
                      <w:bCs/>
                      <w:szCs w:val="21"/>
                    </w:rPr>
                    <w:t>固体废物</w:t>
                  </w:r>
                </w:p>
              </w:tc>
              <w:tc>
                <w:tcPr>
                  <w:tcW w:w="7482" w:type="dxa"/>
                  <w:gridSpan w:val="4"/>
                  <w:noWrap w:val="0"/>
                  <w:vAlign w:val="center"/>
                </w:tcPr>
                <w:p>
                  <w:pPr>
                    <w:pStyle w:val="2"/>
                    <w:adjustRightInd w:val="0"/>
                    <w:snapToGrid w:val="0"/>
                    <w:spacing w:after="0"/>
                    <w:ind w:left="0" w:leftChars="0" w:firstLineChars="200"/>
                    <w:jc w:val="left"/>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cstheme="minorBidi"/>
                      <w:kern w:val="2"/>
                      <w:sz w:val="21"/>
                      <w:szCs w:val="21"/>
                      <w:lang w:val="en-US" w:eastAsia="zh-CN" w:bidi="ar-SA"/>
                    </w:rPr>
                    <w:t>①设置一个封闭式烘干灶灰渣存放间，建筑面积50m2，收集后定期提供给周边的村民作为种植肥料；</w:t>
                  </w:r>
                </w:p>
                <w:p>
                  <w:pPr>
                    <w:pStyle w:val="5"/>
                    <w:adjustRightInd w:val="0"/>
                    <w:spacing w:before="0" w:after="0" w:line="240" w:lineRule="auto"/>
                    <w:ind w:firstLineChars="200"/>
                    <w:rPr>
                      <w:rFonts w:hint="eastAsia"/>
                    </w:rPr>
                  </w:pPr>
                  <w:r>
                    <w:rPr>
                      <w:rFonts w:hint="eastAsia" w:asciiTheme="minorEastAsia" w:hAnsiTheme="minorEastAsia" w:eastAsiaTheme="minorEastAsia" w:cstheme="minorEastAsia"/>
                      <w:kern w:val="2"/>
                      <w:sz w:val="21"/>
                      <w:szCs w:val="21"/>
                      <w:lang w:val="en-US" w:eastAsia="zh-CN" w:bidi="ar-SA"/>
                    </w:rPr>
                    <w:t>②1个封闭式垃圾收集箱，用于收集生活垃圾。统一收集后运至莲花塘乡生活垃圾收集点处置；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18"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left"/>
                    <w:rPr>
                      <w:szCs w:val="21"/>
                    </w:rPr>
                  </w:pPr>
                  <w:r>
                    <w:rPr>
                      <w:szCs w:val="21"/>
                    </w:rPr>
                    <w:t>重点防渗区：</w:t>
                  </w:r>
                  <w:r>
                    <w:rPr>
                      <w:rFonts w:hint="eastAsia"/>
                      <w:szCs w:val="21"/>
                    </w:rPr>
                    <w:t>化粪池</w:t>
                  </w:r>
                  <w:r>
                    <w:rPr>
                      <w:bCs/>
                      <w:szCs w:val="21"/>
                    </w:rPr>
                    <w:t>，渗透系数≤10</w:t>
                  </w:r>
                  <w:r>
                    <w:rPr>
                      <w:bCs/>
                      <w:szCs w:val="21"/>
                      <w:vertAlign w:val="superscript"/>
                    </w:rPr>
                    <w:t>-10</w:t>
                  </w:r>
                  <w:r>
                    <w:rPr>
                      <w:bCs/>
                      <w:szCs w:val="21"/>
                    </w:rPr>
                    <w:t>cm/s（保存影像资料）</w:t>
                  </w:r>
                  <w:r>
                    <w:rPr>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1318"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14"/>
                    <w:rPr>
                      <w:rFonts w:hint="eastAsia"/>
                      <w:b/>
                      <w:bCs/>
                    </w:rPr>
                  </w:pPr>
                  <w:r>
                    <w:rPr>
                      <w:rFonts w:hint="eastAsia"/>
                      <w:b/>
                      <w:bCs/>
                    </w:rPr>
                    <w:t>防控措施：</w:t>
                  </w:r>
                </w:p>
                <w:p>
                  <w:pPr>
                    <w:pStyle w:val="14"/>
                    <w:rPr>
                      <w:rFonts w:hint="eastAsia"/>
                    </w:rPr>
                  </w:pPr>
                  <w:r>
                    <w:rPr>
                      <w:rFonts w:hint="eastAsia"/>
                    </w:rPr>
                    <w:t>①项目区按照《建筑灭火器配置设计规范》（GB50140-2010）的要求设置消防设施及灭火器材，灭火器材应放在明显、易取的地方，应定期对消防设施及灭火器材进行检查、维护。</w:t>
                  </w:r>
                </w:p>
                <w:p>
                  <w:pPr>
                    <w:pStyle w:val="14"/>
                    <w:rPr>
                      <w:rFonts w:hint="eastAsia"/>
                    </w:rPr>
                  </w:pPr>
                  <w:r>
                    <w:rPr>
                      <w:rFonts w:hint="eastAsia"/>
                    </w:rPr>
                    <w:t>②按规定设置安全警示标志和消防安全标志。</w:t>
                  </w:r>
                </w:p>
                <w:p>
                  <w:pPr>
                    <w:pStyle w:val="14"/>
                    <w:rPr>
                      <w:rFonts w:hint="eastAsia"/>
                    </w:rPr>
                  </w:pPr>
                  <w:r>
                    <w:rPr>
                      <w:rFonts w:hint="eastAsia"/>
                    </w:rPr>
                    <w:t>③项目区建设严格按照《建筑设计防火规范》（2018年修订版）进行建设布局，各个生产车间及功能单元均配备电器火灾监控系统，从而减低项目区发生火灾的概率。</w:t>
                  </w:r>
                </w:p>
                <w:p>
                  <w:pPr>
                    <w:pStyle w:val="14"/>
                    <w:rPr>
                      <w:rFonts w:hint="eastAsia"/>
                      <w:b/>
                      <w:bCs/>
                    </w:rPr>
                  </w:pPr>
                  <w:r>
                    <w:rPr>
                      <w:rFonts w:hint="eastAsia"/>
                      <w:b/>
                      <w:bCs/>
                    </w:rPr>
                    <w:t>管理措施：</w:t>
                  </w:r>
                </w:p>
                <w:p>
                  <w:pPr>
                    <w:pStyle w:val="14"/>
                    <w:rPr>
                      <w:rFonts w:hint="eastAsia"/>
                    </w:rPr>
                  </w:pPr>
                  <w:r>
                    <w:rPr>
                      <w:rFonts w:hint="eastAsia"/>
                    </w:rPr>
                    <w:t>①项目区杜绝各种非生产性明火存在。</w:t>
                  </w:r>
                </w:p>
                <w:p>
                  <w:pPr>
                    <w:pStyle w:val="14"/>
                    <w:rPr>
                      <w:rFonts w:hint="eastAsia"/>
                    </w:rPr>
                  </w:pPr>
                  <w:r>
                    <w:rPr>
                      <w:rFonts w:hint="eastAsia"/>
                    </w:rPr>
                    <w:t>②加强设备电线及接头的检修及维护，防止因线路老化、接触不良等原因造成火灾事故。</w:t>
                  </w:r>
                </w:p>
                <w:p>
                  <w:pPr>
                    <w:pStyle w:val="14"/>
                    <w:rPr>
                      <w:rFonts w:hint="eastAsia"/>
                    </w:rPr>
                  </w:pPr>
                  <w:r>
                    <w:rPr>
                      <w:rFonts w:hint="eastAsia"/>
                    </w:rPr>
                    <w:t>③严格规范员工操作，做好防护措施，加强职工的安全教育，提高安全素质，严格执行作业规程，严禁无证上岗，严禁违章作业，防止因失误操作造成环境风险事故的发生；</w:t>
                  </w:r>
                </w:p>
                <w:p>
                  <w:pPr>
                    <w:jc w:val="left"/>
                    <w:rPr>
                      <w:rFonts w:hint="eastAsia"/>
                      <w:szCs w:val="21"/>
                    </w:rPr>
                  </w:pPr>
                  <w:r>
                    <w:rPr>
                      <w:rFonts w:hint="eastAsia"/>
                    </w:rPr>
                    <w:t>④为保证企业及人民生命财产的安全，防止突发性重大火灾事故发生，并在发生事故时，能迅速有序地开展救援工作，尽最大努力减少事故的危害和损失，项目应编制相关的应急预案；建设单位应制定有详细的易燃品贮存、转移措施及火灾应急预案。采取以“安全第一，预防为主”的工作方针，对员工进行消防知识、相关法律法规以及安全常识的培训。切实做好防火工作，发生火灾时应预案的应急措施进行补救和人员疏散，将火灾带来的而损失控制在最低程度。项目运营过程中一定做好消防工作，各项消防设施应规定配置齐备</w:t>
                  </w: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318"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adjustRightInd w:val="0"/>
                    <w:snapToGrid w:val="0"/>
                    <w:spacing w:line="360" w:lineRule="auto"/>
                    <w:ind w:firstLine="420" w:firstLineChars="200"/>
                    <w:rPr>
                      <w:szCs w:val="21"/>
                    </w:rPr>
                  </w:pPr>
                  <w:r>
                    <w:rPr>
                      <w:szCs w:val="21"/>
                    </w:rPr>
                    <w:t>根据《固定污染源排污许可分类管理名录（2019年版）》，本项目属于</w:t>
                  </w:r>
                  <w:r>
                    <w:rPr>
                      <w:b/>
                      <w:bCs/>
                      <w:szCs w:val="21"/>
                    </w:rPr>
                    <w:t>“</w:t>
                  </w:r>
                  <w:r>
                    <w:rPr>
                      <w:rFonts w:hint="eastAsia"/>
                      <w:b/>
                      <w:bCs/>
                      <w:szCs w:val="21"/>
                    </w:rPr>
                    <w:t>二十、石油、煤炭及其他燃料加工业 25</w:t>
                  </w:r>
                  <w:r>
                    <w:rPr>
                      <w:b/>
                      <w:bCs/>
                      <w:szCs w:val="21"/>
                    </w:rPr>
                    <w:t>—44</w:t>
                  </w:r>
                  <w:r>
                    <w:rPr>
                      <w:rFonts w:hint="eastAsia"/>
                      <w:b/>
                      <w:bCs/>
                      <w:szCs w:val="21"/>
                    </w:rPr>
                    <w:t>、生物质燃料加工 254</w:t>
                  </w:r>
                  <w:r>
                    <w:rPr>
                      <w:b/>
                      <w:bCs/>
                      <w:szCs w:val="21"/>
                    </w:rPr>
                    <w:t>—其他*”</w:t>
                  </w:r>
                  <w:r>
                    <w:rPr>
                      <w:szCs w:val="21"/>
                    </w:rPr>
                    <w:t>，项目属于登记管理的项目。</w:t>
                  </w:r>
                </w:p>
                <w:p>
                  <w:pPr>
                    <w:adjustRightInd w:val="0"/>
                    <w:snapToGrid w:val="0"/>
                    <w:spacing w:line="360" w:lineRule="auto"/>
                    <w:ind w:firstLine="420" w:firstLineChars="200"/>
                    <w:jc w:val="left"/>
                    <w:rPr>
                      <w:rFonts w:ascii="宋体" w:hAnsi="宋体" w:cs="宋体"/>
                      <w:szCs w:val="21"/>
                    </w:rPr>
                  </w:pPr>
                  <w:r>
                    <w:rPr>
                      <w:szCs w:val="21"/>
                    </w:rPr>
                    <w:t>综合分析，项目应当在（http://permit.mee.gov.cn/）全国排污许可证管理信息平台填报排污登记表，登记基本信息、污染物排放去向、执行的污染物排放标准以及采取的污染防治措施等信息</w:t>
                  </w:r>
                  <w:r>
                    <w:rPr>
                      <w:rFonts w:hint="eastAsia" w:ascii="宋体" w:hAnsi="宋体" w:cs="宋体"/>
                      <w:szCs w:val="21"/>
                    </w:rPr>
                    <w:t>。</w:t>
                  </w: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420"/>
                  </w:pPr>
                </w:p>
                <w:p>
                  <w:pPr>
                    <w:pStyle w:val="15"/>
                    <w:ind w:firstLine="0" w:firstLineChars="0"/>
                    <w:rPr>
                      <w:rFonts w:hint="eastAsia"/>
                    </w:rPr>
                  </w:pP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457558"/>
    <w:rsid w:val="08666437"/>
    <w:rsid w:val="0989468D"/>
    <w:rsid w:val="0D75484E"/>
    <w:rsid w:val="0E5863A6"/>
    <w:rsid w:val="11484B39"/>
    <w:rsid w:val="14C94390"/>
    <w:rsid w:val="15AF630E"/>
    <w:rsid w:val="176F7B69"/>
    <w:rsid w:val="17A87575"/>
    <w:rsid w:val="1C800DED"/>
    <w:rsid w:val="1D827358"/>
    <w:rsid w:val="1DE51BD3"/>
    <w:rsid w:val="1E572C23"/>
    <w:rsid w:val="1F0C1C14"/>
    <w:rsid w:val="22740BEC"/>
    <w:rsid w:val="2582154E"/>
    <w:rsid w:val="2703457D"/>
    <w:rsid w:val="2DAC502C"/>
    <w:rsid w:val="2F360CFB"/>
    <w:rsid w:val="2F4740AB"/>
    <w:rsid w:val="2FC07975"/>
    <w:rsid w:val="326C0058"/>
    <w:rsid w:val="32B17DDB"/>
    <w:rsid w:val="330632BA"/>
    <w:rsid w:val="337D1D89"/>
    <w:rsid w:val="33CA252A"/>
    <w:rsid w:val="34DB165D"/>
    <w:rsid w:val="35773D22"/>
    <w:rsid w:val="36076C9A"/>
    <w:rsid w:val="36326B13"/>
    <w:rsid w:val="38275498"/>
    <w:rsid w:val="386F38DE"/>
    <w:rsid w:val="3B834A7C"/>
    <w:rsid w:val="3BB93FFE"/>
    <w:rsid w:val="3D657E62"/>
    <w:rsid w:val="3D81346E"/>
    <w:rsid w:val="40E5693C"/>
    <w:rsid w:val="42F65232"/>
    <w:rsid w:val="43B23412"/>
    <w:rsid w:val="472B1A05"/>
    <w:rsid w:val="48873DB8"/>
    <w:rsid w:val="4AAF22C7"/>
    <w:rsid w:val="4DE6289A"/>
    <w:rsid w:val="4FE171BC"/>
    <w:rsid w:val="50996F13"/>
    <w:rsid w:val="530D7B51"/>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6FE1467"/>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4">
    <w:name w:val="表内容"/>
    <w:basedOn w:val="1"/>
    <w:unhideWhenUsed/>
    <w:qFormat/>
    <w:uiPriority w:val="0"/>
    <w:pPr>
      <w:adjustRightInd w:val="0"/>
      <w:snapToGrid w:val="0"/>
    </w:pPr>
    <w:rPr>
      <w:rFonts w:ascii="宋体" w:hAnsi="宋体" w:cs="宋体"/>
      <w:snapToGrid w:val="0"/>
      <w:szCs w:val="21"/>
    </w:rPr>
  </w:style>
  <w:style w:type="paragraph" w:customStyle="1" w:styleId="15">
    <w:name w:val="标准正文"/>
    <w:basedOn w:val="1"/>
    <w:qFormat/>
    <w:uiPriority w:val="0"/>
    <w:pPr>
      <w:spacing w:line="360" w:lineRule="auto"/>
      <w:ind w:firstLine="480" w:firstLineChars="200"/>
    </w:pPr>
    <w:rPr>
      <w:rFonts w:ascii="Times New Roman" w:cs="Times New Roman"/>
      <w:szCs w:val="20"/>
    </w:rPr>
  </w:style>
  <w:style w:type="paragraph" w:customStyle="1" w:styleId="16">
    <w:name w:val="05正文"/>
    <w:basedOn w:val="1"/>
    <w:qFormat/>
    <w:uiPriority w:val="0"/>
    <w:pPr>
      <w:spacing w:line="360" w:lineRule="auto"/>
      <w:ind w:firstLine="200" w:firstLineChars="200"/>
    </w:pPr>
    <w:rPr>
      <w:rFonts w:ascii="Times New Roman" w:hAnsi="Times New Roman"/>
      <w:kern w:val="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2022-07-28T01:04:32Z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EEB85C17109F465282E8EB4C3D8B7677</vt:lpwstr>
  </property>
</Properties>
</file>