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952"/>
        <w:gridCol w:w="9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046" w:hRule="atLeast"/>
        </w:trPr>
        <w:tc>
          <w:tcPr>
            <w:tcW w:w="952"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建设地点</w:t>
            </w:r>
          </w:p>
        </w:tc>
        <w:tc>
          <w:tcPr>
            <w:tcW w:w="9327"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马鞍山隧道出口、西畴隧道进口湿喷站（1#）：西畴县西洒镇么洒村撒老村小组</w:t>
            </w:r>
          </w:p>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b/>
                <w:bCs/>
                <w:color w:val="000000"/>
                <w:sz w:val="24"/>
                <w:szCs w:val="24"/>
                <w:highlight w:val="none"/>
                <w:shd w:val="clear" w:color="auto" w:fill="FFFFFF"/>
                <w:lang w:eastAsia="zh-CN"/>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西畴隧道出口、坪子隧道进口湿喷站（2#）：西畴县西洒镇坝尾村下坝尾村小组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752" w:hRule="atLeast"/>
        </w:trPr>
        <w:tc>
          <w:tcPr>
            <w:tcW w:w="952"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建设单位</w:t>
            </w:r>
          </w:p>
        </w:tc>
        <w:tc>
          <w:tcPr>
            <w:tcW w:w="9327"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val="en-US" w:eastAsia="zh-CN"/>
              </w:rPr>
              <w:t>四川旺民建筑劳务有限公司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18" w:hRule="atLeast"/>
        </w:trPr>
        <w:tc>
          <w:tcPr>
            <w:tcW w:w="952" w:type="dxa"/>
            <w:shd w:val="clear" w:color="auto" w:fill="FFFFFF"/>
            <w:tcMar>
              <w:top w:w="0" w:type="dxa"/>
              <w:left w:w="108" w:type="dxa"/>
              <w:bottom w:w="0" w:type="dxa"/>
              <w:right w:w="108" w:type="dxa"/>
            </w:tcMa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环境影响评价机构</w:t>
            </w:r>
          </w:p>
        </w:tc>
        <w:tc>
          <w:tcPr>
            <w:tcW w:w="9327"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shd w:val="clear" w:color="auto" w:fill="FFFFFF"/>
                <w:lang w:val="en-US" w:eastAsia="zh-CN"/>
              </w:rPr>
            </w:pPr>
            <w:r>
              <w:rPr>
                <w:rFonts w:hint="eastAsia" w:ascii="Times New Roman" w:hAnsi="Times New Roman" w:eastAsia="方正仿宋_GBK" w:cs="Times New Roman"/>
                <w:color w:val="000000"/>
                <w:sz w:val="24"/>
                <w:szCs w:val="24"/>
                <w:shd w:val="clear" w:color="auto" w:fill="FFFFFF"/>
                <w:lang w:val="en-US" w:eastAsia="zh-CN"/>
              </w:rPr>
              <w:t>河北诚羿环保工程有限公司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0545" w:hRule="atLeast"/>
        </w:trPr>
        <w:tc>
          <w:tcPr>
            <w:tcW w:w="952" w:type="dxa"/>
            <w:shd w:val="clear" w:color="auto" w:fill="FFFFFF"/>
            <w:tcMar>
              <w:top w:w="0" w:type="dxa"/>
              <w:left w:w="108" w:type="dxa"/>
              <w:bottom w:w="0" w:type="dxa"/>
              <w:right w:w="108" w:type="dxa"/>
            </w:tcMa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项目概况</w:t>
            </w:r>
          </w:p>
        </w:tc>
        <w:tc>
          <w:tcPr>
            <w:tcW w:w="9327" w:type="dxa"/>
            <w:shd w:val="clear" w:color="auto" w:fill="FFFFFF"/>
            <w:tcMar>
              <w:top w:w="0" w:type="dxa"/>
              <w:left w:w="108" w:type="dxa"/>
              <w:bottom w:w="0" w:type="dxa"/>
              <w:right w:w="108" w:type="dxa"/>
            </w:tcMa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本项目为云南省高速公路网广南（那洒）至西畴（兴街）高速公路，土建九分部（K37+100～K44+500）段隧道建设配套湿喷站。建设性质：新建</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马鞍山隧道出口、西畴隧道进口湿喷站（1#）位于云南省文山州西畴县西洒镇么洒村撒老村小组，占地位于广南（那洒）至西畴（兴街）高速公路征地范围外，为临时用地</w:t>
            </w:r>
            <w:bookmarkStart w:id="0" w:name="_GoBack"/>
            <w:bookmarkEnd w:id="0"/>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占地面积3500m2，年生产1.4万方喷射混凝土；西畴隧道出口、坪子隧道进口湿喷站（2#）位于云南省文山州西畴县西洒镇坝尾村下坝尾村小组，占地位于广南（那洒）至西畴（兴街）高速公路征地范围外，为临时用地</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占地面积2800m2，年生产1.2万方喷射混凝土。该项目为临时工程，服务期满后，建设单位按相关规定进行复垦，并通过验收。项目主要建设内容包括主体工程、辅助工程、储运工程、公用工程、环保工程，</w:t>
            </w:r>
            <w:r>
              <w:rPr>
                <w:rFonts w:hint="default" w:ascii="Times New Roman" w:hAnsi="Times New Roman" w:eastAsia="方正仿宋_GBK" w:cs="Times New Roman"/>
                <w:kern w:val="2"/>
                <w:sz w:val="24"/>
                <w:szCs w:val="24"/>
                <w:highlight w:val="none"/>
                <w:lang w:val="en-US" w:eastAsia="zh-CN" w:bidi="ar-SA"/>
              </w:rPr>
              <w:t>项目符合《文山州“三线一单”生态环境分区管控实施方案》的相关要求。项目选址合理可行。项目总投资</w:t>
            </w:r>
            <w:r>
              <w:rPr>
                <w:rFonts w:hint="eastAsia" w:ascii="Times New Roman" w:hAnsi="Times New Roman" w:eastAsia="方正仿宋_GBK" w:cs="Times New Roman"/>
                <w:kern w:val="2"/>
                <w:sz w:val="24"/>
                <w:szCs w:val="24"/>
                <w:highlight w:val="none"/>
                <w:lang w:val="en-US" w:eastAsia="zh-CN" w:bidi="ar-SA"/>
              </w:rPr>
              <w:t>270</w:t>
            </w:r>
            <w:r>
              <w:rPr>
                <w:rFonts w:hint="default" w:ascii="Times New Roman" w:hAnsi="Times New Roman" w:eastAsia="方正仿宋_GBK" w:cs="Times New Roman"/>
                <w:kern w:val="2"/>
                <w:sz w:val="24"/>
                <w:szCs w:val="24"/>
                <w:highlight w:val="none"/>
                <w:lang w:val="en-US" w:eastAsia="zh-CN" w:bidi="ar-SA"/>
              </w:rPr>
              <w:t>万元，其中环保投资</w:t>
            </w:r>
            <w:r>
              <w:rPr>
                <w:rFonts w:hint="eastAsia" w:ascii="Times New Roman" w:hAnsi="Times New Roman" w:eastAsia="方正仿宋_GBK" w:cs="Times New Roman"/>
                <w:kern w:val="2"/>
                <w:sz w:val="24"/>
                <w:szCs w:val="24"/>
                <w:highlight w:val="none"/>
                <w:lang w:val="en-US" w:eastAsia="zh-CN" w:bidi="ar-SA"/>
              </w:rPr>
              <w:t>51.58</w:t>
            </w:r>
            <w:r>
              <w:rPr>
                <w:rFonts w:hint="default" w:ascii="Times New Roman" w:hAnsi="Times New Roman" w:eastAsia="方正仿宋_GBK" w:cs="Times New Roman"/>
                <w:kern w:val="2"/>
                <w:sz w:val="24"/>
                <w:szCs w:val="24"/>
                <w:highlight w:val="none"/>
                <w:lang w:val="en-US" w:eastAsia="zh-CN" w:bidi="ar-SA"/>
              </w:rPr>
              <w:t>万元，占总投资的</w:t>
            </w:r>
            <w:r>
              <w:rPr>
                <w:rFonts w:hint="eastAsia" w:ascii="Times New Roman" w:hAnsi="Times New Roman" w:eastAsia="方正仿宋_GBK" w:cs="Times New Roman"/>
                <w:kern w:val="2"/>
                <w:sz w:val="24"/>
                <w:szCs w:val="24"/>
                <w:highlight w:val="none"/>
                <w:lang w:val="en-US" w:eastAsia="zh-CN" w:bidi="ar-SA"/>
              </w:rPr>
              <w:t>19.1</w:t>
            </w:r>
            <w:r>
              <w:rPr>
                <w:rFonts w:hint="default" w:ascii="Times New Roman" w:hAnsi="Times New Roman" w:eastAsia="方正仿宋_GBK" w:cs="Times New Roman"/>
                <w:kern w:val="2"/>
                <w:sz w:val="24"/>
                <w:szCs w:val="24"/>
                <w:highlight w:val="none"/>
                <w:lang w:val="en-US" w:eastAsia="zh-CN" w:bidi="ar-SA"/>
              </w:rPr>
              <w:t>%</w:t>
            </w:r>
            <w:r>
              <w:rPr>
                <w:rFonts w:hint="eastAsia" w:ascii="Times New Roman" w:hAnsi="Times New Roman" w:eastAsia="方正仿宋_GBK" w:cs="Times New Roman"/>
                <w:kern w:val="2"/>
                <w:sz w:val="24"/>
                <w:szCs w:val="24"/>
                <w:highlight w:val="none"/>
                <w:lang w:val="en-US" w:eastAsia="zh-CN" w:bidi="ar-SA"/>
              </w:rPr>
              <w:t>。</w:t>
            </w:r>
          </w:p>
          <w:p>
            <w:pPr>
              <w:pStyle w:val="13"/>
              <w:keepNext w:val="0"/>
              <w:keepLines w:val="0"/>
              <w:pageBreakBefore w:val="0"/>
              <w:kinsoku/>
              <w:wordWrap/>
              <w:overflowPunct/>
              <w:topLinePunct w:val="0"/>
              <w:autoSpaceDE/>
              <w:autoSpaceDN/>
              <w:bidi w:val="0"/>
              <w:adjustRightInd/>
              <w:snapToGrid/>
              <w:spacing w:line="480" w:lineRule="exact"/>
              <w:ind w:left="112" w:right="92" w:firstLine="480"/>
              <w:jc w:val="both"/>
              <w:textAlignment w:val="auto"/>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13" w:hRule="atLeast"/>
        </w:trPr>
        <w:tc>
          <w:tcPr>
            <w:tcW w:w="952" w:type="dxa"/>
            <w:shd w:val="clear" w:color="auto" w:fill="FFFFFF"/>
            <w:tcMar>
              <w:top w:w="0" w:type="dxa"/>
              <w:left w:w="108" w:type="dxa"/>
              <w:bottom w:w="0" w:type="dxa"/>
              <w:right w:w="108" w:type="dxa"/>
            </w:tcMar>
          </w:tcPr>
          <w:p>
            <w:pPr>
              <w:pStyle w:val="8"/>
              <w:keepNext w:val="0"/>
              <w:keepLines w:val="0"/>
              <w:pageBreakBefore w:val="0"/>
              <w:widowControl/>
              <w:shd w:val="clear" w:color="auto" w:fill="FFFFFF"/>
              <w:kinsoku/>
              <w:wordWrap/>
              <w:overflowPunct/>
              <w:topLinePunct w:val="0"/>
              <w:autoSpaceDE/>
              <w:autoSpaceDN/>
              <w:bidi w:val="0"/>
              <w:spacing w:line="300" w:lineRule="exact"/>
              <w:textAlignment w:val="auto"/>
              <w:rPr>
                <w:rFonts w:hint="eastAsia" w:ascii="方正仿宋_GBK" w:hAnsi="方正仿宋_GBK" w:eastAsia="方正仿宋_GBK" w:cs="方正仿宋_GBK"/>
                <w:color w:val="000000"/>
                <w:sz w:val="24"/>
                <w:szCs w:val="24"/>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9327" w:type="dxa"/>
            <w:shd w:val="clear" w:color="auto" w:fill="FFFFFF"/>
            <w:tcMar>
              <w:top w:w="0" w:type="dxa"/>
              <w:left w:w="108" w:type="dxa"/>
              <w:bottom w:w="0" w:type="dxa"/>
              <w:right w:w="108" w:type="dxa"/>
            </w:tcMar>
          </w:tcPr>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74"/>
              <w:gridCol w:w="573"/>
              <w:gridCol w:w="941"/>
              <w:gridCol w:w="1141"/>
              <w:gridCol w:w="2610"/>
              <w:gridCol w:w="22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4" w:type="dxa"/>
                  <w:tcBorders>
                    <w:tl2br w:val="single" w:color="auto" w:sz="4" w:space="0"/>
                  </w:tcBorders>
                  <w:noWrap w:val="0"/>
                  <w:vAlign w:val="top"/>
                </w:tcPr>
                <w:p>
                  <w:pPr>
                    <w:keepNext w:val="0"/>
                    <w:keepLines w:val="0"/>
                    <w:suppressLineNumbers w:val="0"/>
                    <w:adjustRightInd w:val="0"/>
                    <w:snapToGrid w:val="0"/>
                    <w:spacing w:before="0" w:beforeAutospacing="0" w:after="0" w:afterAutospacing="0"/>
                    <w:ind w:left="0" w:right="0" w:firstLine="630" w:firstLineChars="3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内容</w:t>
                  </w:r>
                </w:p>
                <w:p>
                  <w:pPr>
                    <w:keepNext w:val="0"/>
                    <w:keepLines w:val="0"/>
                    <w:suppressLineNumbers w:val="0"/>
                    <w:adjustRightInd w:val="0"/>
                    <w:snapToGrid w:val="0"/>
                    <w:spacing w:before="0" w:beforeAutospacing="0" w:after="0" w:afterAutospacing="0"/>
                    <w:ind w:left="0" w:right="0" w:firstLine="1050" w:firstLineChars="5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要素</w:t>
                  </w:r>
                </w:p>
              </w:tc>
              <w:tc>
                <w:tcPr>
                  <w:tcW w:w="1514"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排放口(编号、</w:t>
                  </w:r>
                </w:p>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名称)/污染源</w:t>
                  </w:r>
                </w:p>
              </w:tc>
              <w:tc>
                <w:tcPr>
                  <w:tcW w:w="114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污染物项目</w:t>
                  </w:r>
                </w:p>
              </w:tc>
              <w:tc>
                <w:tcPr>
                  <w:tcW w:w="261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环境保护措施</w:t>
                  </w:r>
                </w:p>
              </w:tc>
              <w:tc>
                <w:tcPr>
                  <w:tcW w:w="226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4"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大气环境</w:t>
                  </w:r>
                </w:p>
              </w:tc>
              <w:tc>
                <w:tcPr>
                  <w:tcW w:w="1514"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水泥筒仓</w:t>
                  </w:r>
                </w:p>
              </w:tc>
              <w:tc>
                <w:tcPr>
                  <w:tcW w:w="11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颗粒物</w:t>
                  </w:r>
                </w:p>
              </w:tc>
              <w:tc>
                <w:tcPr>
                  <w:tcW w:w="2610"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脉冲式布袋除尘器</w:t>
                  </w:r>
                </w:p>
              </w:tc>
              <w:tc>
                <w:tcPr>
                  <w:tcW w:w="226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满足</w:t>
                  </w:r>
                  <w:r>
                    <w:rPr>
                      <w:rFonts w:hint="default"/>
                      <w:snapToGrid w:val="0"/>
                      <w:color w:val="000000" w:themeColor="text1"/>
                      <w:kern w:val="0"/>
                      <w:szCs w:val="21"/>
                      <w14:textFill>
                        <w14:solidFill>
                          <w14:schemeClr w14:val="tx1"/>
                        </w14:solidFill>
                      </w14:textFill>
                    </w:rPr>
                    <w:t>《水泥工业大气污染物排放标准》（GB4915-2013）最高允许排放浓度≤</w:t>
                  </w:r>
                  <w:r>
                    <w:rPr>
                      <w:rFonts w:hint="eastAsia"/>
                      <w:snapToGrid w:val="0"/>
                      <w:color w:val="000000" w:themeColor="text1"/>
                      <w:kern w:val="0"/>
                      <w:szCs w:val="21"/>
                      <w14:textFill>
                        <w14:solidFill>
                          <w14:schemeClr w14:val="tx1"/>
                        </w14:solidFill>
                      </w14:textFill>
                    </w:rPr>
                    <w:t>2</w:t>
                  </w:r>
                  <w:r>
                    <w:rPr>
                      <w:rFonts w:hint="default"/>
                      <w:snapToGrid w:val="0"/>
                      <w:color w:val="000000" w:themeColor="text1"/>
                      <w:kern w:val="0"/>
                      <w:szCs w:val="21"/>
                      <w14:textFill>
                        <w14:solidFill>
                          <w14:schemeClr w14:val="tx1"/>
                        </w14:solidFill>
                      </w14:textFill>
                    </w:rPr>
                    <w:t>0mg/Nm</w:t>
                  </w:r>
                  <w:r>
                    <w:rPr>
                      <w:rFonts w:hint="default"/>
                      <w:snapToGrid w:val="0"/>
                      <w:color w:val="000000" w:themeColor="text1"/>
                      <w:kern w:val="0"/>
                      <w:szCs w:val="21"/>
                      <w:vertAlign w:val="superscript"/>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274"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p>
              </w:tc>
              <w:tc>
                <w:tcPr>
                  <w:tcW w:w="1514" w:type="dxa"/>
                  <w:gridSpan w:val="2"/>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厂界</w:t>
                  </w:r>
                </w:p>
              </w:tc>
              <w:tc>
                <w:tcPr>
                  <w:tcW w:w="1141"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颗粒物</w:t>
                  </w:r>
                </w:p>
              </w:tc>
              <w:tc>
                <w:tcPr>
                  <w:tcW w:w="26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420" w:firstLineChars="200"/>
                    <w:jc w:val="both"/>
                    <w:textAlignment w:val="auto"/>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站内场地、道路全部硬化，厂界围挡；骨料堆场三面+顶彩钢瓦封闭，内部四周设置雾化喷洒装置；</w:t>
                  </w:r>
                  <w:r>
                    <w:rPr>
                      <w:rFonts w:hint="default" w:ascii="宋体" w:hAnsi="宋体" w:eastAsia="宋体" w:cs="宋体"/>
                      <w:color w:val="000000" w:themeColor="text1"/>
                      <w:szCs w:val="21"/>
                      <w:lang w:val="en-US" w:eastAsia="zh-CN"/>
                      <w14:textFill>
                        <w14:solidFill>
                          <w14:schemeClr w14:val="tx1"/>
                        </w14:solidFill>
                      </w14:textFill>
                    </w:rPr>
                    <w:t>皮带输送机廊道上部加盖侧面密封，下部设有收料盘</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对搅拌机进行封闭</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场地</w:t>
                  </w:r>
                  <w:r>
                    <w:rPr>
                      <w:rFonts w:hint="eastAsia" w:ascii="宋体" w:hAnsi="宋体" w:cs="宋体"/>
                      <w:color w:val="000000" w:themeColor="text1"/>
                      <w:szCs w:val="21"/>
                      <w:lang w:val="en-US" w:eastAsia="zh-CN"/>
                      <w14:textFill>
                        <w14:solidFill>
                          <w14:schemeClr w14:val="tx1"/>
                        </w14:solidFill>
                      </w14:textFill>
                    </w:rPr>
                    <w:t>及生产区</w:t>
                  </w:r>
                  <w:r>
                    <w:rPr>
                      <w:rFonts w:hint="eastAsia" w:ascii="宋体" w:hAnsi="宋体" w:eastAsia="宋体" w:cs="宋体"/>
                      <w:color w:val="000000" w:themeColor="text1"/>
                      <w:szCs w:val="21"/>
                      <w:lang w:val="en-US" w:eastAsia="zh-CN"/>
                      <w14:textFill>
                        <w14:solidFill>
                          <w14:schemeClr w14:val="tx1"/>
                        </w14:solidFill>
                      </w14:textFill>
                    </w:rPr>
                    <w:t>内洒水抑尘。</w:t>
                  </w:r>
                </w:p>
              </w:tc>
              <w:tc>
                <w:tcPr>
                  <w:tcW w:w="2261"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default"/>
                      <w:snapToGrid w:val="0"/>
                      <w:color w:val="000000" w:themeColor="text1"/>
                      <w:kern w:val="0"/>
                      <w:szCs w:val="21"/>
                      <w14:textFill>
                        <w14:solidFill>
                          <w14:schemeClr w14:val="tx1"/>
                        </w14:solidFill>
                      </w14:textFill>
                    </w:rPr>
                    <w:t>达到《水泥工业大气污染物排放标准》（GB4915-20</w:t>
                  </w:r>
                  <w:r>
                    <w:rPr>
                      <w:rFonts w:hint="eastAsia"/>
                      <w:snapToGrid w:val="0"/>
                      <w:color w:val="000000" w:themeColor="text1"/>
                      <w:kern w:val="0"/>
                      <w:szCs w:val="21"/>
                      <w14:textFill>
                        <w14:solidFill>
                          <w14:schemeClr w14:val="tx1"/>
                        </w14:solidFill>
                      </w14:textFill>
                    </w:rPr>
                    <w:t>13</w:t>
                  </w:r>
                  <w:r>
                    <w:rPr>
                      <w:rFonts w:hint="default"/>
                      <w:snapToGrid w:val="0"/>
                      <w:color w:val="000000" w:themeColor="text1"/>
                      <w:kern w:val="0"/>
                      <w:szCs w:val="21"/>
                      <w14:textFill>
                        <w14:solidFill>
                          <w14:schemeClr w14:val="tx1"/>
                        </w14:solidFill>
                      </w14:textFill>
                    </w:rPr>
                    <w:t>）中</w:t>
                  </w:r>
                  <w:r>
                    <w:rPr>
                      <w:rFonts w:hint="eastAsia"/>
                      <w:snapToGrid w:val="0"/>
                      <w:color w:val="000000" w:themeColor="text1"/>
                      <w:kern w:val="0"/>
                      <w:szCs w:val="21"/>
                      <w14:textFill>
                        <w14:solidFill>
                          <w14:schemeClr w14:val="tx1"/>
                        </w14:solidFill>
                      </w14:textFill>
                    </w:rPr>
                    <w:t>的</w:t>
                  </w:r>
                  <w:r>
                    <w:rPr>
                      <w:rFonts w:hint="default"/>
                      <w:snapToGrid w:val="0"/>
                      <w:color w:val="000000" w:themeColor="text1"/>
                      <w:kern w:val="0"/>
                      <w:szCs w:val="21"/>
                      <w14:textFill>
                        <w14:solidFill>
                          <w14:schemeClr w14:val="tx1"/>
                        </w14:solidFill>
                      </w14:textFill>
                    </w:rPr>
                    <w:t>无组织排放监控浓度限值≤</w:t>
                  </w:r>
                  <w:r>
                    <w:rPr>
                      <w:rFonts w:hint="eastAsia"/>
                      <w:snapToGrid w:val="0"/>
                      <w:color w:val="000000" w:themeColor="text1"/>
                      <w:kern w:val="0"/>
                      <w:szCs w:val="21"/>
                      <w14:textFill>
                        <w14:solidFill>
                          <w14:schemeClr w14:val="tx1"/>
                        </w14:solidFill>
                      </w14:textFill>
                    </w:rPr>
                    <w:t>0.5</w:t>
                  </w:r>
                  <w:r>
                    <w:rPr>
                      <w:rFonts w:hint="default"/>
                      <w:snapToGrid w:val="0"/>
                      <w:color w:val="000000" w:themeColor="text1"/>
                      <w:kern w:val="0"/>
                      <w:szCs w:val="21"/>
                      <w14:textFill>
                        <w14:solidFill>
                          <w14:schemeClr w14:val="tx1"/>
                        </w14:solidFill>
                      </w14:textFill>
                    </w:rPr>
                    <w:t>mg/m</w:t>
                  </w:r>
                  <w:r>
                    <w:rPr>
                      <w:rFonts w:hint="default"/>
                      <w:snapToGrid w:val="0"/>
                      <w:color w:val="000000" w:themeColor="text1"/>
                      <w:kern w:val="0"/>
                      <w:szCs w:val="21"/>
                      <w:vertAlign w:val="superscript"/>
                      <w14:textFill>
                        <w14:solidFill>
                          <w14:schemeClr w14:val="tx1"/>
                        </w14:solidFill>
                      </w14:textFill>
                    </w:rPr>
                    <w:t>3</w:t>
                  </w:r>
                  <w:r>
                    <w:rPr>
                      <w:rFonts w:hint="eastAsia"/>
                      <w:snapToGrid w:val="0"/>
                      <w:color w:val="000000" w:themeColor="text1"/>
                      <w:kern w:val="0"/>
                      <w:szCs w:val="21"/>
                      <w14:textFill>
                        <w14:solidFill>
                          <w14:schemeClr w14:val="tx1"/>
                        </w14:solidFill>
                      </w14:textFill>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4"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地表水环境</w:t>
                  </w:r>
                </w:p>
              </w:tc>
              <w:tc>
                <w:tcPr>
                  <w:tcW w:w="573" w:type="dxa"/>
                  <w:vMerge w:val="restar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snapToGrid w:val="0"/>
                      <w:color w:val="000000" w:themeColor="text1"/>
                      <w:kern w:val="0"/>
                      <w:szCs w:val="21"/>
                      <w14:textFill>
                        <w14:solidFill>
                          <w14:schemeClr w14:val="tx1"/>
                        </w14:solidFill>
                      </w14:textFill>
                    </w:rPr>
                    <w:t>生产废水</w:t>
                  </w:r>
                </w:p>
              </w:tc>
              <w:tc>
                <w:tcPr>
                  <w:tcW w:w="941" w:type="dxa"/>
                  <w:noWrap w:val="0"/>
                  <w:vAlign w:val="center"/>
                </w:tcPr>
                <w:p>
                  <w:pPr>
                    <w:keepNext w:val="0"/>
                    <w:keepLines w:val="0"/>
                    <w:suppressLineNumbers w:val="0"/>
                    <w:spacing w:before="0" w:beforeAutospacing="0" w:after="0" w:afterAutospacing="0"/>
                    <w:ind w:left="0" w:right="0"/>
                    <w:jc w:val="center"/>
                    <w:rPr>
                      <w:rFonts w:hint="default" w:eastAsia="宋体"/>
                      <w:snapToGrid w:val="0"/>
                      <w:color w:val="000000" w:themeColor="text1"/>
                      <w:kern w:val="0"/>
                      <w:szCs w:val="21"/>
                      <w:lang w:val="en-US" w:eastAsia="zh-CN"/>
                      <w14:textFill>
                        <w14:solidFill>
                          <w14:schemeClr w14:val="tx1"/>
                        </w14:solidFill>
                      </w14:textFill>
                    </w:rPr>
                  </w:pPr>
                  <w:r>
                    <w:rPr>
                      <w:rFonts w:hint="eastAsia"/>
                      <w:snapToGrid w:val="0"/>
                      <w:color w:val="000000" w:themeColor="text1"/>
                      <w:kern w:val="0"/>
                      <w:szCs w:val="21"/>
                      <w:lang w:val="en-US" w:eastAsia="zh-CN"/>
                      <w14:textFill>
                        <w14:solidFill>
                          <w14:schemeClr w14:val="tx1"/>
                        </w14:solidFill>
                      </w14:textFill>
                    </w:rPr>
                    <w:t>1#</w:t>
                  </w:r>
                </w:p>
              </w:tc>
              <w:tc>
                <w:tcPr>
                  <w:tcW w:w="1141"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snapToGrid w:val="0"/>
                      <w:color w:val="000000" w:themeColor="text1"/>
                      <w:kern w:val="0"/>
                      <w:szCs w:val="21"/>
                      <w14:textFill>
                        <w14:solidFill>
                          <w14:schemeClr w14:val="tx1"/>
                        </w14:solidFill>
                      </w14:textFill>
                    </w:rPr>
                    <w:t>S</w:t>
                  </w:r>
                  <w:r>
                    <w:rPr>
                      <w:rFonts w:hint="default"/>
                      <w:snapToGrid w:val="0"/>
                      <w:color w:val="000000" w:themeColor="text1"/>
                      <w:kern w:val="0"/>
                      <w:szCs w:val="21"/>
                      <w14:textFill>
                        <w14:solidFill>
                          <w14:schemeClr w14:val="tx1"/>
                        </w14:solidFill>
                      </w14:textFill>
                    </w:rPr>
                    <w:t>S</w:t>
                  </w:r>
                </w:p>
              </w:tc>
              <w:tc>
                <w:tcPr>
                  <w:tcW w:w="2610"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个</w:t>
                  </w:r>
                  <w:r>
                    <w:rPr>
                      <w:rFonts w:hint="eastAsia"/>
                      <w:color w:val="000000" w:themeColor="text1"/>
                      <w:szCs w:val="21"/>
                      <w:lang w:val="en-US" w:eastAsia="zh-CN"/>
                      <w14:textFill>
                        <w14:solidFill>
                          <w14:schemeClr w14:val="tx1"/>
                        </w14:solidFill>
                      </w14:textFill>
                    </w:rPr>
                    <w:t>总</w:t>
                  </w:r>
                  <w:r>
                    <w:rPr>
                      <w:rFonts w:hint="eastAsia"/>
                      <w:color w:val="000000" w:themeColor="text1"/>
                      <w:szCs w:val="21"/>
                      <w14:textFill>
                        <w14:solidFill>
                          <w14:schemeClr w14:val="tx1"/>
                        </w14:solidFill>
                      </w14:textFill>
                    </w:rPr>
                    <w:t>容积为</w:t>
                  </w:r>
                  <w:r>
                    <w:rPr>
                      <w:rFonts w:hint="eastAsia"/>
                      <w:color w:val="000000" w:themeColor="text1"/>
                      <w:szCs w:val="21"/>
                      <w:lang w:val="en-US" w:eastAsia="zh-CN"/>
                      <w14:textFill>
                        <w14:solidFill>
                          <w14:schemeClr w14:val="tx1"/>
                        </w14:solidFill>
                      </w14:textFill>
                    </w:rPr>
                    <w:t>21</w:t>
                  </w:r>
                  <w:r>
                    <w:rPr>
                      <w:rFonts w:hint="eastAsia"/>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的三级沉淀池</w:t>
                  </w:r>
                  <w:r>
                    <w:rPr>
                      <w:rFonts w:hint="eastAsia"/>
                      <w:color w:val="000000" w:themeColor="text1"/>
                      <w:szCs w:val="21"/>
                      <w:lang w:eastAsia="zh-CN"/>
                      <w14:textFill>
                        <w14:solidFill>
                          <w14:schemeClr w14:val="tx1"/>
                        </w14:solidFill>
                      </w14:textFill>
                    </w:rPr>
                    <w:t>。</w:t>
                  </w:r>
                </w:p>
              </w:tc>
              <w:tc>
                <w:tcPr>
                  <w:tcW w:w="2261"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沉淀后回用于生产，不</w:t>
                  </w:r>
                  <w:r>
                    <w:rPr>
                      <w:rFonts w:hint="eastAsia"/>
                      <w:color w:val="000000" w:themeColor="text1"/>
                      <w:szCs w:val="21"/>
                      <w14:textFill>
                        <w14:solidFill>
                          <w14:schemeClr w14:val="tx1"/>
                        </w14:solidFill>
                      </w14:textFill>
                    </w:rPr>
                    <w:t>外排</w:t>
                  </w:r>
                  <w:r>
                    <w:rPr>
                      <w:rFonts w:hint="eastAsia"/>
                      <w:color w:val="000000" w:themeColor="text1"/>
                      <w:szCs w:val="21"/>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274" w:type="dxa"/>
                  <w:vMerge w:val="continue"/>
                  <w:noWrap w:val="0"/>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p>
              </w:tc>
              <w:tc>
                <w:tcPr>
                  <w:tcW w:w="573" w:type="dxa"/>
                  <w:vMerge w:val="continue"/>
                  <w:noWrap w:val="0"/>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p>
              </w:tc>
              <w:tc>
                <w:tcPr>
                  <w:tcW w:w="941" w:type="dxa"/>
                  <w:noWrap w:val="0"/>
                  <w:vAlign w:val="center"/>
                </w:tcPr>
                <w:p>
                  <w:pPr>
                    <w:keepNext w:val="0"/>
                    <w:keepLines w:val="0"/>
                    <w:suppressLineNumbers w:val="0"/>
                    <w:spacing w:before="0" w:beforeAutospacing="0" w:after="0" w:afterAutospacing="0"/>
                    <w:ind w:left="0" w:right="0"/>
                    <w:jc w:val="center"/>
                    <w:rPr>
                      <w:rFonts w:hint="default" w:eastAsia="宋体"/>
                      <w:snapToGrid w:val="0"/>
                      <w:color w:val="000000" w:themeColor="text1"/>
                      <w:kern w:val="0"/>
                      <w:szCs w:val="21"/>
                      <w:lang w:val="en-US" w:eastAsia="zh-CN"/>
                      <w14:textFill>
                        <w14:solidFill>
                          <w14:schemeClr w14:val="tx1"/>
                        </w14:solidFill>
                      </w14:textFill>
                    </w:rPr>
                  </w:pPr>
                  <w:r>
                    <w:rPr>
                      <w:rFonts w:hint="eastAsia"/>
                      <w:snapToGrid w:val="0"/>
                      <w:color w:val="000000" w:themeColor="text1"/>
                      <w:kern w:val="0"/>
                      <w:szCs w:val="21"/>
                      <w:lang w:val="en-US" w:eastAsia="zh-CN"/>
                      <w14:textFill>
                        <w14:solidFill>
                          <w14:schemeClr w14:val="tx1"/>
                        </w14:solidFill>
                      </w14:textFill>
                    </w:rPr>
                    <w:t>2#</w:t>
                  </w:r>
                </w:p>
              </w:tc>
              <w:tc>
                <w:tcPr>
                  <w:tcW w:w="1141" w:type="dxa"/>
                  <w:vMerge w:val="continue"/>
                  <w:noWrap w:val="0"/>
                  <w:vAlign w:val="center"/>
                </w:tcPr>
                <w:p>
                  <w:pPr>
                    <w:keepNext w:val="0"/>
                    <w:keepLines w:val="0"/>
                    <w:suppressLineNumbers w:val="0"/>
                    <w:spacing w:before="0" w:beforeAutospacing="0" w:after="0" w:afterAutospacing="0"/>
                    <w:ind w:left="0" w:right="0"/>
                    <w:jc w:val="center"/>
                    <w:rPr>
                      <w:rFonts w:hint="eastAsia"/>
                      <w:snapToGrid w:val="0"/>
                      <w:color w:val="000000" w:themeColor="text1"/>
                      <w:kern w:val="0"/>
                      <w:szCs w:val="21"/>
                      <w14:textFill>
                        <w14:solidFill>
                          <w14:schemeClr w14:val="tx1"/>
                        </w14:solidFill>
                      </w14:textFill>
                    </w:rPr>
                  </w:pPr>
                </w:p>
              </w:tc>
              <w:tc>
                <w:tcPr>
                  <w:tcW w:w="2610" w:type="dxa"/>
                  <w:noWrap w:val="0"/>
                  <w:vAlign w:val="center"/>
                </w:tcPr>
                <w:p>
                  <w:pPr>
                    <w:keepNext w:val="0"/>
                    <w:keepLines w:val="0"/>
                    <w:suppressLineNumbers w:val="0"/>
                    <w:spacing w:before="0" w:beforeAutospacing="0" w:after="0" w:afterAutospacing="0"/>
                    <w:ind w:left="0" w:right="0"/>
                    <w:jc w:val="center"/>
                    <w:rPr>
                      <w:rFonts w:hint="eastAsia"/>
                      <w:snapToGrid w:val="0"/>
                      <w:color w:val="000000" w:themeColor="text1"/>
                      <w:kern w:val="0"/>
                      <w:szCs w:val="21"/>
                      <w14:textFill>
                        <w14:solidFill>
                          <w14:schemeClr w14:val="tx1"/>
                        </w14:solidFill>
                      </w14:textFill>
                    </w:rPr>
                  </w:pPr>
                  <w:r>
                    <w:rPr>
                      <w:rFonts w:hint="default"/>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个</w:t>
                  </w:r>
                  <w:r>
                    <w:rPr>
                      <w:rFonts w:hint="eastAsia"/>
                      <w:color w:val="000000" w:themeColor="text1"/>
                      <w:szCs w:val="21"/>
                      <w:lang w:val="en-US" w:eastAsia="zh-CN"/>
                      <w14:textFill>
                        <w14:solidFill>
                          <w14:schemeClr w14:val="tx1"/>
                        </w14:solidFill>
                      </w14:textFill>
                    </w:rPr>
                    <w:t>总</w:t>
                  </w:r>
                  <w:r>
                    <w:rPr>
                      <w:rFonts w:hint="eastAsia"/>
                      <w:color w:val="000000" w:themeColor="text1"/>
                      <w:szCs w:val="21"/>
                      <w14:textFill>
                        <w14:solidFill>
                          <w14:schemeClr w14:val="tx1"/>
                        </w14:solidFill>
                      </w14:textFill>
                    </w:rPr>
                    <w:t>容积为</w:t>
                  </w:r>
                  <w:r>
                    <w:rPr>
                      <w:rFonts w:hint="eastAsia"/>
                      <w:color w:val="000000" w:themeColor="text1"/>
                      <w:szCs w:val="21"/>
                      <w:lang w:val="en-US" w:eastAsia="zh-CN"/>
                      <w14:textFill>
                        <w14:solidFill>
                          <w14:schemeClr w14:val="tx1"/>
                        </w14:solidFill>
                      </w14:textFill>
                    </w:rPr>
                    <w:t>21</w:t>
                  </w:r>
                  <w:r>
                    <w:rPr>
                      <w:rFonts w:hint="eastAsia"/>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的三级沉淀池</w:t>
                  </w:r>
                  <w:r>
                    <w:rPr>
                      <w:rFonts w:hint="eastAsia"/>
                      <w:color w:val="000000" w:themeColor="text1"/>
                      <w:szCs w:val="21"/>
                      <w:lang w:eastAsia="zh-CN"/>
                      <w14:textFill>
                        <w14:solidFill>
                          <w14:schemeClr w14:val="tx1"/>
                        </w14:solidFill>
                      </w14:textFill>
                    </w:rPr>
                    <w:t>。</w:t>
                  </w:r>
                </w:p>
              </w:tc>
              <w:tc>
                <w:tcPr>
                  <w:tcW w:w="2261" w:type="dxa"/>
                  <w:vMerge w:val="continue"/>
                  <w:noWrap w:val="0"/>
                  <w:vAlign w:val="center"/>
                </w:tcPr>
                <w:p>
                  <w:pPr>
                    <w:keepNext w:val="0"/>
                    <w:keepLines w:val="0"/>
                    <w:suppressLineNumbers w:val="0"/>
                    <w:spacing w:before="0" w:beforeAutospacing="0" w:after="0" w:afterAutospacing="0"/>
                    <w:ind w:left="0" w:right="0"/>
                    <w:jc w:val="center"/>
                    <w:rPr>
                      <w:rFonts w:hint="eastAsia"/>
                      <w:snapToGrid w:val="0"/>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274"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p>
              </w:tc>
              <w:tc>
                <w:tcPr>
                  <w:tcW w:w="1514"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default"/>
                      <w:snapToGrid w:val="0"/>
                      <w:color w:val="000000" w:themeColor="text1"/>
                      <w:kern w:val="0"/>
                      <w:szCs w:val="21"/>
                      <w14:textFill>
                        <w14:solidFill>
                          <w14:schemeClr w14:val="tx1"/>
                        </w14:solidFill>
                      </w14:textFill>
                    </w:rPr>
                    <w:t>生活</w:t>
                  </w:r>
                  <w:r>
                    <w:rPr>
                      <w:rFonts w:hint="eastAsia"/>
                      <w:snapToGrid w:val="0"/>
                      <w:color w:val="000000" w:themeColor="text1"/>
                      <w:kern w:val="0"/>
                      <w:szCs w:val="21"/>
                      <w:lang w:val="en-US" w:eastAsia="zh-CN"/>
                      <w14:textFill>
                        <w14:solidFill>
                          <w14:schemeClr w14:val="tx1"/>
                        </w14:solidFill>
                      </w14:textFill>
                    </w:rPr>
                    <w:t>污</w:t>
                  </w:r>
                  <w:r>
                    <w:rPr>
                      <w:rFonts w:hint="default"/>
                      <w:snapToGrid w:val="0"/>
                      <w:color w:val="000000" w:themeColor="text1"/>
                      <w:kern w:val="0"/>
                      <w:szCs w:val="21"/>
                      <w14:textFill>
                        <w14:solidFill>
                          <w14:schemeClr w14:val="tx1"/>
                        </w14:solidFill>
                      </w14:textFill>
                    </w:rPr>
                    <w:t>水</w:t>
                  </w:r>
                </w:p>
              </w:tc>
              <w:tc>
                <w:tcPr>
                  <w:tcW w:w="1141"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default"/>
                      <w:snapToGrid w:val="0"/>
                      <w:color w:val="000000" w:themeColor="text1"/>
                      <w:kern w:val="0"/>
                      <w:szCs w:val="21"/>
                      <w14:textFill>
                        <w14:solidFill>
                          <w14:schemeClr w14:val="tx1"/>
                        </w14:solidFill>
                      </w14:textFill>
                    </w:rPr>
                    <w:t>COD、氨氮</w:t>
                  </w:r>
                </w:p>
              </w:tc>
              <w:tc>
                <w:tcPr>
                  <w:tcW w:w="2610"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依托隧道施工驻地生活设施</w:t>
                  </w:r>
                </w:p>
              </w:tc>
              <w:tc>
                <w:tcPr>
                  <w:tcW w:w="2261"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14:textFill>
                        <w14:solidFill>
                          <w14:schemeClr w14:val="tx1"/>
                        </w14:solidFill>
                      </w14:textFill>
                    </w:rPr>
                    <w:t>定期委托周边村民清掏用于周边</w:t>
                  </w:r>
                  <w:r>
                    <w:rPr>
                      <w:rFonts w:hint="eastAsia"/>
                      <w:color w:val="000000" w:themeColor="text1"/>
                      <w:lang w:val="en-US" w:eastAsia="zh-CN"/>
                      <w14:textFill>
                        <w14:solidFill>
                          <w14:schemeClr w14:val="tx1"/>
                        </w14:solidFill>
                      </w14:textFill>
                    </w:rPr>
                    <w:t>旱地</w:t>
                  </w:r>
                  <w:r>
                    <w:rPr>
                      <w:rFonts w:hint="eastAsia"/>
                      <w:color w:val="000000" w:themeColor="text1"/>
                      <w14:textFill>
                        <w14:solidFill>
                          <w14:schemeClr w14:val="tx1"/>
                        </w14:solidFill>
                      </w14:textFill>
                    </w:rPr>
                    <w:t>施肥</w:t>
                  </w:r>
                  <w:r>
                    <w:rPr>
                      <w:rFonts w:hint="eastAsia"/>
                      <w:color w:val="000000" w:themeColor="text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不</w:t>
                  </w:r>
                  <w:r>
                    <w:rPr>
                      <w:rFonts w:hint="default"/>
                      <w:color w:val="000000" w:themeColor="text1"/>
                      <w:szCs w:val="21"/>
                      <w14:textFill>
                        <w14:solidFill>
                          <w14:schemeClr w14:val="tx1"/>
                        </w14:solidFill>
                      </w14:textFill>
                    </w:rPr>
                    <w:t>外排</w:t>
                  </w:r>
                  <w:r>
                    <w:rPr>
                      <w:rFonts w:hint="eastAsia"/>
                      <w:color w:val="000000" w:themeColor="text1"/>
                      <w:szCs w:val="21"/>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4"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p>
              </w:tc>
              <w:tc>
                <w:tcPr>
                  <w:tcW w:w="1514"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snapToGrid w:val="0"/>
                      <w:color w:val="000000" w:themeColor="text1"/>
                      <w:kern w:val="0"/>
                      <w:szCs w:val="21"/>
                      <w14:textFill>
                        <w14:solidFill>
                          <w14:schemeClr w14:val="tx1"/>
                        </w14:solidFill>
                      </w14:textFill>
                    </w:rPr>
                    <w:t>初期雨水</w:t>
                  </w:r>
                </w:p>
              </w:tc>
              <w:tc>
                <w:tcPr>
                  <w:tcW w:w="1141"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snapToGrid w:val="0"/>
                      <w:color w:val="000000" w:themeColor="text1"/>
                      <w:kern w:val="0"/>
                      <w:szCs w:val="21"/>
                      <w14:textFill>
                        <w14:solidFill>
                          <w14:schemeClr w14:val="tx1"/>
                        </w14:solidFill>
                      </w14:textFill>
                    </w:rPr>
                    <w:t>S</w:t>
                  </w:r>
                  <w:r>
                    <w:rPr>
                      <w:rFonts w:hint="default"/>
                      <w:snapToGrid w:val="0"/>
                      <w:color w:val="000000" w:themeColor="text1"/>
                      <w:kern w:val="0"/>
                      <w:szCs w:val="21"/>
                      <w14:textFill>
                        <w14:solidFill>
                          <w14:schemeClr w14:val="tx1"/>
                        </w14:solidFill>
                      </w14:textFill>
                    </w:rPr>
                    <w:t>S</w:t>
                  </w:r>
                </w:p>
              </w:tc>
              <w:tc>
                <w:tcPr>
                  <w:tcW w:w="2610"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排入三级沉淀池，沉淀</w:t>
                  </w:r>
                  <w:r>
                    <w:rPr>
                      <w:rFonts w:hint="eastAsia"/>
                      <w:color w:val="000000" w:themeColor="text1"/>
                      <w:szCs w:val="21"/>
                      <w14:textFill>
                        <w14:solidFill>
                          <w14:schemeClr w14:val="tx1"/>
                        </w14:solidFill>
                      </w14:textFill>
                    </w:rPr>
                    <w:t>后回用于生产</w:t>
                  </w:r>
                  <w:r>
                    <w:rPr>
                      <w:rFonts w:hint="eastAsia"/>
                      <w:color w:val="000000" w:themeColor="text1"/>
                      <w:szCs w:val="21"/>
                      <w:lang w:eastAsia="zh-CN"/>
                      <w14:textFill>
                        <w14:solidFill>
                          <w14:schemeClr w14:val="tx1"/>
                        </w14:solidFill>
                      </w14:textFill>
                    </w:rPr>
                    <w:t>。</w:t>
                  </w:r>
                </w:p>
              </w:tc>
              <w:tc>
                <w:tcPr>
                  <w:tcW w:w="2261" w:type="dxa"/>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27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声环境</w:t>
                  </w:r>
                </w:p>
              </w:tc>
              <w:tc>
                <w:tcPr>
                  <w:tcW w:w="1514" w:type="dxa"/>
                  <w:gridSpan w:val="2"/>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生产设备</w:t>
                  </w:r>
                </w:p>
              </w:tc>
              <w:tc>
                <w:tcPr>
                  <w:tcW w:w="1141" w:type="dxa"/>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噪声</w:t>
                  </w:r>
                </w:p>
              </w:tc>
              <w:tc>
                <w:tcPr>
                  <w:tcW w:w="2610"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减震垫、消声器</w:t>
                  </w:r>
                </w:p>
              </w:tc>
              <w:tc>
                <w:tcPr>
                  <w:tcW w:w="2261"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电磁辐射</w:t>
                  </w:r>
                </w:p>
              </w:tc>
              <w:tc>
                <w:tcPr>
                  <w:tcW w:w="1514"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p>
              </w:tc>
              <w:tc>
                <w:tcPr>
                  <w:tcW w:w="114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p>
              </w:tc>
              <w:tc>
                <w:tcPr>
                  <w:tcW w:w="261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p>
              </w:tc>
              <w:tc>
                <w:tcPr>
                  <w:tcW w:w="226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27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固体废物</w:t>
                  </w:r>
                </w:p>
              </w:tc>
              <w:tc>
                <w:tcPr>
                  <w:tcW w:w="7526"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w:t>
                  </w:r>
                  <w:r>
                    <w:rPr>
                      <w:rFonts w:hint="eastAsia"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、2</w:t>
                  </w:r>
                  <w:r>
                    <w:rPr>
                      <w:rFonts w:hint="eastAsia" w:cs="Times New Roman"/>
                      <w:color w:val="000000" w:themeColor="text1"/>
                      <w:lang w:val="en-US" w:eastAsia="zh-CN"/>
                      <w14:textFill>
                        <w14:solidFill>
                          <w14:schemeClr w14:val="tx1"/>
                        </w14:solidFill>
                      </w14:textFill>
                    </w:rPr>
                    <w:t>#湿喷站</w:t>
                  </w:r>
                  <w:r>
                    <w:rPr>
                      <w:rFonts w:hint="eastAsia" w:ascii="Times New Roman" w:hAnsi="Times New Roman" w:cs="Times New Roman"/>
                      <w:color w:val="000000" w:themeColor="text1"/>
                      <w:lang w:val="en-US" w:eastAsia="zh-CN"/>
                      <w14:textFill>
                        <w14:solidFill>
                          <w14:schemeClr w14:val="tx1"/>
                        </w14:solidFill>
                      </w14:textFill>
                    </w:rPr>
                    <w:t>沉淀池</w:t>
                  </w:r>
                  <w:r>
                    <w:rPr>
                      <w:rFonts w:hint="default" w:ascii="Times New Roman" w:hAnsi="Times New Roman" w:cs="Times New Roman"/>
                      <w:color w:val="000000" w:themeColor="text1"/>
                      <w:lang w:val="en-US" w:eastAsia="zh-CN"/>
                      <w14:textFill>
                        <w14:solidFill>
                          <w14:schemeClr w14:val="tx1"/>
                        </w14:solidFill>
                      </w14:textFill>
                    </w:rPr>
                    <w:t>废渣弃至</w:t>
                  </w:r>
                  <w:r>
                    <w:rPr>
                      <w:rFonts w:hint="default"/>
                      <w:color w:val="000000" w:themeColor="text1"/>
                      <w:lang w:val="en-US" w:eastAsia="zh-CN"/>
                      <w14:textFill>
                        <w14:solidFill>
                          <w14:schemeClr w14:val="tx1"/>
                        </w14:solidFill>
                      </w14:textFill>
                    </w:rPr>
                    <w:t>国道219边</w:t>
                  </w:r>
                  <w:r>
                    <w:rPr>
                      <w:rFonts w:hint="eastAsia"/>
                      <w:color w:val="000000" w:themeColor="text1"/>
                      <w:lang w:val="en-US" w:eastAsia="zh-CN"/>
                      <w14:textFill>
                        <w14:solidFill>
                          <w14:schemeClr w14:val="tx1"/>
                        </w14:solidFill>
                      </w14:textFill>
                    </w:rPr>
                    <w:t>6#</w:t>
                  </w:r>
                  <w:r>
                    <w:rPr>
                      <w:rFonts w:hint="default"/>
                      <w:color w:val="000000" w:themeColor="text1"/>
                      <w:lang w:val="en-US" w:eastAsia="zh-CN"/>
                      <w14:textFill>
                        <w14:solidFill>
                          <w14:schemeClr w14:val="tx1"/>
                        </w14:solidFill>
                      </w14:textFill>
                    </w:rPr>
                    <w:t>弃土场</w:t>
                  </w:r>
                  <w:r>
                    <w:rPr>
                      <w:rFonts w:hint="eastAsia" w:ascii="Times New Roman" w:hAnsi="Times New Roman" w:cs="Times New Roman"/>
                      <w:color w:val="000000" w:themeColor="text1"/>
                      <w:lang w:val="en-US" w:eastAsia="zh-CN"/>
                      <w14:textFill>
                        <w14:solidFill>
                          <w14:schemeClr w14:val="tx1"/>
                        </w14:solidFill>
                      </w14:textFill>
                    </w:rPr>
                    <w:t>；化粪池污泥统一由管理单位委托</w:t>
                  </w:r>
                  <w:r>
                    <w:rPr>
                      <w:rFonts w:hint="default" w:ascii="Times New Roman" w:hAnsi="Times New Roman" w:cs="Times New Roman"/>
                      <w:color w:val="000000" w:themeColor="text1"/>
                      <w:lang w:val="en-US" w:eastAsia="zh-CN"/>
                      <w14:textFill>
                        <w14:solidFill>
                          <w14:schemeClr w14:val="tx1"/>
                        </w14:solidFill>
                      </w14:textFill>
                    </w:rPr>
                    <w:t>附近的村民清掏</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作为周边</w:t>
                  </w:r>
                  <w:r>
                    <w:rPr>
                      <w:rFonts w:hint="eastAsia"/>
                      <w:color w:val="000000" w:themeColor="text1"/>
                      <w:lang w:val="en-US" w:eastAsia="zh-CN"/>
                      <w14:textFill>
                        <w14:solidFill>
                          <w14:schemeClr w14:val="tx1"/>
                        </w14:solidFill>
                      </w14:textFill>
                    </w:rPr>
                    <w:t>旱地</w:t>
                  </w:r>
                  <w:r>
                    <w:rPr>
                      <w:rFonts w:hint="eastAsia"/>
                      <w:color w:val="000000" w:themeColor="text1"/>
                      <w14:textFill>
                        <w14:solidFill>
                          <w14:schemeClr w14:val="tx1"/>
                        </w14:solidFill>
                      </w14:textFill>
                    </w:rPr>
                    <w:t>施肥</w:t>
                  </w:r>
                  <w:r>
                    <w:rPr>
                      <w:rFonts w:hint="eastAsia" w:ascii="Times New Roman" w:hAnsi="Times New Roman" w:cs="Times New Roman"/>
                      <w:color w:val="000000" w:themeColor="text1"/>
                      <w:lang w:val="en-US" w:eastAsia="zh-CN"/>
                      <w14:textFill>
                        <w14:solidFill>
                          <w14:schemeClr w14:val="tx1"/>
                        </w14:solidFill>
                      </w14:textFill>
                    </w:rPr>
                    <w:t>；生活垃圾统一由管理单位</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定期清运至附近村庄垃圾收集点处置</w:t>
                  </w:r>
                  <w:r>
                    <w:rPr>
                      <w:rFonts w:hint="eastAsia" w:cs="Times New Roman"/>
                      <w:color w:val="000000" w:themeColor="text1"/>
                      <w:kern w:val="0"/>
                      <w:sz w:val="21"/>
                      <w:szCs w:val="21"/>
                      <w:lang w:val="en-US" w:eastAsia="zh-CN" w:bidi="ar"/>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废食用油脂</w:t>
                  </w:r>
                  <w:r>
                    <w:rPr>
                      <w:rFonts w:hint="eastAsia" w:ascii="Times New Roman" w:hAnsi="Times New Roman" w:cs="Times New Roman"/>
                      <w:color w:val="000000" w:themeColor="text1"/>
                      <w:lang w:val="en-US" w:eastAsia="zh-CN"/>
                      <w14:textFill>
                        <w14:solidFill>
                          <w14:schemeClr w14:val="tx1"/>
                        </w14:solidFill>
                      </w14:textFill>
                    </w:rPr>
                    <w:t>统一由管理单位委托</w:t>
                  </w:r>
                  <w:r>
                    <w:rPr>
                      <w:rFonts w:hint="eastAsia" w:cs="Times New Roman"/>
                      <w:color w:val="000000" w:themeColor="text1"/>
                      <w:kern w:val="0"/>
                      <w:sz w:val="21"/>
                      <w:szCs w:val="21"/>
                      <w:lang w:val="en-US" w:eastAsia="zh-CN" w:bidi="ar"/>
                      <w14:textFill>
                        <w14:solidFill>
                          <w14:schemeClr w14:val="tx1"/>
                        </w14:solidFill>
                      </w14:textFill>
                    </w:rPr>
                    <w:t>有资质单位清运处置</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cs="Times New Roman"/>
                      <w:color w:val="000000" w:themeColor="text1"/>
                      <w:kern w:val="0"/>
                      <w:sz w:val="21"/>
                      <w:szCs w:val="21"/>
                      <w:lang w:val="en-US" w:eastAsia="zh-CN" w:bidi="ar"/>
                      <w14:textFill>
                        <w14:solidFill>
                          <w14:schemeClr w14:val="tx1"/>
                        </w14:solidFill>
                      </w14:textFill>
                    </w:rPr>
                    <w:t>综上，本项目的固体废物处置率100%。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7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土壤及地下水污染防治措施</w:t>
                  </w:r>
                </w:p>
              </w:tc>
              <w:tc>
                <w:tcPr>
                  <w:tcW w:w="7526" w:type="dxa"/>
                  <w:gridSpan w:val="5"/>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场区内地面全部硬化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7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生态保护措施</w:t>
                  </w:r>
                </w:p>
              </w:tc>
              <w:tc>
                <w:tcPr>
                  <w:tcW w:w="7526" w:type="dxa"/>
                  <w:gridSpan w:val="5"/>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27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环境风险</w:t>
                  </w:r>
                </w:p>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防范措施</w:t>
                  </w:r>
                </w:p>
              </w:tc>
              <w:tc>
                <w:tcPr>
                  <w:tcW w:w="7526"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27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其他环境</w:t>
                  </w:r>
                </w:p>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管理要求</w:t>
                  </w:r>
                </w:p>
              </w:tc>
              <w:tc>
                <w:tcPr>
                  <w:tcW w:w="7526"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default" w:ascii="Times New Roman" w:hAnsi="Times New Roman" w:cs="Times New Roman"/>
                      <w:b w:val="0"/>
                      <w:bCs w:val="0"/>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（1）项目竣工环境保护验收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default" w:ascii="Times New Roman" w:hAnsi="Times New Roman" w:cs="Times New Roman"/>
                      <w:b w:val="0"/>
                      <w:bCs w:val="0"/>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根据《建设项目环境保护管理条例》（国务院第682号令）、《建设项目竣工环境保护验收暂行办法》（国环规环评〔2017〕4号）的相关要求：项目建成后，应进行竣工环境保护验收，建设项目在试生产期间，建设单位应当依据环评文件及其审批意见，委托第三方机构或自行编制建设项目环境保护设施竣工验收报告，企业自行组织验收，向社会公开并向环保部门备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default" w:ascii="Times New Roman" w:hAnsi="Times New Roman" w:cs="Times New Roman"/>
                      <w:b w:val="0"/>
                      <w:bCs w:val="0"/>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建设项目需要配套建设的环境保护设施，必须与主体工程同时设计、同时施工、同步投产使用。建设单位应按照环境保护行政主管部门规定的标准和程序，对配套建设的环境保护设施进行验收，编制验收报告。除按照国家规定需要保密的情形外，建设单位应当依法向社会公开验收报告。建设项目配套建设的环境保护设施经验收合格，方可投入生产或者使用；未经验收或者验收不合格的，不得投入生产或者使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default" w:ascii="Times New Roman" w:hAnsi="Times New Roman" w:cs="Times New Roman"/>
                      <w:b w:val="0"/>
                      <w:bCs w:val="0"/>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（2）排污许可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default" w:ascii="Times New Roman" w:hAnsi="Times New Roman" w:cs="Times New Roman"/>
                      <w:b w:val="0"/>
                      <w:bCs w:val="0"/>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根据《关于做好环境影响评价制度与排污许可制衔接相关工作的通知》（环办环评〔2017〕84号），建设项目发生实际排污行为之前，排污单位应当按照国家环境保护相关法律法规以及排污许可证申请与核发技术规范要求申请排污许可证，不得无证排污或不按证排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default" w:ascii="Times New Roman" w:hAnsi="Times New Roman" w:cs="Times New Roman"/>
                      <w:b w:val="0"/>
                      <w:bCs w:val="0"/>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根据《固定污染源排污许可分类管理名录（2019年版）》，本项目属于“二十五、非金属矿物制品业 30—63、水泥、石灰和石膏制造 301，石膏、水泥制品及类似制品制造 302—水泥制品制造 3021*”，项目属于登记管理的项目。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cs="宋体"/>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综合分析，项目应当在（http://permit.mee.gov.cn/）全国排污许可证管理信息平台填报排污登记表，登记基本信息、污染物排放去向、执行的污染物排放标准以及采取的污染防治措施等信息。</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该项目符合国家和地方相关产业政策的要求，</w:t>
            </w:r>
            <w:r>
              <w:rPr>
                <w:rFonts w:hint="eastAsia" w:cs="Times New Roman"/>
                <w:color w:val="000000" w:themeColor="text1"/>
                <w:lang w:val="en-US" w:eastAsia="zh-CN"/>
                <w14:textFill>
                  <w14:solidFill>
                    <w14:schemeClr w14:val="tx1"/>
                  </w14:solidFill>
                </w14:textFill>
              </w:rPr>
              <w:t>属于高速公路隧道建设的配套过程，待服务期满后进行拆除，并对迹地进行恢复。运行过程中</w:t>
            </w:r>
            <w:r>
              <w:rPr>
                <w:rFonts w:hint="default" w:ascii="Times New Roman" w:hAnsi="Times New Roman" w:cs="Times New Roman"/>
                <w:color w:val="000000" w:themeColor="text1"/>
                <w14:textFill>
                  <w14:solidFill>
                    <w14:schemeClr w14:val="tx1"/>
                  </w14:solidFill>
                </w14:textFill>
              </w:rPr>
              <w:t>产生的废气</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噪声采取</w:t>
            </w:r>
            <w:r>
              <w:rPr>
                <w:rFonts w:hint="eastAsia" w:cs="Times New Roman"/>
                <w:color w:val="000000" w:themeColor="text1"/>
                <w:lang w:val="en-US" w:eastAsia="zh-CN"/>
                <w14:textFill>
                  <w14:solidFill>
                    <w14:schemeClr w14:val="tx1"/>
                  </w14:solidFill>
                </w14:textFill>
              </w:rPr>
              <w:t>相应的</w:t>
            </w:r>
            <w:r>
              <w:rPr>
                <w:rFonts w:hint="default" w:ascii="Times New Roman" w:hAnsi="Times New Roman" w:cs="Times New Roman"/>
                <w:color w:val="000000" w:themeColor="text1"/>
                <w14:textFill>
                  <w14:solidFill>
                    <w14:schemeClr w14:val="tx1"/>
                  </w14:solidFill>
                </w14:textFill>
              </w:rPr>
              <w:t>治理</w:t>
            </w:r>
            <w:r>
              <w:rPr>
                <w:rFonts w:hint="eastAsia" w:cs="Times New Roman"/>
                <w:color w:val="000000" w:themeColor="text1"/>
                <w:lang w:val="en-US" w:eastAsia="zh-CN"/>
                <w14:textFill>
                  <w14:solidFill>
                    <w14:schemeClr w14:val="tx1"/>
                  </w14:solidFill>
                </w14:textFill>
              </w:rPr>
              <w:t>措施</w:t>
            </w:r>
            <w:r>
              <w:rPr>
                <w:rFonts w:hint="default" w:ascii="Times New Roman" w:hAnsi="Times New Roman" w:cs="Times New Roman"/>
                <w:color w:val="000000" w:themeColor="text1"/>
                <w14:textFill>
                  <w14:solidFill>
                    <w14:schemeClr w14:val="tx1"/>
                  </w14:solidFill>
                </w14:textFill>
              </w:rPr>
              <w:t>后，能够实现达标排放</w:t>
            </w:r>
            <w:r>
              <w:rPr>
                <w:rFonts w:hint="eastAsia"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生产废水不外排；固体废弃物处置率达100%，</w:t>
            </w:r>
            <w:r>
              <w:rPr>
                <w:rFonts w:hint="default" w:ascii="Times New Roman" w:hAnsi="Times New Roman" w:cs="Times New Roman"/>
                <w:color w:val="000000" w:themeColor="text1"/>
                <w14:textFill>
                  <w14:solidFill>
                    <w14:schemeClr w14:val="tx1"/>
                  </w14:solidFill>
                </w14:textFill>
              </w:rPr>
              <w:t>不会对环境造成</w:t>
            </w:r>
            <w:r>
              <w:rPr>
                <w:rFonts w:hint="eastAsia" w:cs="Times New Roman"/>
                <w:color w:val="000000" w:themeColor="text1"/>
                <w:lang w:val="en-US" w:eastAsia="zh-CN"/>
                <w14:textFill>
                  <w14:solidFill>
                    <w14:schemeClr w14:val="tx1"/>
                  </w14:solidFill>
                </w14:textFill>
              </w:rPr>
              <w:t>较大</w:t>
            </w:r>
            <w:r>
              <w:rPr>
                <w:rFonts w:hint="default" w:ascii="Times New Roman" w:hAnsi="Times New Roman" w:cs="Times New Roman"/>
                <w:color w:val="000000" w:themeColor="text1"/>
                <w14:textFill>
                  <w14:solidFill>
                    <w14:schemeClr w14:val="tx1"/>
                  </w14:solidFill>
                </w14:textFill>
              </w:rPr>
              <w:t>的影响，不会降低当地的环境功能。</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shd w:val="clear" w:color="auto" w:fill="FFFFFF"/>
                <w:lang w:val="en-US" w:eastAsia="zh-CN" w:bidi="ar-S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ED8FB"/>
    <w:multiLevelType w:val="singleLevel"/>
    <w:tmpl w:val="1FFED8FB"/>
    <w:lvl w:ilvl="0" w:tentative="0">
      <w:start w:val="1"/>
      <w:numFmt w:val="bullet"/>
      <w:pStyle w:val="4"/>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7C524B8"/>
    <w:rsid w:val="08457558"/>
    <w:rsid w:val="08666437"/>
    <w:rsid w:val="0989468D"/>
    <w:rsid w:val="0D75484E"/>
    <w:rsid w:val="0E5863A6"/>
    <w:rsid w:val="11484B39"/>
    <w:rsid w:val="14C94390"/>
    <w:rsid w:val="15AA324D"/>
    <w:rsid w:val="15AF630E"/>
    <w:rsid w:val="176F7B69"/>
    <w:rsid w:val="1C800DED"/>
    <w:rsid w:val="1D827358"/>
    <w:rsid w:val="1DE51BD3"/>
    <w:rsid w:val="1E572C23"/>
    <w:rsid w:val="1F0C1C14"/>
    <w:rsid w:val="22740BEC"/>
    <w:rsid w:val="2582154E"/>
    <w:rsid w:val="2703457D"/>
    <w:rsid w:val="2DAC502C"/>
    <w:rsid w:val="2F360CFB"/>
    <w:rsid w:val="2F4740AB"/>
    <w:rsid w:val="2FC07975"/>
    <w:rsid w:val="326C0058"/>
    <w:rsid w:val="32B17DDB"/>
    <w:rsid w:val="330632BA"/>
    <w:rsid w:val="33CA252A"/>
    <w:rsid w:val="34DB165D"/>
    <w:rsid w:val="36076C9A"/>
    <w:rsid w:val="36326B13"/>
    <w:rsid w:val="38275498"/>
    <w:rsid w:val="386F38DE"/>
    <w:rsid w:val="3B834A7C"/>
    <w:rsid w:val="3BB93FFE"/>
    <w:rsid w:val="3D657E62"/>
    <w:rsid w:val="3D81346E"/>
    <w:rsid w:val="3FCA67D5"/>
    <w:rsid w:val="40E5693C"/>
    <w:rsid w:val="42F65232"/>
    <w:rsid w:val="43B23412"/>
    <w:rsid w:val="472B1A05"/>
    <w:rsid w:val="48873DB8"/>
    <w:rsid w:val="4AAF22C7"/>
    <w:rsid w:val="4DE6289A"/>
    <w:rsid w:val="4FE171BC"/>
    <w:rsid w:val="50996F13"/>
    <w:rsid w:val="531743B1"/>
    <w:rsid w:val="533073F3"/>
    <w:rsid w:val="57D5566E"/>
    <w:rsid w:val="594D6B86"/>
    <w:rsid w:val="59B35B52"/>
    <w:rsid w:val="59EC129F"/>
    <w:rsid w:val="5C061416"/>
    <w:rsid w:val="5EF65A05"/>
    <w:rsid w:val="61422A43"/>
    <w:rsid w:val="65455AFC"/>
    <w:rsid w:val="672E7FAC"/>
    <w:rsid w:val="672F0288"/>
    <w:rsid w:val="683B1B4D"/>
    <w:rsid w:val="690134C0"/>
    <w:rsid w:val="6970566E"/>
    <w:rsid w:val="6ABF7E9B"/>
    <w:rsid w:val="6AD51D8B"/>
    <w:rsid w:val="6C5A2033"/>
    <w:rsid w:val="6DD27AA9"/>
    <w:rsid w:val="6F64016F"/>
    <w:rsid w:val="71482403"/>
    <w:rsid w:val="72197B59"/>
    <w:rsid w:val="76FE1467"/>
    <w:rsid w:val="796B7245"/>
    <w:rsid w:val="7B4D0851"/>
    <w:rsid w:val="7D103A42"/>
    <w:rsid w:val="7D2128F9"/>
    <w:rsid w:val="7DDF4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next w:val="1"/>
    <w:unhideWhenUsed/>
    <w:qFormat/>
    <w:uiPriority w:val="99"/>
    <w:pPr>
      <w:spacing w:line="240" w:lineRule="atLeast"/>
    </w:pPr>
    <w:rPr>
      <w:rFonts w:ascii="宋体" w:hAnsi="Courier New"/>
      <w:sz w:val="28"/>
      <w:szCs w:val="21"/>
    </w:rPr>
  </w:style>
  <w:style w:type="paragraph" w:styleId="3">
    <w:name w:val="Body Text"/>
    <w:basedOn w:val="1"/>
    <w:next w:val="4"/>
    <w:qFormat/>
    <w:uiPriority w:val="0"/>
    <w:pPr>
      <w:spacing w:line="460" w:lineRule="exact"/>
      <w:jc w:val="center"/>
    </w:pPr>
    <w:rPr>
      <w:color w:val="000000"/>
      <w:w w:val="90"/>
      <w:sz w:val="24"/>
      <w:szCs w:val="20"/>
    </w:rPr>
  </w:style>
  <w:style w:type="paragraph" w:styleId="4">
    <w:name w:val="List Bullet 5"/>
    <w:basedOn w:val="1"/>
    <w:qFormat/>
    <w:uiPriority w:val="0"/>
    <w:pPr>
      <w:numPr>
        <w:ilvl w:val="0"/>
        <w:numId w:val="1"/>
      </w:numPr>
    </w:pPr>
  </w:style>
  <w:style w:type="paragraph" w:styleId="5">
    <w:name w:val="Body Text Indent"/>
    <w:basedOn w:val="1"/>
    <w:next w:val="6"/>
    <w:qFormat/>
    <w:uiPriority w:val="0"/>
    <w:pPr>
      <w:tabs>
        <w:tab w:val="left" w:pos="8607"/>
      </w:tabs>
      <w:spacing w:line="400" w:lineRule="exact"/>
      <w:ind w:firstLine="556"/>
    </w:pPr>
    <w:rPr>
      <w:sz w:val="28"/>
    </w:rPr>
  </w:style>
  <w:style w:type="paragraph" w:customStyle="1" w:styleId="6">
    <w:name w:val="样式 正文文本缩进 + 行距: 1.5 倍行距"/>
    <w:basedOn w:val="5"/>
    <w:qFormat/>
    <w:uiPriority w:val="0"/>
    <w:pPr>
      <w:spacing w:line="360" w:lineRule="auto"/>
      <w:ind w:left="0" w:leftChars="0" w:firstLine="560" w:firstLineChars="200"/>
    </w:pPr>
    <w:rPr>
      <w:rFonts w:cs="宋体"/>
      <w:b/>
      <w:bCs/>
      <w:sz w:val="28"/>
      <w:szCs w:val="20"/>
    </w:rPr>
  </w:style>
  <w:style w:type="paragraph" w:styleId="7">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Body Text First Indent"/>
    <w:basedOn w:val="3"/>
    <w:next w:val="1"/>
    <w:qFormat/>
    <w:uiPriority w:val="0"/>
    <w:pPr>
      <w:spacing w:after="120" w:line="240" w:lineRule="auto"/>
      <w:ind w:firstLine="420" w:firstLineChars="100"/>
      <w:jc w:val="both"/>
    </w:pPr>
  </w:style>
  <w:style w:type="paragraph" w:styleId="10">
    <w:name w:val="Body Text First Indent 2"/>
    <w:basedOn w:val="5"/>
    <w:next w:val="9"/>
    <w:qFormat/>
    <w:uiPriority w:val="0"/>
    <w:pPr>
      <w:ind w:firstLine="420"/>
    </w:p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XXXXX"/>
    <w:basedOn w:val="1"/>
    <w:qFormat/>
    <w:uiPriority w:val="0"/>
    <w:pPr>
      <w:spacing w:line="440" w:lineRule="exact"/>
      <w:ind w:firstLine="1526" w:firstLineChars="200"/>
    </w:pPr>
    <w:rPr>
      <w:rFonts w:ascii="Times New Roman" w:hAnsi="Times New Roman" w:eastAsia="宋体"/>
      <w:sz w:val="24"/>
    </w:rPr>
  </w:style>
  <w:style w:type="paragraph" w:customStyle="1" w:styleId="15">
    <w:name w:val="表内容"/>
    <w:basedOn w:val="1"/>
    <w:unhideWhenUsed/>
    <w:qFormat/>
    <w:uiPriority w:val="0"/>
    <w:pPr>
      <w:adjustRightInd w:val="0"/>
      <w:snapToGrid w:val="0"/>
    </w:pPr>
    <w:rPr>
      <w:rFonts w:ascii="宋体" w:hAnsi="宋体" w:cs="宋体"/>
      <w:snapToGrid w:val="0"/>
      <w:szCs w:val="21"/>
    </w:rPr>
  </w:style>
  <w:style w:type="paragraph" w:customStyle="1" w:styleId="16">
    <w:name w:val="标准正文"/>
    <w:basedOn w:val="1"/>
    <w:qFormat/>
    <w:uiPriority w:val="0"/>
    <w:pPr>
      <w:spacing w:line="360" w:lineRule="auto"/>
      <w:ind w:firstLine="480" w:firstLineChars="200"/>
    </w:pPr>
    <w:rPr>
      <w:rFonts w:ascii="Times New Roman"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2022-07-05T09:09:36Z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EEB85C17109F465282E8EB4C3D8B7677</vt:lpwstr>
  </property>
</Properties>
</file>