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both"/>
        <w:textAlignment w:val="auto"/>
        <w:rPr>
          <w:rFonts w:hint="default" w:ascii="Times New Roman" w:hAnsi="Times New Roman" w:eastAsia="方正仿宋_GBK" w:cs="Times New Roman"/>
          <w:bCs/>
          <w:sz w:val="32"/>
          <w:szCs w:val="32"/>
        </w:rPr>
      </w:pP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456"/>
        <w:gridCol w:w="10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西畴县法斗乡坡头村</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西畴县法斗乡脱皮树村</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西畴县蚌谷乡小桥沟水库下游左岸</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西畴县水务局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云南绿云环保技术</w:t>
            </w:r>
            <w:bookmarkStart w:id="0" w:name="_GoBack"/>
            <w:bookmarkEnd w:id="0"/>
            <w:r>
              <w:rPr>
                <w:rFonts w:hint="eastAsia" w:ascii="Times New Roman" w:hAnsi="Times New Roman" w:eastAsia="方正仿宋_GBK" w:cs="Times New Roman"/>
                <w:color w:val="000000"/>
                <w:sz w:val="24"/>
                <w:szCs w:val="24"/>
                <w:shd w:val="clear" w:color="auto" w:fill="FFFFFF"/>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10"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327" w:type="dxa"/>
            <w:shd w:val="clear" w:color="auto" w:fill="FFFFFF"/>
            <w:tcMar>
              <w:top w:w="0" w:type="dxa"/>
              <w:left w:w="108" w:type="dxa"/>
              <w:bottom w:w="0" w:type="dxa"/>
              <w:right w:w="108" w:type="dxa"/>
            </w:tcMar>
          </w:tcPr>
          <w:p>
            <w:pPr>
              <w:pStyle w:val="12"/>
              <w:keepNext w:val="0"/>
              <w:keepLines w:val="0"/>
              <w:pageBreakBefore w:val="0"/>
              <w:kinsoku/>
              <w:wordWrap/>
              <w:overflowPunct/>
              <w:topLinePunct w:val="0"/>
              <w:autoSpaceDE/>
              <w:autoSpaceDN/>
              <w:bidi w:val="0"/>
              <w:adjustRightInd/>
              <w:snapToGrid/>
              <w:spacing w:line="480" w:lineRule="exact"/>
              <w:ind w:right="92" w:firstLine="480" w:firstLineChars="200"/>
              <w:jc w:val="both"/>
              <w:textAlignment w:val="auto"/>
              <w:rPr>
                <w:rFonts w:hint="default"/>
                <w:lang w:val="en-US"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项目名称：西畴县农村供水保障专项行动</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建设单位：西畴县水务局</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地点：法斗西洒水系连通工程净水厂建设于西畴县法斗乡坡头村，地理坐标为东经104度45分39.603秒，北纬23度23分45.358秒；南昌水库至脱皮树区提水工程净水厂建设于西畴县法斗乡脱皮树村，地理坐标为东经104度49分26.575秒，北纬23度22分40.586秒；小桥沟水库提水供水工程净水厂建设于西畴县蚌谷乡小桥沟水库下游左岸，地理坐标为104度40分45.038秒，北纬23度21分29.663秒。主要建设内容主要包括提水工程、水处理厂、输水管网、配水管网及其建筑物等</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kern w:val="2"/>
                <w:sz w:val="24"/>
                <w:szCs w:val="24"/>
                <w:highlight w:val="none"/>
                <w:lang w:val="en-US" w:eastAsia="zh-CN" w:bidi="ar-SA"/>
              </w:rPr>
              <w:t>项目不占用生态保护范围，符合“三线一单”的相关要求，项目选址合理可行。</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西畴县农村供水保障专项行动工程估算总投资44996万元，其中法斗西洒水系连通工程总投资4780.05万元，南昌水库至脱皮树片区提水工程总投资1460.46万元，小桥沟水库提水供水工程总投资565.31万元。3个新建工程总投资合计为6805.82万元，3个新建工程环保投资为76.4万元，约占总投资的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3513"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tcPr>
          <w:tbl>
            <w:tblPr>
              <w:tblStyle w:val="10"/>
              <w:tblW w:w="101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761"/>
              <w:gridCol w:w="1522"/>
              <w:gridCol w:w="3486"/>
              <w:gridCol w:w="2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66" w:type="dxa"/>
                  <w:tcBorders>
                    <w:tl2br w:val="single" w:color="auto" w:sz="4" w:space="0"/>
                  </w:tcBorders>
                </w:tcPr>
                <w:p>
                  <w:pPr>
                    <w:adjustRightInd w:val="0"/>
                    <w:snapToGrid w:val="0"/>
                    <w:ind w:firstLine="480" w:firstLineChars="200"/>
                    <w:rPr>
                      <w:rFonts w:ascii="Times New Roman" w:hAnsi="Times New Roman"/>
                      <w:sz w:val="24"/>
                    </w:rPr>
                  </w:pPr>
                  <w:r>
                    <w:rPr>
                      <w:rFonts w:ascii="Times New Roman" w:hAnsi="Times New Roman"/>
                      <w:sz w:val="24"/>
                    </w:rPr>
                    <w:t>内容</w:t>
                  </w:r>
                </w:p>
                <w:p>
                  <w:pPr>
                    <w:adjustRightInd w:val="0"/>
                    <w:snapToGrid w:val="0"/>
                    <w:rPr>
                      <w:rFonts w:ascii="Times New Roman" w:hAnsi="Times New Roman"/>
                      <w:sz w:val="24"/>
                    </w:rPr>
                  </w:pPr>
                  <w:r>
                    <w:rPr>
                      <w:rFonts w:ascii="Times New Roman" w:hAnsi="Times New Roman"/>
                      <w:sz w:val="24"/>
                    </w:rPr>
                    <w:t>要素</w:t>
                  </w:r>
                </w:p>
              </w:tc>
              <w:tc>
                <w:tcPr>
                  <w:tcW w:w="1843" w:type="dxa"/>
                  <w:vAlign w:val="center"/>
                </w:tcPr>
                <w:p>
                  <w:pPr>
                    <w:adjustRightInd w:val="0"/>
                    <w:snapToGrid w:val="0"/>
                    <w:jc w:val="center"/>
                    <w:rPr>
                      <w:rFonts w:ascii="Times New Roman" w:hAnsi="Times New Roman"/>
                      <w:sz w:val="24"/>
                    </w:rPr>
                  </w:pPr>
                  <w:r>
                    <w:rPr>
                      <w:rFonts w:ascii="Times New Roman" w:hAnsi="Times New Roman"/>
                      <w:sz w:val="24"/>
                    </w:rPr>
                    <w:t>排放口(编号、</w:t>
                  </w:r>
                </w:p>
                <w:p>
                  <w:pPr>
                    <w:adjustRightInd w:val="0"/>
                    <w:snapToGrid w:val="0"/>
                    <w:jc w:val="center"/>
                    <w:rPr>
                      <w:rFonts w:ascii="Times New Roman" w:hAnsi="Times New Roman"/>
                      <w:sz w:val="24"/>
                    </w:rPr>
                  </w:pPr>
                  <w:r>
                    <w:rPr>
                      <w:rFonts w:ascii="Times New Roman" w:hAnsi="Times New Roman"/>
                      <w:sz w:val="24"/>
                    </w:rPr>
                    <w:t>名称)/污染源</w:t>
                  </w:r>
                </w:p>
              </w:tc>
              <w:tc>
                <w:tcPr>
                  <w:tcW w:w="1559" w:type="dxa"/>
                  <w:vAlign w:val="center"/>
                </w:tcPr>
                <w:p>
                  <w:pPr>
                    <w:adjustRightInd w:val="0"/>
                    <w:snapToGrid w:val="0"/>
                    <w:jc w:val="center"/>
                    <w:rPr>
                      <w:rFonts w:ascii="Times New Roman" w:hAnsi="Times New Roman"/>
                      <w:sz w:val="24"/>
                    </w:rPr>
                  </w:pPr>
                  <w:r>
                    <w:rPr>
                      <w:rFonts w:ascii="Times New Roman" w:hAnsi="Times New Roman"/>
                      <w:sz w:val="24"/>
                    </w:rPr>
                    <w:t>污染物项目</w:t>
                  </w:r>
                </w:p>
              </w:tc>
              <w:tc>
                <w:tcPr>
                  <w:tcW w:w="3686" w:type="dxa"/>
                  <w:vAlign w:val="center"/>
                </w:tcPr>
                <w:p>
                  <w:pPr>
                    <w:adjustRightInd w:val="0"/>
                    <w:snapToGrid w:val="0"/>
                    <w:jc w:val="center"/>
                    <w:rPr>
                      <w:rFonts w:ascii="Times New Roman" w:hAnsi="Times New Roman"/>
                      <w:sz w:val="24"/>
                    </w:rPr>
                  </w:pPr>
                  <w:r>
                    <w:rPr>
                      <w:rFonts w:ascii="Times New Roman" w:hAnsi="Times New Roman"/>
                      <w:sz w:val="24"/>
                    </w:rPr>
                    <w:t>环境保护措施</w:t>
                  </w:r>
                </w:p>
              </w:tc>
              <w:tc>
                <w:tcPr>
                  <w:tcW w:w="1842" w:type="dxa"/>
                  <w:vAlign w:val="center"/>
                </w:tcPr>
                <w:p>
                  <w:pPr>
                    <w:adjustRightInd w:val="0"/>
                    <w:snapToGrid w:val="0"/>
                    <w:jc w:val="center"/>
                    <w:rPr>
                      <w:rFonts w:ascii="Times New Roman" w:hAnsi="Times New Roman"/>
                      <w:sz w:val="24"/>
                    </w:rPr>
                  </w:pPr>
                  <w:r>
                    <w:rPr>
                      <w:rFonts w:ascii="Times New Roman" w:hAnsi="Times New Roman"/>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266" w:type="dxa"/>
                  <w:vAlign w:val="center"/>
                </w:tcPr>
                <w:p>
                  <w:pPr>
                    <w:adjustRightInd w:val="0"/>
                    <w:snapToGrid w:val="0"/>
                    <w:jc w:val="center"/>
                    <w:rPr>
                      <w:rFonts w:ascii="Times New Roman" w:hAnsi="Times New Roman"/>
                      <w:sz w:val="24"/>
                    </w:rPr>
                  </w:pPr>
                  <w:r>
                    <w:rPr>
                      <w:rFonts w:ascii="Times New Roman" w:hAnsi="Times New Roman"/>
                      <w:sz w:val="24"/>
                    </w:rPr>
                    <w:t>大气环境</w:t>
                  </w:r>
                </w:p>
              </w:tc>
              <w:tc>
                <w:tcPr>
                  <w:tcW w:w="1843" w:type="dxa"/>
                  <w:vAlign w:val="center"/>
                </w:tcPr>
                <w:p>
                  <w:pPr>
                    <w:adjustRightInd w:val="0"/>
                    <w:snapToGrid w:val="0"/>
                    <w:jc w:val="center"/>
                    <w:rPr>
                      <w:rFonts w:ascii="Times New Roman" w:hAnsi="Times New Roman"/>
                      <w:sz w:val="24"/>
                    </w:rPr>
                  </w:pPr>
                  <w:r>
                    <w:rPr>
                      <w:rFonts w:ascii="Times New Roman" w:hAnsi="Times New Roman"/>
                      <w:sz w:val="24"/>
                    </w:rPr>
                    <w:t>运输车辆</w:t>
                  </w:r>
                </w:p>
              </w:tc>
              <w:tc>
                <w:tcPr>
                  <w:tcW w:w="1559" w:type="dxa"/>
                  <w:vAlign w:val="center"/>
                </w:tcPr>
                <w:p>
                  <w:pPr>
                    <w:adjustRightInd w:val="0"/>
                    <w:snapToGrid w:val="0"/>
                    <w:jc w:val="center"/>
                    <w:rPr>
                      <w:rFonts w:ascii="Times New Roman" w:hAnsi="Times New Roman"/>
                      <w:sz w:val="24"/>
                    </w:rPr>
                  </w:pPr>
                  <w:r>
                    <w:rPr>
                      <w:rFonts w:ascii="Times New Roman" w:hAnsi="Times New Roman"/>
                      <w:sz w:val="24"/>
                    </w:rPr>
                    <w:t>HC、NO</w:t>
                  </w:r>
                  <w:r>
                    <w:rPr>
                      <w:rFonts w:ascii="Times New Roman" w:hAnsi="Times New Roman"/>
                      <w:sz w:val="24"/>
                      <w:vertAlign w:val="subscript"/>
                    </w:rPr>
                    <w:t>2</w:t>
                  </w:r>
                  <w:r>
                    <w:rPr>
                      <w:rFonts w:ascii="Times New Roman" w:hAnsi="Times New Roman"/>
                      <w:sz w:val="24"/>
                    </w:rPr>
                    <w:t>、CO</w:t>
                  </w:r>
                </w:p>
              </w:tc>
              <w:tc>
                <w:tcPr>
                  <w:tcW w:w="3686" w:type="dxa"/>
                  <w:vAlign w:val="center"/>
                </w:tcPr>
                <w:p>
                  <w:pPr>
                    <w:jc w:val="left"/>
                    <w:rPr>
                      <w:rFonts w:ascii="Times New Roman" w:hAnsi="Times New Roman"/>
                      <w:sz w:val="24"/>
                    </w:rPr>
                  </w:pPr>
                  <w:r>
                    <w:rPr>
                      <w:rFonts w:ascii="Times New Roman" w:hAnsi="Times New Roman"/>
                      <w:sz w:val="24"/>
                    </w:rPr>
                    <w:t>厂区路面及进场道路全部硬化，加强绿化管理。</w:t>
                  </w:r>
                </w:p>
              </w:tc>
              <w:tc>
                <w:tcPr>
                  <w:tcW w:w="1842" w:type="dxa"/>
                  <w:vAlign w:val="center"/>
                </w:tcPr>
                <w:p>
                  <w:pPr>
                    <w:jc w:val="center"/>
                    <w:rPr>
                      <w:rFonts w:ascii="Times New Roman" w:hAnsi="Times New Roman"/>
                      <w:sz w:val="24"/>
                    </w:rPr>
                  </w:pPr>
                  <w:r>
                    <w:rPr>
                      <w:rFonts w:ascii="Times New Roman" w:hAnsi="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66" w:type="dxa"/>
                  <w:vMerge w:val="restart"/>
                  <w:vAlign w:val="center"/>
                </w:tcPr>
                <w:p>
                  <w:pPr>
                    <w:adjustRightInd w:val="0"/>
                    <w:snapToGrid w:val="0"/>
                    <w:jc w:val="center"/>
                    <w:rPr>
                      <w:rFonts w:ascii="Times New Roman" w:hAnsi="Times New Roman"/>
                      <w:sz w:val="24"/>
                    </w:rPr>
                  </w:pPr>
                  <w:r>
                    <w:rPr>
                      <w:rFonts w:ascii="Times New Roman" w:hAnsi="Times New Roman"/>
                      <w:sz w:val="24"/>
                    </w:rPr>
                    <w:t>地表水</w:t>
                  </w:r>
                </w:p>
                <w:p>
                  <w:pPr>
                    <w:adjustRightInd w:val="0"/>
                    <w:snapToGrid w:val="0"/>
                    <w:jc w:val="center"/>
                    <w:rPr>
                      <w:rFonts w:ascii="Times New Roman" w:hAnsi="Times New Roman"/>
                      <w:sz w:val="24"/>
                    </w:rPr>
                  </w:pPr>
                  <w:r>
                    <w:rPr>
                      <w:rFonts w:ascii="Times New Roman" w:hAnsi="Times New Roman"/>
                      <w:sz w:val="24"/>
                    </w:rPr>
                    <w:t>环境</w:t>
                  </w:r>
                </w:p>
              </w:tc>
              <w:tc>
                <w:tcPr>
                  <w:tcW w:w="1843" w:type="dxa"/>
                  <w:vAlign w:val="center"/>
                </w:tcPr>
                <w:p>
                  <w:pPr>
                    <w:adjustRightInd w:val="0"/>
                    <w:snapToGrid w:val="0"/>
                    <w:jc w:val="center"/>
                    <w:rPr>
                      <w:rFonts w:ascii="Times New Roman" w:hAnsi="Times New Roman"/>
                      <w:sz w:val="24"/>
                    </w:rPr>
                  </w:pPr>
                  <w:r>
                    <w:rPr>
                      <w:rFonts w:hint="eastAsia" w:ascii="Times New Roman" w:hAnsi="Times New Roman"/>
                      <w:sz w:val="24"/>
                    </w:rPr>
                    <w:t>生活</w:t>
                  </w:r>
                  <w:r>
                    <w:rPr>
                      <w:rFonts w:ascii="Times New Roman" w:hAnsi="Times New Roman"/>
                      <w:sz w:val="24"/>
                    </w:rPr>
                    <w:t>污水</w:t>
                  </w:r>
                </w:p>
              </w:tc>
              <w:tc>
                <w:tcPr>
                  <w:tcW w:w="1559" w:type="dxa"/>
                  <w:vAlign w:val="center"/>
                </w:tcPr>
                <w:p>
                  <w:pPr>
                    <w:jc w:val="center"/>
                    <w:rPr>
                      <w:rFonts w:ascii="Times New Roman" w:hAnsi="Times New Roman"/>
                      <w:sz w:val="24"/>
                    </w:rPr>
                  </w:pPr>
                  <w:r>
                    <w:rPr>
                      <w:rFonts w:ascii="Times New Roman" w:hAnsi="Times New Roman"/>
                      <w:sz w:val="24"/>
                    </w:rPr>
                    <w:t>氨氮、BOD</w:t>
                  </w:r>
                  <w:r>
                    <w:rPr>
                      <w:rFonts w:ascii="Times New Roman" w:hAnsi="Times New Roman"/>
                      <w:sz w:val="24"/>
                      <w:vertAlign w:val="subscript"/>
                    </w:rPr>
                    <w:t>5</w:t>
                  </w:r>
                  <w:r>
                    <w:rPr>
                      <w:rFonts w:ascii="Times New Roman" w:hAnsi="Times New Roman"/>
                      <w:sz w:val="24"/>
                    </w:rPr>
                    <w:t>、COD</w:t>
                  </w:r>
                </w:p>
              </w:tc>
              <w:tc>
                <w:tcPr>
                  <w:tcW w:w="3686" w:type="dxa"/>
                  <w:vAlign w:val="center"/>
                </w:tcPr>
                <w:p>
                  <w:pPr>
                    <w:adjustRightInd w:val="0"/>
                    <w:snapToGrid w:val="0"/>
                    <w:rPr>
                      <w:rFonts w:ascii="Times New Roman" w:hAnsi="Times New Roman"/>
                      <w:kern w:val="0"/>
                      <w:sz w:val="32"/>
                    </w:rPr>
                  </w:pPr>
                  <w:r>
                    <w:rPr>
                      <w:rFonts w:ascii="Times New Roman" w:hAnsi="Times New Roman"/>
                      <w:kern w:val="0"/>
                      <w:sz w:val="24"/>
                    </w:rPr>
                    <w:t>项目净水厂内各</w:t>
                  </w:r>
                  <w:r>
                    <w:rPr>
                      <w:rFonts w:hint="eastAsia" w:ascii="Times New Roman" w:hAnsi="Times New Roman"/>
                      <w:kern w:val="0"/>
                      <w:sz w:val="24"/>
                    </w:rPr>
                    <w:t>新建1座化粪池，容积为2m</w:t>
                  </w:r>
                  <w:r>
                    <w:rPr>
                      <w:rFonts w:ascii="Times New Roman" w:hAnsi="Times New Roman"/>
                      <w:kern w:val="0"/>
                      <w:sz w:val="24"/>
                      <w:vertAlign w:val="superscript"/>
                    </w:rPr>
                    <w:t>3</w:t>
                  </w:r>
                  <w:r>
                    <w:rPr>
                      <w:rFonts w:ascii="Times New Roman" w:hAnsi="Times New Roman"/>
                      <w:kern w:val="0"/>
                      <w:sz w:val="24"/>
                    </w:rPr>
                    <w:t>，</w:t>
                  </w:r>
                  <w:r>
                    <w:rPr>
                      <w:rFonts w:hint="eastAsia"/>
                      <w:sz w:val="24"/>
                      <w:szCs w:val="21"/>
                    </w:rPr>
                    <w:t>项目生活污水经化粪池收集处理后用于农田施肥。</w:t>
                  </w:r>
                </w:p>
              </w:tc>
              <w:tc>
                <w:tcPr>
                  <w:tcW w:w="1842" w:type="dxa"/>
                  <w:vAlign w:val="center"/>
                </w:tcPr>
                <w:p>
                  <w:pPr>
                    <w:jc w:val="center"/>
                    <w:rPr>
                      <w:rFonts w:ascii="Times New Roman" w:hAnsi="Times New Roman"/>
                      <w:sz w:val="24"/>
                    </w:rPr>
                  </w:pPr>
                  <w:r>
                    <w:rPr>
                      <w:rFonts w:ascii="Times New Roman" w:hAnsi="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66" w:type="dxa"/>
                  <w:vMerge w:val="continue"/>
                  <w:vAlign w:val="center"/>
                </w:tcPr>
                <w:p>
                  <w:pPr>
                    <w:adjustRightInd w:val="0"/>
                    <w:snapToGrid w:val="0"/>
                    <w:jc w:val="center"/>
                    <w:rPr>
                      <w:rFonts w:ascii="Times New Roman" w:hAnsi="Times New Roman"/>
                      <w:sz w:val="24"/>
                    </w:rPr>
                  </w:pPr>
                </w:p>
              </w:tc>
              <w:tc>
                <w:tcPr>
                  <w:tcW w:w="1843" w:type="dxa"/>
                  <w:vAlign w:val="center"/>
                </w:tcPr>
                <w:p>
                  <w:pPr>
                    <w:adjustRightInd w:val="0"/>
                    <w:snapToGrid w:val="0"/>
                    <w:jc w:val="center"/>
                    <w:rPr>
                      <w:rFonts w:ascii="Times New Roman" w:hAnsi="Times New Roman"/>
                      <w:bCs/>
                      <w:sz w:val="24"/>
                    </w:rPr>
                  </w:pPr>
                  <w:r>
                    <w:rPr>
                      <w:rFonts w:ascii="Times New Roman" w:hAnsi="Times New Roman"/>
                      <w:bCs/>
                      <w:sz w:val="24"/>
                    </w:rPr>
                    <w:t>沉淀池</w:t>
                  </w:r>
                </w:p>
                <w:p>
                  <w:pPr>
                    <w:adjustRightInd w:val="0"/>
                    <w:snapToGrid w:val="0"/>
                    <w:jc w:val="center"/>
                    <w:rPr>
                      <w:rFonts w:ascii="Times New Roman" w:hAnsi="Times New Roman"/>
                      <w:sz w:val="24"/>
                    </w:rPr>
                  </w:pPr>
                  <w:r>
                    <w:rPr>
                      <w:rFonts w:ascii="Times New Roman" w:hAnsi="Times New Roman"/>
                      <w:bCs/>
                      <w:sz w:val="24"/>
                    </w:rPr>
                    <w:t>排泥水</w:t>
                  </w:r>
                </w:p>
              </w:tc>
              <w:tc>
                <w:tcPr>
                  <w:tcW w:w="1559" w:type="dxa"/>
                  <w:vAlign w:val="center"/>
                </w:tcPr>
                <w:p>
                  <w:pPr>
                    <w:adjustRightInd w:val="0"/>
                    <w:snapToGrid w:val="0"/>
                    <w:jc w:val="center"/>
                    <w:rPr>
                      <w:rFonts w:ascii="Times New Roman" w:hAnsi="Times New Roman"/>
                      <w:sz w:val="24"/>
                    </w:rPr>
                  </w:pPr>
                  <w:r>
                    <w:rPr>
                      <w:rFonts w:ascii="Times New Roman" w:hAnsi="Times New Roman"/>
                      <w:sz w:val="24"/>
                    </w:rPr>
                    <w:t>SS</w:t>
                  </w:r>
                </w:p>
              </w:tc>
              <w:tc>
                <w:tcPr>
                  <w:tcW w:w="3686" w:type="dxa"/>
                  <w:vMerge w:val="restart"/>
                  <w:vAlign w:val="center"/>
                </w:tcPr>
                <w:p>
                  <w:pPr>
                    <w:adjustRightInd w:val="0"/>
                    <w:snapToGrid w:val="0"/>
                    <w:rPr>
                      <w:rFonts w:ascii="Times New Roman" w:hAnsi="Times New Roman"/>
                      <w:sz w:val="24"/>
                    </w:rPr>
                  </w:pPr>
                  <w:r>
                    <w:rPr>
                      <w:rFonts w:ascii="Times New Roman" w:hAnsi="Times New Roman"/>
                      <w:sz w:val="24"/>
                    </w:rPr>
                    <w:t>项目净水厂内各新建</w:t>
                  </w:r>
                  <w:r>
                    <w:rPr>
                      <w:rFonts w:hint="eastAsia" w:ascii="Times New Roman" w:hAnsi="Times New Roman"/>
                      <w:sz w:val="24"/>
                    </w:rPr>
                    <w:t>1座废水沉淀池，</w:t>
                  </w:r>
                  <w:r>
                    <w:rPr>
                      <w:rFonts w:hint="eastAsia" w:ascii="Times New Roman" w:hAnsi="Times New Roman"/>
                      <w:bCs/>
                      <w:spacing w:val="-10"/>
                      <w:sz w:val="24"/>
                    </w:rPr>
                    <w:t>法斗西洒水系连通工程</w:t>
                  </w:r>
                  <w:r>
                    <w:rPr>
                      <w:rFonts w:hint="eastAsia" w:ascii="Times New Roman" w:hAnsi="Times New Roman"/>
                      <w:kern w:val="0"/>
                      <w:sz w:val="24"/>
                    </w:rPr>
                    <w:t>废水沉淀池</w:t>
                  </w:r>
                  <w:r>
                    <w:rPr>
                      <w:rFonts w:hint="eastAsia" w:ascii="Times New Roman" w:hAnsi="Times New Roman"/>
                      <w:bCs/>
                      <w:spacing w:val="-10"/>
                      <w:sz w:val="24"/>
                    </w:rPr>
                    <w:t>容积为</w:t>
                  </w:r>
                  <w:r>
                    <w:rPr>
                      <w:rFonts w:ascii="Times New Roman" w:hAnsi="Times New Roman"/>
                      <w:bCs/>
                      <w:spacing w:val="-10"/>
                      <w:sz w:val="24"/>
                    </w:rPr>
                    <w:t>30</w:t>
                  </w:r>
                  <w:r>
                    <w:rPr>
                      <w:rFonts w:ascii="Times New Roman" w:hAnsi="Times New Roman"/>
                      <w:kern w:val="0"/>
                      <w:sz w:val="24"/>
                    </w:rPr>
                    <w:t xml:space="preserve"> m</w:t>
                  </w:r>
                  <w:r>
                    <w:rPr>
                      <w:rFonts w:ascii="Times New Roman" w:hAnsi="Times New Roman"/>
                      <w:kern w:val="0"/>
                      <w:sz w:val="24"/>
                      <w:vertAlign w:val="superscript"/>
                    </w:rPr>
                    <w:t>3</w:t>
                  </w:r>
                  <w:r>
                    <w:rPr>
                      <w:rFonts w:hint="eastAsia" w:ascii="Times New Roman" w:hAnsi="Times New Roman"/>
                      <w:bCs/>
                      <w:sz w:val="24"/>
                    </w:rPr>
                    <w:t>，</w:t>
                  </w:r>
                  <w:r>
                    <w:rPr>
                      <w:rFonts w:hint="eastAsia" w:ascii="Times New Roman" w:hAnsi="Times New Roman"/>
                      <w:bCs/>
                      <w:spacing w:val="-10"/>
                      <w:sz w:val="24"/>
                    </w:rPr>
                    <w:t>南昌水库至脱皮树片区提水工程</w:t>
                  </w:r>
                  <w:r>
                    <w:rPr>
                      <w:rFonts w:hint="eastAsia" w:ascii="Times New Roman" w:hAnsi="Times New Roman"/>
                      <w:kern w:val="0"/>
                      <w:sz w:val="24"/>
                    </w:rPr>
                    <w:t>废水沉淀池容积为</w:t>
                  </w:r>
                  <w:r>
                    <w:rPr>
                      <w:rFonts w:ascii="Times New Roman" w:hAnsi="Times New Roman"/>
                      <w:bCs/>
                      <w:spacing w:val="-10"/>
                      <w:sz w:val="24"/>
                    </w:rPr>
                    <w:t>25</w:t>
                  </w:r>
                  <w:r>
                    <w:rPr>
                      <w:rFonts w:hint="eastAsia" w:ascii="Times New Roman" w:hAnsi="Times New Roman"/>
                      <w:bCs/>
                      <w:spacing w:val="-10"/>
                      <w:sz w:val="24"/>
                    </w:rPr>
                    <w:t>m</w:t>
                  </w:r>
                  <w:r>
                    <w:rPr>
                      <w:rFonts w:ascii="Times New Roman" w:hAnsi="Times New Roman"/>
                      <w:bCs/>
                      <w:spacing w:val="-10"/>
                      <w:sz w:val="24"/>
                      <w:vertAlign w:val="superscript"/>
                    </w:rPr>
                    <w:t>3</w:t>
                  </w:r>
                  <w:r>
                    <w:rPr>
                      <w:rFonts w:hint="eastAsia" w:ascii="Times New Roman" w:hAnsi="Times New Roman"/>
                      <w:bCs/>
                      <w:spacing w:val="-10"/>
                      <w:sz w:val="24"/>
                    </w:rPr>
                    <w:t>，小桥沟水库提水供水工程</w:t>
                  </w:r>
                  <w:r>
                    <w:rPr>
                      <w:rFonts w:hint="eastAsia" w:ascii="Times New Roman" w:hAnsi="Times New Roman"/>
                      <w:kern w:val="0"/>
                      <w:sz w:val="24"/>
                    </w:rPr>
                    <w:t>废水沉淀池容积为</w:t>
                  </w:r>
                  <w:r>
                    <w:rPr>
                      <w:rFonts w:ascii="Times New Roman" w:hAnsi="Times New Roman"/>
                      <w:bCs/>
                      <w:spacing w:val="-10"/>
                      <w:sz w:val="24"/>
                    </w:rPr>
                    <w:t>20</w:t>
                  </w:r>
                  <w:r>
                    <w:rPr>
                      <w:rFonts w:hint="eastAsia" w:ascii="Times New Roman" w:hAnsi="Times New Roman"/>
                      <w:bCs/>
                      <w:spacing w:val="-10"/>
                      <w:sz w:val="24"/>
                    </w:rPr>
                    <w:t>m</w:t>
                  </w:r>
                  <w:r>
                    <w:rPr>
                      <w:rFonts w:ascii="Times New Roman" w:hAnsi="Times New Roman"/>
                      <w:bCs/>
                      <w:spacing w:val="-10"/>
                      <w:sz w:val="24"/>
                      <w:vertAlign w:val="superscript"/>
                    </w:rPr>
                    <w:t>3</w:t>
                  </w:r>
                  <w:r>
                    <w:rPr>
                      <w:rFonts w:hint="eastAsia" w:ascii="Times New Roman" w:hAnsi="Times New Roman"/>
                      <w:bCs/>
                      <w:spacing w:val="-10"/>
                      <w:sz w:val="24"/>
                    </w:rPr>
                    <w:t>，</w:t>
                  </w:r>
                  <w:r>
                    <w:rPr>
                      <w:rFonts w:hint="eastAsia" w:ascii="Times New Roman" w:hAnsi="Times New Roman"/>
                      <w:kern w:val="0"/>
                      <w:sz w:val="24"/>
                    </w:rPr>
                    <w:t>排泥废水经废水沉淀池初步沉淀后的上清液用回收泵输送到一体化净水器内再次处理利用。</w:t>
                  </w:r>
                </w:p>
              </w:tc>
              <w:tc>
                <w:tcPr>
                  <w:tcW w:w="1842" w:type="dxa"/>
                  <w:vMerge w:val="restart"/>
                  <w:vAlign w:val="center"/>
                </w:tcPr>
                <w:p>
                  <w:pPr>
                    <w:adjustRightInd w:val="0"/>
                    <w:snapToGrid w:val="0"/>
                    <w:jc w:val="center"/>
                    <w:rPr>
                      <w:rFonts w:ascii="Times New Roman" w:hAnsi="Times New Roman"/>
                      <w:sz w:val="24"/>
                    </w:rPr>
                  </w:pPr>
                  <w:r>
                    <w:rPr>
                      <w:rFonts w:ascii="Times New Roman" w:hAnsi="Times New Roman"/>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6" w:type="dxa"/>
                  <w:vMerge w:val="continue"/>
                  <w:vAlign w:val="center"/>
                </w:tcPr>
                <w:p>
                  <w:pPr>
                    <w:adjustRightInd w:val="0"/>
                    <w:snapToGrid w:val="0"/>
                    <w:jc w:val="center"/>
                    <w:rPr>
                      <w:rFonts w:ascii="Times New Roman" w:hAnsi="Times New Roman"/>
                      <w:sz w:val="24"/>
                    </w:rPr>
                  </w:pPr>
                </w:p>
              </w:tc>
              <w:tc>
                <w:tcPr>
                  <w:tcW w:w="1843" w:type="dxa"/>
                  <w:vAlign w:val="center"/>
                </w:tcPr>
                <w:p>
                  <w:pPr>
                    <w:adjustRightInd w:val="0"/>
                    <w:snapToGrid w:val="0"/>
                    <w:jc w:val="center"/>
                    <w:rPr>
                      <w:rFonts w:ascii="Times New Roman" w:hAnsi="Times New Roman"/>
                      <w:sz w:val="24"/>
                    </w:rPr>
                  </w:pPr>
                  <w:r>
                    <w:rPr>
                      <w:rFonts w:ascii="Times New Roman" w:hAnsi="Times New Roman"/>
                      <w:bCs/>
                      <w:sz w:val="24"/>
                    </w:rPr>
                    <w:t>反冲洗水</w:t>
                  </w:r>
                </w:p>
              </w:tc>
              <w:tc>
                <w:tcPr>
                  <w:tcW w:w="1559" w:type="dxa"/>
                  <w:vAlign w:val="center"/>
                </w:tcPr>
                <w:p>
                  <w:pPr>
                    <w:adjustRightInd w:val="0"/>
                    <w:snapToGrid w:val="0"/>
                    <w:jc w:val="center"/>
                    <w:rPr>
                      <w:rFonts w:ascii="Times New Roman" w:hAnsi="Times New Roman"/>
                      <w:sz w:val="24"/>
                    </w:rPr>
                  </w:pPr>
                  <w:r>
                    <w:rPr>
                      <w:rFonts w:ascii="Times New Roman" w:hAnsi="Times New Roman"/>
                      <w:sz w:val="24"/>
                    </w:rPr>
                    <w:t>SS</w:t>
                  </w:r>
                </w:p>
              </w:tc>
              <w:tc>
                <w:tcPr>
                  <w:tcW w:w="3686" w:type="dxa"/>
                  <w:vMerge w:val="continue"/>
                  <w:vAlign w:val="center"/>
                </w:tcPr>
                <w:p>
                  <w:pPr>
                    <w:adjustRightInd w:val="0"/>
                    <w:snapToGrid w:val="0"/>
                    <w:jc w:val="center"/>
                    <w:rPr>
                      <w:rFonts w:ascii="Times New Roman" w:hAnsi="Times New Roman"/>
                      <w:sz w:val="24"/>
                    </w:rPr>
                  </w:pPr>
                </w:p>
              </w:tc>
              <w:tc>
                <w:tcPr>
                  <w:tcW w:w="1842" w:type="dxa"/>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7" w:hRule="atLeast"/>
                <w:jc w:val="center"/>
              </w:trPr>
              <w:tc>
                <w:tcPr>
                  <w:tcW w:w="1266" w:type="dxa"/>
                  <w:vAlign w:val="center"/>
                </w:tcPr>
                <w:p>
                  <w:pPr>
                    <w:adjustRightInd w:val="0"/>
                    <w:snapToGrid w:val="0"/>
                    <w:jc w:val="center"/>
                    <w:rPr>
                      <w:rFonts w:ascii="Times New Roman" w:hAnsi="Times New Roman"/>
                      <w:sz w:val="24"/>
                    </w:rPr>
                  </w:pPr>
                  <w:r>
                    <w:rPr>
                      <w:rFonts w:ascii="Times New Roman" w:hAnsi="Times New Roman"/>
                      <w:sz w:val="24"/>
                    </w:rPr>
                    <w:t>声环境</w:t>
                  </w:r>
                </w:p>
              </w:tc>
              <w:tc>
                <w:tcPr>
                  <w:tcW w:w="1843" w:type="dxa"/>
                  <w:vAlign w:val="center"/>
                </w:tcPr>
                <w:p>
                  <w:pPr>
                    <w:adjustRightInd w:val="0"/>
                    <w:snapToGrid w:val="0"/>
                    <w:jc w:val="center"/>
                    <w:rPr>
                      <w:rFonts w:ascii="Times New Roman" w:hAnsi="Times New Roman"/>
                      <w:sz w:val="24"/>
                    </w:rPr>
                  </w:pPr>
                  <w:r>
                    <w:rPr>
                      <w:rFonts w:ascii="Times New Roman" w:hAnsi="Times New Roman"/>
                      <w:sz w:val="24"/>
                    </w:rPr>
                    <w:t>生产设备</w:t>
                  </w:r>
                </w:p>
              </w:tc>
              <w:tc>
                <w:tcPr>
                  <w:tcW w:w="1559" w:type="dxa"/>
                  <w:vAlign w:val="center"/>
                </w:tcPr>
                <w:p>
                  <w:pPr>
                    <w:adjustRightInd w:val="0"/>
                    <w:snapToGrid w:val="0"/>
                    <w:jc w:val="center"/>
                    <w:rPr>
                      <w:rFonts w:ascii="Times New Roman" w:hAnsi="Times New Roman"/>
                      <w:sz w:val="24"/>
                    </w:rPr>
                  </w:pPr>
                  <w:r>
                    <w:rPr>
                      <w:rFonts w:hint="eastAsia" w:ascii="Times New Roman" w:hAnsi="Times New Roman"/>
                      <w:sz w:val="24"/>
                    </w:rPr>
                    <w:t>d</w:t>
                  </w:r>
                  <w:r>
                    <w:rPr>
                      <w:rFonts w:ascii="Times New Roman" w:hAnsi="Times New Roman"/>
                      <w:sz w:val="24"/>
                    </w:rPr>
                    <w:t>B（</w:t>
                  </w:r>
                  <w:r>
                    <w:rPr>
                      <w:rFonts w:hint="eastAsia" w:ascii="Times New Roman" w:hAnsi="Times New Roman"/>
                      <w:sz w:val="24"/>
                    </w:rPr>
                    <w:t>A</w:t>
                  </w:r>
                  <w:r>
                    <w:rPr>
                      <w:rFonts w:ascii="Times New Roman" w:hAnsi="Times New Roman"/>
                      <w:sz w:val="24"/>
                    </w:rPr>
                    <w:t>）</w:t>
                  </w:r>
                </w:p>
              </w:tc>
              <w:tc>
                <w:tcPr>
                  <w:tcW w:w="3686" w:type="dxa"/>
                  <w:vAlign w:val="center"/>
                </w:tcPr>
                <w:p>
                  <w:pPr>
                    <w:adjustRightInd w:val="0"/>
                    <w:snapToGrid w:val="0"/>
                    <w:rPr>
                      <w:rFonts w:ascii="Times New Roman" w:hAnsi="Times New Roman"/>
                      <w:sz w:val="24"/>
                    </w:rPr>
                  </w:pPr>
                  <w:r>
                    <w:rPr>
                      <w:rFonts w:hint="eastAsia" w:ascii="宋体" w:hAnsi="宋体" w:cs="宋体"/>
                      <w:sz w:val="24"/>
                    </w:rPr>
                    <w:t>①</w:t>
                  </w:r>
                  <w:r>
                    <w:rPr>
                      <w:rFonts w:ascii="Times New Roman" w:hAnsi="Times New Roman"/>
                      <w:sz w:val="24"/>
                    </w:rPr>
                    <w:t>合理布置噪声源，优化总图布置，尽可能远离厂界。</w:t>
                  </w:r>
                </w:p>
                <w:p>
                  <w:pPr>
                    <w:adjustRightInd w:val="0"/>
                    <w:snapToGrid w:val="0"/>
                    <w:rPr>
                      <w:rFonts w:ascii="Times New Roman" w:hAnsi="Times New Roman"/>
                      <w:sz w:val="24"/>
                    </w:rPr>
                  </w:pPr>
                  <w:r>
                    <w:rPr>
                      <w:rFonts w:hint="eastAsia" w:ascii="宋体" w:hAnsi="宋体" w:cs="宋体"/>
                      <w:sz w:val="24"/>
                    </w:rPr>
                    <w:t>②</w:t>
                  </w:r>
                  <w:r>
                    <w:rPr>
                      <w:rFonts w:ascii="Times New Roman" w:hAnsi="Times New Roman"/>
                      <w:sz w:val="24"/>
                    </w:rPr>
                    <w:t>设备选型上采用低噪声设备，对大功率设备及高噪声设备采用隔离布置，并采取减振、隔声等降噪措施，如设备安装时采取基座减振、橡胶减振接头及减振垫等措施。</w:t>
                  </w:r>
                </w:p>
                <w:p>
                  <w:pPr>
                    <w:adjustRightInd w:val="0"/>
                    <w:snapToGrid w:val="0"/>
                    <w:rPr>
                      <w:rFonts w:ascii="Times New Roman" w:hAnsi="Times New Roman"/>
                      <w:sz w:val="24"/>
                    </w:rPr>
                  </w:pPr>
                  <w:r>
                    <w:rPr>
                      <w:rFonts w:hint="eastAsia" w:ascii="宋体" w:hAnsi="宋体" w:cs="宋体"/>
                      <w:sz w:val="24"/>
                    </w:rPr>
                    <w:t>③</w:t>
                  </w:r>
                  <w:r>
                    <w:rPr>
                      <w:rFonts w:ascii="Times New Roman" w:hAnsi="Times New Roman"/>
                      <w:sz w:val="24"/>
                    </w:rPr>
                    <w:t>加强管理，设备做到定期维护和保养。同时加强生产管理，减少人为因素造成的噪声，合理安排生产，以减轻对周边敏感点的影响。</w:t>
                  </w:r>
                </w:p>
                <w:p>
                  <w:pPr>
                    <w:adjustRightInd w:val="0"/>
                    <w:snapToGrid w:val="0"/>
                    <w:rPr>
                      <w:rFonts w:ascii="Times New Roman" w:hAnsi="Times New Roman"/>
                      <w:b/>
                      <w:bCs/>
                      <w:spacing w:val="-10"/>
                      <w:sz w:val="24"/>
                    </w:rPr>
                  </w:pPr>
                  <w:r>
                    <w:rPr>
                      <w:rFonts w:hint="eastAsia" w:ascii="宋体" w:hAnsi="宋体" w:cs="宋体"/>
                      <w:sz w:val="24"/>
                    </w:rPr>
                    <w:t>④</w:t>
                  </w:r>
                  <w:r>
                    <w:rPr>
                      <w:rFonts w:ascii="Times New Roman" w:hAnsi="Times New Roman"/>
                      <w:sz w:val="24"/>
                    </w:rPr>
                    <w:t>合理控制进入厂区车辆的车速，减轻车辆在启动及行驶过程发动机轰鸣噪声；强化行车管理制度，规范厂内车辆行驶路线，禁止鸣笛，进入厂区内低速行驶，最大限度减小流动噪声源。</w:t>
                  </w:r>
                </w:p>
              </w:tc>
              <w:tc>
                <w:tcPr>
                  <w:tcW w:w="1842" w:type="dxa"/>
                  <w:vAlign w:val="center"/>
                </w:tcPr>
                <w:p>
                  <w:pPr>
                    <w:jc w:val="center"/>
                    <w:rPr>
                      <w:rFonts w:ascii="Times New Roman" w:hAnsi="Times New Roman"/>
                      <w:sz w:val="24"/>
                    </w:rPr>
                  </w:pPr>
                  <w:r>
                    <w:rPr>
                      <w:rFonts w:ascii="Times New Roman" w:hAnsi="Times New Roman"/>
                      <w:kern w:val="44"/>
                      <w:sz w:val="24"/>
                    </w:rPr>
                    <w:t>厂界噪声达《工业企业厂界环境噪声排放标准》（GB12348-2008）2类标准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66" w:type="dxa"/>
                  <w:vAlign w:val="center"/>
                </w:tcPr>
                <w:p>
                  <w:pPr>
                    <w:adjustRightInd w:val="0"/>
                    <w:snapToGrid w:val="0"/>
                    <w:jc w:val="center"/>
                    <w:rPr>
                      <w:rFonts w:ascii="Times New Roman" w:hAnsi="Times New Roman"/>
                      <w:sz w:val="24"/>
                    </w:rPr>
                  </w:pPr>
                  <w:r>
                    <w:rPr>
                      <w:rFonts w:ascii="Times New Roman" w:hAnsi="Times New Roman"/>
                      <w:sz w:val="24"/>
                    </w:rPr>
                    <w:t>电磁辐射</w:t>
                  </w:r>
                </w:p>
              </w:tc>
              <w:tc>
                <w:tcPr>
                  <w:tcW w:w="1843" w:type="dxa"/>
                  <w:vAlign w:val="center"/>
                </w:tcPr>
                <w:p>
                  <w:pPr>
                    <w:adjustRightInd w:val="0"/>
                    <w:snapToGrid w:val="0"/>
                    <w:jc w:val="center"/>
                    <w:rPr>
                      <w:rFonts w:ascii="Times New Roman" w:hAnsi="Times New Roman"/>
                      <w:sz w:val="24"/>
                    </w:rPr>
                  </w:pPr>
                  <w:r>
                    <w:rPr>
                      <w:rFonts w:ascii="Times New Roman" w:hAnsi="Times New Roman"/>
                      <w:sz w:val="24"/>
                    </w:rPr>
                    <w:t>/</w:t>
                  </w:r>
                </w:p>
              </w:tc>
              <w:tc>
                <w:tcPr>
                  <w:tcW w:w="1559" w:type="dxa"/>
                  <w:vAlign w:val="center"/>
                </w:tcPr>
                <w:p>
                  <w:pPr>
                    <w:adjustRightInd w:val="0"/>
                    <w:snapToGrid w:val="0"/>
                    <w:jc w:val="center"/>
                    <w:rPr>
                      <w:rFonts w:ascii="Times New Roman" w:hAnsi="Times New Roman"/>
                      <w:sz w:val="24"/>
                    </w:rPr>
                  </w:pPr>
                  <w:r>
                    <w:rPr>
                      <w:rFonts w:ascii="Times New Roman" w:hAnsi="Times New Roman"/>
                      <w:sz w:val="24"/>
                    </w:rPr>
                    <w:t>/</w:t>
                  </w:r>
                </w:p>
              </w:tc>
              <w:tc>
                <w:tcPr>
                  <w:tcW w:w="3686" w:type="dxa"/>
                  <w:vAlign w:val="center"/>
                </w:tcPr>
                <w:p>
                  <w:pPr>
                    <w:adjustRightInd w:val="0"/>
                    <w:snapToGrid w:val="0"/>
                    <w:jc w:val="center"/>
                    <w:rPr>
                      <w:rFonts w:ascii="Times New Roman" w:hAnsi="Times New Roman"/>
                      <w:sz w:val="24"/>
                    </w:rPr>
                  </w:pPr>
                  <w:r>
                    <w:rPr>
                      <w:rFonts w:ascii="Times New Roman" w:hAnsi="Times New Roman"/>
                      <w:sz w:val="24"/>
                    </w:rPr>
                    <w:t>/</w:t>
                  </w:r>
                </w:p>
              </w:tc>
              <w:tc>
                <w:tcPr>
                  <w:tcW w:w="1842" w:type="dxa"/>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66" w:type="dxa"/>
                  <w:vAlign w:val="center"/>
                </w:tcPr>
                <w:p>
                  <w:pPr>
                    <w:adjustRightInd w:val="0"/>
                    <w:snapToGrid w:val="0"/>
                    <w:jc w:val="center"/>
                    <w:rPr>
                      <w:rFonts w:ascii="Times New Roman" w:hAnsi="Times New Roman"/>
                      <w:sz w:val="24"/>
                    </w:rPr>
                  </w:pPr>
                  <w:r>
                    <w:rPr>
                      <w:rFonts w:ascii="Times New Roman" w:hAnsi="Times New Roman"/>
                      <w:sz w:val="24"/>
                    </w:rPr>
                    <w:t>固体废物</w:t>
                  </w:r>
                </w:p>
              </w:tc>
              <w:tc>
                <w:tcPr>
                  <w:tcW w:w="8930" w:type="dxa"/>
                  <w:gridSpan w:val="4"/>
                  <w:vAlign w:val="center"/>
                </w:tcPr>
                <w:p>
                  <w:pPr>
                    <w:adjustRightInd w:val="0"/>
                    <w:snapToGrid w:val="0"/>
                    <w:spacing w:line="360" w:lineRule="auto"/>
                    <w:rPr>
                      <w:szCs w:val="21"/>
                    </w:rPr>
                  </w:pPr>
                  <w:r>
                    <w:rPr>
                      <w:rFonts w:hint="eastAsia" w:ascii="Times New Roman" w:hAnsi="Times New Roman"/>
                      <w:sz w:val="24"/>
                    </w:rPr>
                    <w:t>①</w:t>
                  </w:r>
                  <w:r>
                    <w:rPr>
                      <w:rFonts w:hint="eastAsia" w:ascii="宋体" w:hAnsi="宋体"/>
                      <w:bCs/>
                      <w:spacing w:val="6"/>
                      <w:sz w:val="24"/>
                    </w:rPr>
                    <w:t>项目净水厂污泥</w:t>
                  </w:r>
                  <w:r>
                    <w:rPr>
                      <w:rFonts w:hint="eastAsia" w:ascii="Times New Roman" w:hAnsi="Times New Roman"/>
                      <w:sz w:val="24"/>
                    </w:rPr>
                    <w:t>定期清掏脱水后</w:t>
                  </w:r>
                  <w:r>
                    <w:rPr>
                      <w:rFonts w:hint="eastAsia"/>
                      <w:sz w:val="24"/>
                      <w:szCs w:val="21"/>
                    </w:rPr>
                    <w:t>运至</w:t>
                  </w:r>
                  <w:r>
                    <w:rPr>
                      <w:sz w:val="24"/>
                      <w:szCs w:val="21"/>
                    </w:rPr>
                    <w:t>周边农田还田还地处理</w:t>
                  </w:r>
                  <w:r>
                    <w:rPr>
                      <w:rFonts w:hint="eastAsia"/>
                      <w:sz w:val="24"/>
                      <w:szCs w:val="21"/>
                    </w:rPr>
                    <w:t>。</w:t>
                  </w:r>
                </w:p>
                <w:p>
                  <w:pPr>
                    <w:adjustRightInd w:val="0"/>
                    <w:snapToGrid w:val="0"/>
                    <w:spacing w:line="360" w:lineRule="auto"/>
                    <w:rPr>
                      <w:rFonts w:ascii="Times New Roman" w:hAnsi="Times New Roman"/>
                      <w:sz w:val="24"/>
                    </w:rPr>
                  </w:pPr>
                  <w:r>
                    <w:rPr>
                      <w:rFonts w:hint="eastAsia" w:ascii="Times New Roman" w:hAnsi="Times New Roman"/>
                      <w:sz w:val="24"/>
                    </w:rPr>
                    <w:t>②</w:t>
                  </w:r>
                  <w:r>
                    <w:rPr>
                      <w:rFonts w:hint="eastAsia" w:ascii="Times New Roman" w:hAnsi="Times New Roman"/>
                      <w:bCs/>
                      <w:sz w:val="24"/>
                    </w:rPr>
                    <w:t>净水厂</w:t>
                  </w:r>
                  <w:r>
                    <w:rPr>
                      <w:rFonts w:ascii="Times New Roman" w:hAnsi="Times New Roman"/>
                      <w:bCs/>
                      <w:sz w:val="24"/>
                    </w:rPr>
                    <w:t>区内设置若干个垃圾桶，分散放置，收集员工生活垃圾</w:t>
                  </w:r>
                  <w:r>
                    <w:rPr>
                      <w:rFonts w:hint="eastAsia" w:ascii="Times New Roman" w:hAnsi="Times New Roman"/>
                      <w:bCs/>
                      <w:sz w:val="24"/>
                    </w:rPr>
                    <w:t>，</w:t>
                  </w:r>
                  <w:r>
                    <w:rPr>
                      <w:rFonts w:ascii="Times New Roman" w:hAnsi="Times New Roman"/>
                      <w:bCs/>
                      <w:sz w:val="24"/>
                      <w:szCs w:val="21"/>
                    </w:rPr>
                    <w:t>生活垃圾统一收集后运至项目附近垃圾收集点由当地环卫部门统一清运处置。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266" w:type="dxa"/>
                  <w:vAlign w:val="center"/>
                </w:tcPr>
                <w:p>
                  <w:pPr>
                    <w:adjustRightInd w:val="0"/>
                    <w:snapToGrid w:val="0"/>
                    <w:jc w:val="center"/>
                    <w:rPr>
                      <w:rFonts w:ascii="Times New Roman" w:hAnsi="Times New Roman"/>
                      <w:sz w:val="24"/>
                    </w:rPr>
                  </w:pPr>
                  <w:r>
                    <w:rPr>
                      <w:rFonts w:ascii="Times New Roman" w:hAnsi="Times New Roman"/>
                      <w:sz w:val="24"/>
                    </w:rPr>
                    <w:t>土壤及地下水污染防治措施</w:t>
                  </w:r>
                </w:p>
              </w:tc>
              <w:tc>
                <w:tcPr>
                  <w:tcW w:w="8930" w:type="dxa"/>
                  <w:gridSpan w:val="4"/>
                  <w:vAlign w:val="center"/>
                </w:tcPr>
                <w:p>
                  <w:pPr>
                    <w:adjustRightInd w:val="0"/>
                    <w:snapToGrid w:val="0"/>
                    <w:spacing w:line="360" w:lineRule="auto"/>
                    <w:rPr>
                      <w:rFonts w:ascii="Times New Roman" w:hAnsi="Times New Roman"/>
                      <w:bCs/>
                      <w:sz w:val="24"/>
                    </w:rPr>
                  </w:pPr>
                  <w:r>
                    <w:rPr>
                      <w:rFonts w:ascii="Times New Roman" w:hAnsi="Times New Roman"/>
                      <w:bCs/>
                      <w:sz w:val="24"/>
                    </w:rPr>
                    <w:t>（1）源头控制措施：</w:t>
                  </w:r>
                </w:p>
                <w:p>
                  <w:pPr>
                    <w:adjustRightInd w:val="0"/>
                    <w:snapToGrid w:val="0"/>
                    <w:spacing w:line="360" w:lineRule="auto"/>
                    <w:rPr>
                      <w:rFonts w:ascii="Times New Roman" w:hAnsi="Times New Roman"/>
                      <w:sz w:val="24"/>
                    </w:rPr>
                  </w:pPr>
                  <w:r>
                    <w:rPr>
                      <w:rFonts w:ascii="Times New Roman" w:hAnsi="Times New Roman"/>
                      <w:sz w:val="24"/>
                    </w:rPr>
                    <w:t>项目应根据国家现行相关规范加强环境管理，采取防止和降低污染物跑、冒、滴、漏的措施。正常运营过程中应加强机修过程中污染物跑、冒、滴、漏，同时应加强对防渗工程的检查，若发现防渗密封材料老化或损坏，应及时维修更换。</w:t>
                  </w:r>
                </w:p>
                <w:p>
                  <w:pPr>
                    <w:adjustRightInd w:val="0"/>
                    <w:snapToGrid w:val="0"/>
                    <w:spacing w:line="360" w:lineRule="auto"/>
                    <w:rPr>
                      <w:rFonts w:ascii="Times New Roman" w:hAnsi="Times New Roman"/>
                      <w:bCs/>
                      <w:sz w:val="24"/>
                    </w:rPr>
                  </w:pPr>
                  <w:r>
                    <w:rPr>
                      <w:rFonts w:ascii="Times New Roman" w:hAnsi="Times New Roman"/>
                      <w:bCs/>
                      <w:sz w:val="24"/>
                    </w:rPr>
                    <w:t>（2）分区防治措施：</w:t>
                  </w:r>
                </w:p>
                <w:p>
                  <w:pPr>
                    <w:adjustRightInd w:val="0"/>
                    <w:snapToGrid w:val="0"/>
                    <w:spacing w:line="360" w:lineRule="auto"/>
                    <w:rPr>
                      <w:rFonts w:ascii="Times New Roman" w:hAnsi="Times New Roman"/>
                      <w:sz w:val="24"/>
                    </w:rPr>
                  </w:pPr>
                  <w:r>
                    <w:rPr>
                      <w:rFonts w:ascii="Times New Roman" w:hAnsi="Times New Roman"/>
                      <w:sz w:val="24"/>
                    </w:rPr>
                    <w:t>结合项目拟建情况，本环评要求建设单位将厂区按各功能单元所在处的位置划分为一般防渗区和简单防渗区。并按照以下防渗要求对全厂地面进行防渗处理：一般防渗区：加药间、化粪池、</w:t>
                  </w:r>
                  <w:r>
                    <w:rPr>
                      <w:rFonts w:hint="eastAsia" w:ascii="Times New Roman" w:hAnsi="Times New Roman"/>
                      <w:sz w:val="24"/>
                    </w:rPr>
                    <w:t>废水</w:t>
                  </w:r>
                  <w:r>
                    <w:rPr>
                      <w:rFonts w:ascii="Times New Roman" w:hAnsi="Times New Roman"/>
                      <w:sz w:val="24"/>
                    </w:rPr>
                    <w:t>回收水池采取</w:t>
                  </w:r>
                  <w:r>
                    <w:rPr>
                      <w:rFonts w:ascii="Times New Roman" w:hAnsi="Times New Roman"/>
                      <w:sz w:val="24"/>
                      <w:szCs w:val="28"/>
                    </w:rPr>
                    <w:t>抗渗混凝土（0.15m）进行一般防渗，等效粘土防渗层Mb≥1.5m，防渗系数为≤1.0×10</w:t>
                  </w:r>
                  <w:r>
                    <w:rPr>
                      <w:rFonts w:ascii="Times New Roman" w:hAnsi="Times New Roman"/>
                      <w:sz w:val="24"/>
                      <w:szCs w:val="28"/>
                      <w:vertAlign w:val="superscript"/>
                    </w:rPr>
                    <w:t>-7</w:t>
                  </w:r>
                  <w:r>
                    <w:rPr>
                      <w:rFonts w:ascii="Times New Roman" w:hAnsi="Times New Roman"/>
                      <w:sz w:val="24"/>
                      <w:szCs w:val="28"/>
                    </w:rPr>
                    <w:t>cm/s。</w:t>
                  </w:r>
                  <w:r>
                    <w:rPr>
                      <w:rFonts w:ascii="Times New Roman" w:hAnsi="Times New Roman"/>
                      <w:sz w:val="24"/>
                    </w:rPr>
                    <w:t>简单防渗区：厂区内</w:t>
                  </w:r>
                  <w:r>
                    <w:rPr>
                      <w:rFonts w:hint="eastAsia" w:ascii="Times New Roman" w:hAnsi="Times New Roman"/>
                      <w:sz w:val="24"/>
                    </w:rPr>
                    <w:t>道路</w:t>
                  </w:r>
                  <w:r>
                    <w:rPr>
                      <w:rFonts w:ascii="Times New Roman" w:hAnsi="Times New Roman"/>
                      <w:sz w:val="24"/>
                    </w:rPr>
                    <w:t>采用一般地面硬化。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66" w:type="dxa"/>
                  <w:vAlign w:val="center"/>
                </w:tcPr>
                <w:p>
                  <w:pPr>
                    <w:adjustRightInd w:val="0"/>
                    <w:snapToGrid w:val="0"/>
                    <w:jc w:val="center"/>
                    <w:rPr>
                      <w:rFonts w:ascii="Times New Roman" w:hAnsi="Times New Roman"/>
                      <w:sz w:val="24"/>
                    </w:rPr>
                  </w:pPr>
                  <w:r>
                    <w:rPr>
                      <w:rFonts w:ascii="Times New Roman" w:hAnsi="Times New Roman"/>
                      <w:sz w:val="24"/>
                    </w:rPr>
                    <w:t>生态保护</w:t>
                  </w:r>
                </w:p>
                <w:p>
                  <w:pPr>
                    <w:adjustRightInd w:val="0"/>
                    <w:snapToGrid w:val="0"/>
                    <w:jc w:val="center"/>
                    <w:rPr>
                      <w:rFonts w:ascii="Times New Roman" w:hAnsi="Times New Roman"/>
                      <w:sz w:val="24"/>
                    </w:rPr>
                  </w:pPr>
                  <w:r>
                    <w:rPr>
                      <w:rFonts w:ascii="Times New Roman" w:hAnsi="Times New Roman"/>
                      <w:sz w:val="24"/>
                    </w:rPr>
                    <w:t>措施</w:t>
                  </w:r>
                </w:p>
              </w:tc>
              <w:tc>
                <w:tcPr>
                  <w:tcW w:w="8930" w:type="dxa"/>
                  <w:gridSpan w:val="4"/>
                  <w:vAlign w:val="center"/>
                </w:tcPr>
                <w:p>
                  <w:pPr>
                    <w:snapToGrid w:val="0"/>
                    <w:spacing w:line="360" w:lineRule="auto"/>
                    <w:rPr>
                      <w:rFonts w:ascii="Times New Roman" w:hAnsi="Times New Roman"/>
                      <w:sz w:val="24"/>
                    </w:rPr>
                  </w:pPr>
                  <w:r>
                    <w:rPr>
                      <w:rFonts w:ascii="Times New Roman" w:hAnsi="Times New Roman"/>
                      <w:sz w:val="24"/>
                    </w:rPr>
                    <w:t>本项目建设过程中，施工过程中场内弃土因结构松散，易被雨水冲刷造成水土流失；场地的平整、道路和土方的开挖都将改变原地形地貌，减少地表植被，破坏生态环境。项目施工结束后需对净水厂及施工临时占地进行生态环境修复措施。</w:t>
                  </w:r>
                </w:p>
                <w:p>
                  <w:pPr>
                    <w:spacing w:line="360" w:lineRule="auto"/>
                    <w:rPr>
                      <w:rFonts w:ascii="Times New Roman" w:hAnsi="Times New Roman"/>
                      <w:sz w:val="24"/>
                    </w:rPr>
                  </w:pPr>
                  <w:r>
                    <w:rPr>
                      <w:rFonts w:ascii="Times New Roman" w:hAnsi="Times New Roman"/>
                      <w:sz w:val="24"/>
                    </w:rPr>
                    <w:t>（1）净水厂</w:t>
                  </w:r>
                </w:p>
                <w:p>
                  <w:pPr>
                    <w:snapToGrid w:val="0"/>
                    <w:spacing w:line="360" w:lineRule="auto"/>
                    <w:rPr>
                      <w:rFonts w:ascii="Times New Roman" w:hAnsi="Times New Roman"/>
                      <w:bCs/>
                      <w:sz w:val="24"/>
                    </w:rPr>
                  </w:pPr>
                  <w:r>
                    <w:rPr>
                      <w:rFonts w:ascii="Times New Roman" w:hAnsi="Times New Roman"/>
                      <w:bCs/>
                      <w:sz w:val="24"/>
                    </w:rPr>
                    <w:t>施工结束后加强厂区绿化，并对厂区内进行硬化。</w:t>
                  </w:r>
                </w:p>
                <w:p>
                  <w:pPr>
                    <w:snapToGrid w:val="0"/>
                    <w:spacing w:line="360" w:lineRule="auto"/>
                    <w:rPr>
                      <w:rFonts w:ascii="Times New Roman" w:hAnsi="Times New Roman"/>
                      <w:b/>
                      <w:sz w:val="24"/>
                    </w:rPr>
                  </w:pPr>
                  <w:r>
                    <w:rPr>
                      <w:rFonts w:ascii="Times New Roman" w:hAnsi="Times New Roman"/>
                      <w:bCs/>
                      <w:sz w:val="24"/>
                    </w:rPr>
                    <w:t>（2）供配水管道</w:t>
                  </w:r>
                </w:p>
                <w:p>
                  <w:pPr>
                    <w:snapToGrid w:val="0"/>
                    <w:spacing w:line="360" w:lineRule="auto"/>
                    <w:rPr>
                      <w:rFonts w:ascii="Times New Roman" w:hAnsi="Times New Roman"/>
                      <w:b/>
                      <w:sz w:val="24"/>
                    </w:rPr>
                  </w:pPr>
                  <w:r>
                    <w:rPr>
                      <w:rFonts w:ascii="Times New Roman" w:hAnsi="Times New Roman"/>
                      <w:kern w:val="0"/>
                      <w:sz w:val="24"/>
                    </w:rPr>
                    <w:t>施工结束后</w:t>
                  </w:r>
                  <w:r>
                    <w:rPr>
                      <w:rFonts w:ascii="Times New Roman" w:hAnsi="Times New Roman"/>
                      <w:sz w:val="24"/>
                    </w:rPr>
                    <w:t>恢复区域植被，防治水土流失；</w:t>
                  </w:r>
                  <w:r>
                    <w:rPr>
                      <w:rFonts w:ascii="Times New Roman" w:hAnsi="Times New Roman"/>
                      <w:kern w:val="0"/>
                      <w:sz w:val="24"/>
                    </w:rPr>
                    <w:t>根据“适地适树”原则，平整场地，种植适宜当地植物以恢复生态环境；对凹凸地填平，为场地绿化创造条件。</w:t>
                  </w:r>
                </w:p>
                <w:p>
                  <w:pPr>
                    <w:pStyle w:val="16"/>
                    <w:ind w:firstLine="0" w:firstLineChars="0"/>
                    <w:rPr>
                      <w:szCs w:val="24"/>
                    </w:rPr>
                  </w:pPr>
                  <w:r>
                    <w:rPr>
                      <w:szCs w:val="24"/>
                    </w:rPr>
                    <w:t>项目在采取以上生态恢复及水土保持措施后，可将施工期生态影响程度降低至较低水平，同时可有效防治水土流失。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266" w:type="dxa"/>
                  <w:vAlign w:val="center"/>
                </w:tcPr>
                <w:p>
                  <w:pPr>
                    <w:adjustRightInd w:val="0"/>
                    <w:snapToGrid w:val="0"/>
                    <w:jc w:val="center"/>
                    <w:rPr>
                      <w:rFonts w:ascii="Times New Roman" w:hAnsi="Times New Roman"/>
                      <w:spacing w:val="-8"/>
                      <w:sz w:val="24"/>
                    </w:rPr>
                  </w:pPr>
                  <w:r>
                    <w:rPr>
                      <w:rFonts w:ascii="Times New Roman" w:hAnsi="Times New Roman"/>
                      <w:spacing w:val="-8"/>
                      <w:sz w:val="24"/>
                    </w:rPr>
                    <w:t>环境风险</w:t>
                  </w:r>
                </w:p>
                <w:p>
                  <w:pPr>
                    <w:adjustRightInd w:val="0"/>
                    <w:snapToGrid w:val="0"/>
                    <w:jc w:val="center"/>
                    <w:rPr>
                      <w:rFonts w:ascii="Times New Roman" w:hAnsi="Times New Roman"/>
                      <w:spacing w:val="-8"/>
                      <w:sz w:val="24"/>
                    </w:rPr>
                  </w:pPr>
                  <w:r>
                    <w:rPr>
                      <w:rFonts w:ascii="Times New Roman" w:hAnsi="Times New Roman"/>
                      <w:spacing w:val="-8"/>
                      <w:sz w:val="24"/>
                    </w:rPr>
                    <w:t>防范措施</w:t>
                  </w:r>
                </w:p>
              </w:tc>
              <w:tc>
                <w:tcPr>
                  <w:tcW w:w="8930" w:type="dxa"/>
                  <w:gridSpan w:val="4"/>
                  <w:vAlign w:val="center"/>
                </w:tcPr>
                <w:p>
                  <w:pPr>
                    <w:adjustRightInd w:val="0"/>
                    <w:snapToGrid w:val="0"/>
                    <w:spacing w:line="360" w:lineRule="auto"/>
                    <w:jc w:val="left"/>
                    <w:rPr>
                      <w:rFonts w:ascii="Times New Roman" w:hAnsi="Times New Roman"/>
                      <w:sz w:val="24"/>
                    </w:rPr>
                  </w:pPr>
                  <w:r>
                    <w:rPr>
                      <w:rFonts w:hint="eastAsia" w:cs="宋体"/>
                      <w:sz w:val="24"/>
                      <w:szCs w:val="32"/>
                    </w:rPr>
                    <w:t>①</w:t>
                  </w:r>
                  <w:r>
                    <w:rPr>
                      <w:rFonts w:ascii="Times New Roman" w:hAnsi="Times New Roman"/>
                      <w:sz w:val="24"/>
                    </w:rPr>
                    <w:t>环评要求对加药间地坪周边设置截污沟，并设置应急阀门，非事故状态下截污沟可以与厂区雨水系统连接，当发生泄漏事故等突发环境事件后，可将加药间周边截污沟切换至</w:t>
                  </w:r>
                  <w:r>
                    <w:rPr>
                      <w:rFonts w:hint="eastAsia" w:ascii="Times New Roman" w:hAnsi="Times New Roman"/>
                      <w:sz w:val="24"/>
                    </w:rPr>
                    <w:t>事故应急池</w:t>
                  </w:r>
                  <w:r>
                    <w:rPr>
                      <w:rFonts w:ascii="Times New Roman" w:hAnsi="Times New Roman"/>
                      <w:sz w:val="24"/>
                    </w:rPr>
                    <w:t>，将泄漏事故废水导入</w:t>
                  </w:r>
                  <w:r>
                    <w:rPr>
                      <w:rFonts w:hint="eastAsia" w:ascii="Times New Roman" w:hAnsi="Times New Roman"/>
                      <w:sz w:val="24"/>
                    </w:rPr>
                    <w:t>事故应急池</w:t>
                  </w:r>
                  <w:r>
                    <w:rPr>
                      <w:rFonts w:ascii="Times New Roman" w:hAnsi="Times New Roman"/>
                      <w:sz w:val="24"/>
                    </w:rPr>
                    <w:t>内暂存。</w:t>
                  </w:r>
                </w:p>
                <w:p>
                  <w:pPr>
                    <w:adjustRightInd w:val="0"/>
                    <w:snapToGrid w:val="0"/>
                    <w:spacing w:line="360" w:lineRule="auto"/>
                    <w:jc w:val="left"/>
                    <w:rPr>
                      <w:rFonts w:ascii="Times New Roman" w:hAnsi="Times New Roman"/>
                      <w:sz w:val="24"/>
                    </w:rPr>
                  </w:pPr>
                  <w:r>
                    <w:rPr>
                      <w:rFonts w:hint="eastAsia" w:ascii="宋体" w:hAnsi="宋体" w:cs="宋体"/>
                      <w:sz w:val="24"/>
                      <w:szCs w:val="32"/>
                    </w:rPr>
                    <w:t>②</w:t>
                  </w:r>
                  <w:r>
                    <w:rPr>
                      <w:rFonts w:ascii="Times New Roman" w:hAnsi="Times New Roman"/>
                      <w:sz w:val="24"/>
                    </w:rPr>
                    <w:t>根据《建筑设计防火规范》（GB50016-2014（2018年版）)的有关要求，净水厂内设置1座100m</w:t>
                  </w:r>
                  <w:r>
                    <w:rPr>
                      <w:rFonts w:ascii="Times New Roman" w:hAnsi="Times New Roman"/>
                      <w:sz w:val="24"/>
                      <w:vertAlign w:val="superscript"/>
                    </w:rPr>
                    <w:t>3</w:t>
                  </w:r>
                  <w:r>
                    <w:rPr>
                      <w:rFonts w:ascii="Times New Roman" w:hAnsi="Times New Roman"/>
                      <w:sz w:val="24"/>
                    </w:rPr>
                    <w:t>消防水池，主要用于储存消防事故所需用水。</w:t>
                  </w:r>
                </w:p>
                <w:p>
                  <w:pPr>
                    <w:adjustRightInd w:val="0"/>
                    <w:snapToGrid w:val="0"/>
                    <w:spacing w:line="360" w:lineRule="auto"/>
                    <w:jc w:val="left"/>
                    <w:rPr>
                      <w:rFonts w:ascii="Times New Roman" w:hAnsi="Times New Roman"/>
                      <w:sz w:val="24"/>
                    </w:rPr>
                  </w:pPr>
                  <w:r>
                    <w:rPr>
                      <w:rFonts w:hint="eastAsia" w:ascii="宋体" w:hAnsi="宋体" w:cs="宋体"/>
                      <w:sz w:val="24"/>
                    </w:rPr>
                    <w:t>③</w:t>
                  </w:r>
                  <w:r>
                    <w:rPr>
                      <w:rFonts w:ascii="Times New Roman" w:hAnsi="Times New Roman"/>
                      <w:sz w:val="24"/>
                    </w:rPr>
                    <w:t>根据《建设项目环境风险评价技术导则》（HJ69-2018）的有关要求，净水厂内设置1座事故应急池，储存突发环境泄漏事故废水。</w:t>
                  </w:r>
                </w:p>
                <w:p>
                  <w:pPr>
                    <w:adjustRightInd w:val="0"/>
                    <w:snapToGrid w:val="0"/>
                    <w:spacing w:line="360" w:lineRule="auto"/>
                    <w:jc w:val="left"/>
                    <w:rPr>
                      <w:rFonts w:ascii="Times New Roman" w:hAnsi="Times New Roman"/>
                      <w:sz w:val="24"/>
                    </w:rPr>
                  </w:pPr>
                  <w:r>
                    <w:rPr>
                      <w:rFonts w:hint="eastAsia" w:ascii="宋体" w:hAnsi="宋体" w:cs="宋体"/>
                      <w:sz w:val="24"/>
                    </w:rPr>
                    <w:t>④</w:t>
                  </w:r>
                  <w:r>
                    <w:rPr>
                      <w:rFonts w:ascii="Times New Roman" w:hAnsi="Times New Roman"/>
                      <w:sz w:val="24"/>
                    </w:rPr>
                    <w:t>严格执行有关安全生产条例。建立完整的生产、环保和安全管理制度，强调管理和安全监督工作对预防事故的重要作用，定期检测维修，及时更换腐蚀受损设备，岗位责任明确，定期培训职工，提高安全生产和管理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266" w:type="dxa"/>
                  <w:vAlign w:val="center"/>
                </w:tcPr>
                <w:p>
                  <w:pPr>
                    <w:adjustRightInd w:val="0"/>
                    <w:snapToGrid w:val="0"/>
                    <w:jc w:val="center"/>
                    <w:rPr>
                      <w:rFonts w:ascii="Times New Roman" w:hAnsi="Times New Roman"/>
                      <w:spacing w:val="-8"/>
                      <w:sz w:val="24"/>
                    </w:rPr>
                  </w:pPr>
                  <w:r>
                    <w:rPr>
                      <w:rFonts w:ascii="Times New Roman" w:hAnsi="Times New Roman"/>
                      <w:spacing w:val="-8"/>
                      <w:sz w:val="24"/>
                    </w:rPr>
                    <w:t>其他环境</w:t>
                  </w:r>
                </w:p>
                <w:p>
                  <w:pPr>
                    <w:adjustRightInd w:val="0"/>
                    <w:snapToGrid w:val="0"/>
                    <w:jc w:val="center"/>
                    <w:rPr>
                      <w:rFonts w:ascii="Times New Roman" w:hAnsi="Times New Roman"/>
                      <w:spacing w:val="-8"/>
                      <w:sz w:val="24"/>
                    </w:rPr>
                  </w:pPr>
                  <w:r>
                    <w:rPr>
                      <w:rFonts w:ascii="Times New Roman" w:hAnsi="Times New Roman"/>
                      <w:spacing w:val="-8"/>
                      <w:sz w:val="24"/>
                    </w:rPr>
                    <w:t>管理要求</w:t>
                  </w:r>
                </w:p>
              </w:tc>
              <w:tc>
                <w:tcPr>
                  <w:tcW w:w="8930" w:type="dxa"/>
                  <w:gridSpan w:val="4"/>
                  <w:vAlign w:val="center"/>
                </w:tcPr>
                <w:p>
                  <w:pPr>
                    <w:spacing w:line="360" w:lineRule="auto"/>
                    <w:rPr>
                      <w:rFonts w:ascii="Times New Roman" w:hAnsi="Times New Roman"/>
                      <w:sz w:val="24"/>
                    </w:rPr>
                  </w:pPr>
                  <w:r>
                    <w:rPr>
                      <w:rFonts w:hint="eastAsia" w:ascii="宋体" w:hAnsi="宋体" w:cs="宋体"/>
                      <w:sz w:val="24"/>
                    </w:rPr>
                    <w:t>①</w:t>
                  </w:r>
                  <w:r>
                    <w:rPr>
                      <w:rFonts w:ascii="Times New Roman" w:hAnsi="Times New Roman"/>
                      <w:sz w:val="24"/>
                    </w:rPr>
                    <w:t>按不同性质分别建立事故预防系统，监测和检验系统。</w:t>
                  </w:r>
                </w:p>
                <w:p>
                  <w:pPr>
                    <w:spacing w:line="360" w:lineRule="auto"/>
                    <w:rPr>
                      <w:rFonts w:ascii="Times New Roman" w:hAnsi="Times New Roman"/>
                      <w:sz w:val="24"/>
                    </w:rPr>
                  </w:pPr>
                  <w:r>
                    <w:rPr>
                      <w:rFonts w:hint="eastAsia" w:ascii="宋体" w:hAnsi="宋体" w:cs="宋体"/>
                      <w:sz w:val="24"/>
                    </w:rPr>
                    <w:t>②</w:t>
                  </w:r>
                  <w:r>
                    <w:rPr>
                      <w:rFonts w:ascii="Times New Roman" w:hAnsi="Times New Roman"/>
                      <w:sz w:val="24"/>
                    </w:rPr>
                    <w:t>加强管理工作对预防事故起重要作用，工艺设计和工艺控制监测等必须纳入预防事故的工作中。</w:t>
                  </w:r>
                </w:p>
                <w:p>
                  <w:pPr>
                    <w:spacing w:line="360" w:lineRule="auto"/>
                    <w:rPr>
                      <w:rFonts w:ascii="Times New Roman" w:hAnsi="Times New Roman"/>
                      <w:sz w:val="24"/>
                    </w:rPr>
                  </w:pPr>
                  <w:r>
                    <w:rPr>
                      <w:rFonts w:hint="eastAsia" w:ascii="宋体" w:hAnsi="宋体" w:cs="宋体"/>
                      <w:kern w:val="0"/>
                      <w:sz w:val="24"/>
                    </w:rPr>
                    <w:t>③</w:t>
                  </w:r>
                  <w:r>
                    <w:rPr>
                      <w:rFonts w:ascii="Times New Roman" w:hAnsi="Times New Roman"/>
                      <w:sz w:val="24"/>
                    </w:rPr>
                    <w:t>提高操作管理水平，严防操作事故的发生，应严格遵守操作规程。</w:t>
                  </w:r>
                </w:p>
                <w:p>
                  <w:pPr>
                    <w:spacing w:line="360" w:lineRule="auto"/>
                    <w:rPr>
                      <w:rFonts w:ascii="Times New Roman" w:hAnsi="Times New Roman"/>
                      <w:kern w:val="0"/>
                      <w:sz w:val="24"/>
                    </w:rPr>
                  </w:pPr>
                  <w:r>
                    <w:rPr>
                      <w:rFonts w:hint="eastAsia" w:ascii="宋体" w:hAnsi="宋体" w:cs="宋体"/>
                      <w:kern w:val="0"/>
                      <w:sz w:val="24"/>
                    </w:rPr>
                    <w:t>④</w:t>
                  </w:r>
                  <w:r>
                    <w:rPr>
                      <w:rFonts w:ascii="Times New Roman" w:hAnsi="Times New Roman"/>
                      <w:kern w:val="0"/>
                      <w:sz w:val="24"/>
                    </w:rPr>
                    <w:t>按照责、权、利实行奖罚制度，对违反制度的行为根据情节给予处罚，对有功人员给予奖励；</w:t>
                  </w:r>
                </w:p>
                <w:p>
                  <w:pPr>
                    <w:spacing w:line="360" w:lineRule="auto"/>
                    <w:rPr>
                      <w:rFonts w:ascii="Times New Roman" w:hAnsi="Times New Roman"/>
                      <w:kern w:val="0"/>
                      <w:sz w:val="24"/>
                    </w:rPr>
                  </w:pPr>
                  <w:r>
                    <w:rPr>
                      <w:rFonts w:hint="eastAsia" w:ascii="宋体" w:hAnsi="宋体" w:cs="宋体"/>
                      <w:kern w:val="0"/>
                      <w:sz w:val="24"/>
                    </w:rPr>
                    <w:t>⑤</w:t>
                  </w:r>
                  <w:r>
                    <w:rPr>
                      <w:rFonts w:ascii="Times New Roman" w:hAnsi="Times New Roman"/>
                      <w:kern w:val="0"/>
                      <w:sz w:val="24"/>
                    </w:rPr>
                    <w:t>收集、整理和推广环保技术和经验，组织对本企业环保人员的培训和环保技术情报的交流，对运行中出现的环保问题及时解决；</w:t>
                  </w:r>
                </w:p>
                <w:p>
                  <w:pPr>
                    <w:spacing w:line="360" w:lineRule="auto"/>
                    <w:rPr>
                      <w:rFonts w:ascii="Times New Roman" w:hAnsi="Times New Roman"/>
                      <w:kern w:val="0"/>
                      <w:sz w:val="24"/>
                    </w:rPr>
                  </w:pPr>
                  <w:r>
                    <w:rPr>
                      <w:rFonts w:hint="eastAsia" w:ascii="宋体" w:hAnsi="宋体" w:cs="宋体"/>
                      <w:kern w:val="0"/>
                      <w:sz w:val="24"/>
                    </w:rPr>
                    <w:t>⑥</w:t>
                  </w:r>
                  <w:r>
                    <w:rPr>
                      <w:rFonts w:ascii="Times New Roman" w:hAnsi="Times New Roman"/>
                      <w:kern w:val="0"/>
                      <w:sz w:val="24"/>
                    </w:rPr>
                    <w:t>配合上级环保主管部门，贯彻落实有关环保法规和规定；</w:t>
                  </w:r>
                </w:p>
                <w:p>
                  <w:pPr>
                    <w:spacing w:line="360" w:lineRule="auto"/>
                    <w:rPr>
                      <w:rFonts w:ascii="Times New Roman" w:hAnsi="Times New Roman"/>
                      <w:kern w:val="0"/>
                      <w:sz w:val="24"/>
                    </w:rPr>
                  </w:pPr>
                  <w:r>
                    <w:rPr>
                      <w:rFonts w:hint="eastAsia" w:ascii="宋体" w:hAnsi="宋体" w:cs="宋体"/>
                      <w:kern w:val="0"/>
                      <w:sz w:val="24"/>
                    </w:rPr>
                    <w:t>⑦</w:t>
                  </w:r>
                  <w:r>
                    <w:rPr>
                      <w:rFonts w:ascii="Times New Roman" w:hAnsi="Times New Roman"/>
                      <w:kern w:val="0"/>
                      <w:sz w:val="24"/>
                    </w:rPr>
                    <w:t>做好环境统计工作，建立环保档案。</w:t>
                  </w:r>
                </w:p>
                <w:p>
                  <w:pPr>
                    <w:spacing w:line="360" w:lineRule="auto"/>
                    <w:ind w:firstLine="480" w:firstLineChars="200"/>
                    <w:rPr>
                      <w:rFonts w:ascii="Times New Roman" w:hAnsi="Times New Roman"/>
                      <w:kern w:val="0"/>
                      <w:sz w:val="24"/>
                    </w:rPr>
                  </w:pPr>
                </w:p>
                <w:p>
                  <w:pPr>
                    <w:spacing w:line="360" w:lineRule="auto"/>
                    <w:ind w:firstLine="480" w:firstLineChars="200"/>
                    <w:rPr>
                      <w:rFonts w:ascii="Times New Roman" w:hAnsi="Times New Roman"/>
                      <w:kern w:val="0"/>
                      <w:sz w:val="24"/>
                    </w:rPr>
                  </w:pPr>
                </w:p>
                <w:p>
                  <w:pPr>
                    <w:spacing w:line="360" w:lineRule="auto"/>
                    <w:ind w:firstLine="480" w:firstLineChars="200"/>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p>
                  <w:pPr>
                    <w:spacing w:line="360" w:lineRule="auto"/>
                    <w:rPr>
                      <w:rFonts w:ascii="Times New Roman" w:hAnsi="Times New Roman"/>
                      <w:kern w:val="0"/>
                      <w:sz w:val="24"/>
                    </w:rPr>
                  </w:pP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457558"/>
    <w:rsid w:val="08666437"/>
    <w:rsid w:val="0989468D"/>
    <w:rsid w:val="0D75484E"/>
    <w:rsid w:val="0E5863A6"/>
    <w:rsid w:val="11484B39"/>
    <w:rsid w:val="14C94390"/>
    <w:rsid w:val="15AF630E"/>
    <w:rsid w:val="176F7B69"/>
    <w:rsid w:val="1C800DED"/>
    <w:rsid w:val="1D827358"/>
    <w:rsid w:val="1DE51BD3"/>
    <w:rsid w:val="1E572C23"/>
    <w:rsid w:val="1F0C1C14"/>
    <w:rsid w:val="22740BEC"/>
    <w:rsid w:val="2582154E"/>
    <w:rsid w:val="2703457D"/>
    <w:rsid w:val="2DAC502C"/>
    <w:rsid w:val="2F360CFB"/>
    <w:rsid w:val="2F4740AB"/>
    <w:rsid w:val="2FC07975"/>
    <w:rsid w:val="326C0058"/>
    <w:rsid w:val="32B17DDB"/>
    <w:rsid w:val="330632BA"/>
    <w:rsid w:val="337D1D89"/>
    <w:rsid w:val="33CA252A"/>
    <w:rsid w:val="34DB165D"/>
    <w:rsid w:val="36076C9A"/>
    <w:rsid w:val="36326B13"/>
    <w:rsid w:val="38275498"/>
    <w:rsid w:val="386F38DE"/>
    <w:rsid w:val="3B834A7C"/>
    <w:rsid w:val="3BB93FFE"/>
    <w:rsid w:val="3D657E62"/>
    <w:rsid w:val="3D81346E"/>
    <w:rsid w:val="40E5693C"/>
    <w:rsid w:val="42F65232"/>
    <w:rsid w:val="43B23412"/>
    <w:rsid w:val="472B1A05"/>
    <w:rsid w:val="48873DB8"/>
    <w:rsid w:val="4AAF22C7"/>
    <w:rsid w:val="4DE6289A"/>
    <w:rsid w:val="4FE171BC"/>
    <w:rsid w:val="50996F13"/>
    <w:rsid w:val="531743B1"/>
    <w:rsid w:val="533073F3"/>
    <w:rsid w:val="57D5566E"/>
    <w:rsid w:val="594D6B86"/>
    <w:rsid w:val="59B35B52"/>
    <w:rsid w:val="59EC129F"/>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6FE1467"/>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4">
    <w:name w:val="表内容"/>
    <w:basedOn w:val="1"/>
    <w:unhideWhenUsed/>
    <w:qFormat/>
    <w:uiPriority w:val="0"/>
    <w:pPr>
      <w:adjustRightInd w:val="0"/>
      <w:snapToGrid w:val="0"/>
    </w:pPr>
    <w:rPr>
      <w:rFonts w:ascii="宋体" w:hAnsi="宋体" w:cs="宋体"/>
      <w:snapToGrid w:val="0"/>
      <w:szCs w:val="21"/>
    </w:rPr>
  </w:style>
  <w:style w:type="paragraph" w:customStyle="1" w:styleId="15">
    <w:name w:val="标准正文"/>
    <w:basedOn w:val="1"/>
    <w:qFormat/>
    <w:uiPriority w:val="0"/>
    <w:pPr>
      <w:spacing w:line="360" w:lineRule="auto"/>
      <w:ind w:firstLine="480" w:firstLineChars="200"/>
    </w:pPr>
    <w:rPr>
      <w:rFonts w:ascii="Times New Roman" w:cs="Times New Roman"/>
      <w:szCs w:val="20"/>
    </w:rPr>
  </w:style>
  <w:style w:type="paragraph" w:customStyle="1" w:styleId="16">
    <w:name w:val="05正文"/>
    <w:basedOn w:val="1"/>
    <w:qFormat/>
    <w:uiPriority w:val="0"/>
    <w:pPr>
      <w:spacing w:line="360" w:lineRule="auto"/>
      <w:ind w:firstLine="200" w:firstLineChars="200"/>
    </w:pPr>
    <w:rPr>
      <w:rFonts w:ascii="Times New Roman" w:hAnsi="Times New Roman"/>
      <w:kern w:val="0"/>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2022-07-05T08:22:22Z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EEB85C17109F465282E8EB4C3D8B7677</vt:lpwstr>
  </property>
</Properties>
</file>