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22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3月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国民经济主要指标</w:t>
      </w:r>
    </w:p>
    <w:p>
      <w:pPr>
        <w:jc w:val="center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西畴县统计局   编制</w:t>
      </w:r>
    </w:p>
    <w:p>
      <w:pPr>
        <w:jc w:val="center"/>
        <w:rPr>
          <w:rFonts w:hint="default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  <w:t>目  录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简要分析………………………………………………………2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西畴县主要经济指标…………………………………4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联网直报单位…………………………………………………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(GDP)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农业……………………………………………………………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7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工业……………………………………………………………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固定资产投资（不含农户）…………………………………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9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房地产和建筑业………………………………………………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10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财政收支………………………………………………………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11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金融……………………………………………………………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12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招商引资及旅游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社会消费品零售额……………………………………………1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能源……………………………………………………………1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保险……………………………………………………………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17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1.GDP持续平稳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增长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根据省、州统计局反馈的地区生产总值统一核算结果，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2022年1季度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，全县完成地区生产总值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138653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去年同期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增速下降6.9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个百分点。其中，第一产业增加值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20706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拉动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GDP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增长1.2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个百分点；第二产业增加值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45300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%，拉动GDP增长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个百分点；第三产业增加值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72647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%，拉动GDP增长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个百分点。三次产业比重为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14.9:32.7:52.4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农业生产稳步提升。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1季度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实现农业总产值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40810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%，农林牧渔业增加值同比增长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3.全部工业严重下滑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1季度实现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全部工业增加值同比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下降20.9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%。规模以上工业增加值同比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下降48.8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%。规模以下工业增加值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同比增长2.3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固定资产投资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小幅增长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1季度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，完成固定资产投资同比增长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社会消费品零售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平稳运行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1季度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实现社会消费品零售总额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85290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低0.7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个百分点，两年平均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增长13.1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收支持续下跌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1季度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完成财政总收入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7338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下降21.0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%，两年平均增长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%。完成地方公共财政预算收入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4622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下降5.8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%，两年平均增长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18.8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%。完成地方公共财政预算支出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59635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%，两年平均下降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金融存贷款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增长有力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1季度实现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金融机构人民币存贷款余额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1300070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%。各项存款余额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652284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各项贷款余额为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647786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城乡居民收入稳步提高。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城镇常住居民人均可支配收入7982元，同比增长5.0%；农村常住居民人均可支配收入3064元，同比增长6.3%。城镇常住居民人均消费支出4745元，同比增长4.0%；农村常住居民人均消费支出2495元，同比增长6.3%。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pStyle w:val="20"/>
        <w:ind w:left="0" w:leftChars="0" w:firstLine="0" w:firstLineChars="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page" w:horzAnchor="page" w:tblpX="1492" w:tblpY="2277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929"/>
        <w:gridCol w:w="1118"/>
        <w:gridCol w:w="900"/>
        <w:gridCol w:w="873"/>
        <w:gridCol w:w="832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西畴县主要经济指标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57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1季度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  <w:tc>
          <w:tcPr>
            <w:tcW w:w="8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增速%</w:t>
            </w:r>
          </w:p>
        </w:tc>
        <w:tc>
          <w:tcPr>
            <w:tcW w:w="8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增速全州排位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两年平均增长%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一、地区生产总值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138653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8.5 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15.4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其中:第一产业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20706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6.4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5.8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45300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19.8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31.5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72647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3.6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12.3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、规模以上工业增加值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-48.8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19.9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、固定资产投资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107485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2.3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76.3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、社会消费品零售额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85290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2.6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24.7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、财政总收入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7338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-21.0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61.4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4622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-5.8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49.9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地方一般公共财政预算支出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59635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-15.8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0.3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、金融机构人民币存款余额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652284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6.1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5.4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金融机构人民币贷款余额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647786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8.2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11.0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、城镇常住居民人均可支配收入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7982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12.5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3064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6.3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20.5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、州外引进内资实际到位资金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11540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1661.8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-95.19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省外实际到位资金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10140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1562.3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-90.48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、旅游人数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万人次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41.4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7.3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91.7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44269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11.7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147.0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66.1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text" w:horzAnchor="page" w:tblpX="1334" w:tblpY="-565"/>
        <w:tblW w:w="90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2765"/>
        <w:gridCol w:w="3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联网直报单位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1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统计联网直报调查单位</w:t>
            </w:r>
          </w:p>
        </w:tc>
        <w:tc>
          <w:tcPr>
            <w:tcW w:w="2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联网直报调查单位合计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（个）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（一季度）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批发和零售业（大个体）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（9）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 w:firstLine="408" w:firstLineChars="17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住宿和餐饮业（大个体）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重点服务业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0.0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7.7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18"/>
        <w:tblOverlap w:val="never"/>
        <w:tblW w:w="90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1561"/>
        <w:gridCol w:w="1669"/>
        <w:gridCol w:w="1748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90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地区生产总值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（GDP）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206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1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4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068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6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1季度累计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138653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138653 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127973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8.5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其中：第一产业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20706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20706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25519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45300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45300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34100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72647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72647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68354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按行业分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农林牧渔业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20974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20974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25773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工业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17458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17458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19816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建筑业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27936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27936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14306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批发和零售业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9186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9186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8678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交通运输、仓储和邮政业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2797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2797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2249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住宿餐饮业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2423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2423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2421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金融业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10370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10370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9877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房地产业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10652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10652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11146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其他服务业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36857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36857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33707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7.1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1757"/>
        <w:gridCol w:w="1391"/>
        <w:gridCol w:w="1622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67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92" w:type="dxa"/>
            <w:gridSpan w:val="4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67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3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1季度累计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一、农业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产值（现价）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40810 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40810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50891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1.农业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17485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17485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16037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1652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1652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2171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3.林业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19773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19773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30881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4.渔业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275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275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242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1625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1625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1560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589" w:tblpY="-563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930"/>
        <w:gridCol w:w="1367"/>
        <w:gridCol w:w="1618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3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-20.9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-63.6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规模以上工业销售产值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1.黄金（kg）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72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142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337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-57.9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2.砖（万块）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560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1248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1804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3.铁合金（吨）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1487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5844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4.自来水供量（万m³）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23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41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47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55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135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116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6.蔗糖（吨）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13233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40500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46488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7.铝土（万吨）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34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-87.9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8.塑木（吨）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263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39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574.4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9.商品混凝土（m³）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9105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19245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17028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10.石材（㎡）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4153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4668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4000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11.钢结构(吨）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21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39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12.锯材加工（m³）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1304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3244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2636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23.1 </w:t>
            </w:r>
          </w:p>
        </w:tc>
      </w:tr>
    </w:tbl>
    <w:tbl>
      <w:tblPr>
        <w:tblStyle w:val="11"/>
        <w:tblpPr w:leftFromText="180" w:rightFromText="180" w:vertAnchor="text" w:horzAnchor="page" w:tblpX="1544" w:tblpY="115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5"/>
        <w:gridCol w:w="1726"/>
        <w:gridCol w:w="1861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902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固定资产投资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不含农户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25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95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2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2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808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公共管理和社会团体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29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>二产业投资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-1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2292"/>
        <w:gridCol w:w="27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房地产和建筑业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单位：个、万元、平方米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404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29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73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房地产开发经营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（一）房地产项目个数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-22.2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房地产开发投资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10663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（二）房屋施工面积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656237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520580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-0.1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其中：本年新开工面积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（三）本年商品销售面积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3673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-75.3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3513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-75.3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（四）本年商品销售额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1399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1159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（五）房屋待售面积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51693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50.4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42139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457.7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二、建筑业（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季度）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（一）建筑业企业个数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（二）建筑业总产值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7902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322.5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建筑工程产值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7805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359.0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安装工程产值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-37.8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其他产值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-100.0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11"/>
        <w:tblpPr w:leftFromText="180" w:rightFromText="180" w:vertAnchor="text" w:horzAnchor="margin" w:tblpXSpec="center" w:tblpY="2"/>
        <w:tblW w:w="9071" w:type="dxa"/>
        <w:jc w:val="center"/>
        <w:tblInd w:w="-4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363"/>
        <w:gridCol w:w="1450"/>
        <w:gridCol w:w="1575"/>
        <w:gridCol w:w="12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136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4248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3460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36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本月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华文楷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上年同期累计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bookmarkStart w:id="0" w:name="OLE_LINK11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一、财政总收入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2224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7338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9286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中央、省级收入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2716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4380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-38.0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其中：上划中央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3166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-36.1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highlight w:val="none"/>
              </w:rPr>
            </w:pPr>
            <w:bookmarkStart w:id="1" w:name="OLE_LINK12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137160</wp:posOffset>
                      </wp:positionV>
                      <wp:extent cx="2775585" cy="4399280"/>
                      <wp:effectExtent l="0" t="0" r="0" b="0"/>
                      <wp:wrapNone/>
                      <wp:docPr id="1" name="Pictu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439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19" o:spid="_x0000_s1026" o:spt="1" style="position:absolute;left:0pt;margin-left:14pt;margin-top:10.8pt;height:346.4pt;width:218.55pt;z-index:251658240;mso-width-relative:page;mso-height-relative:page;" filled="f" stroked="f" coordsize="21600,21600" o:gfxdata="UEsDBAoAAAAAAIdO4kAAAAAAAAAAAAAAAAAEAAAAZHJzL1BLAwQUAAAACACHTuJAZT9tuNoAAAAJ&#10;AQAADwAAAGRycy9kb3ducmV2LnhtbE2PzU7DMBCE70i8g7VI3KjjKoQ0xKkQPyrH0iIVbm6yJBH2&#10;OordpvD0LCc4jVazmvmmXJ6cFUccQ+9Jg5olIJBq3/TUanjdPl3lIEI01BjrCTV8YYBldX5WmqLx&#10;E73gcRNbwSEUCqOhi3EopAx1h86EmR+Q2PvwozORz7GVzWgmDndWzpMkk870xA2dGfC+w/pzc3Aa&#10;Vvlw9/bsv6fWPr6vduvd4mG7iFpfXqjkFkTEU/x7hl98RoeKmfb+QE0QVsM85ymRVWUg2E+zawVi&#10;r+FGpSnIqpT/F1Q/UEsDBBQAAAAIAIdO4kBRY1IlkAEAAB0DAAAOAAAAZHJzL2Uyb0RvYy54bWyt&#10;UttuGjEQfa/Uf7D8HgykNLBiyQuiqlS1SEk/wHjHrCXfOjYs/H3HDpBe3qK8eMfj2eNz8fLx5Cw7&#10;AiYTfMsnozFn4FXojN+3/Ofz5m7OWcrSd9IGDy0/Q+KPq48flkNsYBr6YDtARiA+NUNseZ9zbIRI&#10;qgcn0yhE8HSoAzqZaYt70aEcCN1ZMR2PP4shYBcxKEiJuuuXQ76q+FqDyj+0TpCZbTlxy3XFuu7K&#10;KlZL2exRxt6oCw35BhZOGk+X3qDWMkt2QPMflDMKQwo6j1RwImhtFFQNpGYy/kfNUy8jVC1kToo3&#10;m9L7warvxy0y01F2nHnpKKKtUfmAwCaL4s4QU0NDT3GLl12iskg9aXTlSyLYqTp6vjkKp8wUNacP&#10;D7PZfMaZorNP94vFdF49F6+/R0z5CwTHStFypMiqk/L4LWW6kkavI+U2HzbG2hqb9X81aLB0RGH8&#10;wrFUu9CdSeFAEbc8/TpIBM7sV08elvdwLfBa7K7FIaLZ98RoUmyoqJRB5XN5LyXkP/d16vVV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T9tuNoAAAAJAQAADwAAAAAAAAABACAAAAAiAAAAZHJz&#10;L2Rvd25yZXYueG1sUEsBAhQAFAAAAAgAh07iQFFjUiWQAQAAHQMAAA4AAAAAAAAAAQAgAAAAK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公共财政预算收入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2053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4622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4906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-5.8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其中：税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2791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4238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-34.1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      财政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1824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1831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668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174.1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二、公共财政预算支出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33681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59635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70800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-15.8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一般公共服务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2217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4284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6941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-38.3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公共安全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967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1653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2482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-33.4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6797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13628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22486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-39.4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科学技术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144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-73.6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文化体育与传媒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140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287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519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-44.7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社会保障和就业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6129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11144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11289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卫生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健康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5032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6703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16709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-59.9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节能环保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321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345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城乡社区事务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3399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5708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460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1140.9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农林水事务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5720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11818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4037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交通运输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752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478.5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资源勘探、商业金融国土资源等事务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2877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3275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5603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-41.5 </w:t>
            </w:r>
          </w:p>
        </w:tc>
      </w:tr>
      <w:bookmarkEnd w:id="1"/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highlight w:val="none"/>
          <w:lang w:val="en-US" w:eastAsia="zh-CN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2"/>
        <w:gridCol w:w="1854"/>
        <w:gridCol w:w="2102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3082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82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1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0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652284 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614916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（一）住户存款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497941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459009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（二）单位存款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150143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150164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1.非金融企业存款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51755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48760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2.机关团体存款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98389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101404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（三）财政性存款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4014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5598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24670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31408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农业银行存款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151960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137281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18137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13117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邮政存款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84738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80569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农村信用社存款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368766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346944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647786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598519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143806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134671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119439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115521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24367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19150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485740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459247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179392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170602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306348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288645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222488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199424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农业银行贷款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107072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106198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45336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40912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信用社贷款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272889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251985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8.3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484" w:tblpY="15"/>
        <w:tblW w:w="8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1417"/>
        <w:gridCol w:w="1417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6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招商引资及旅游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val="en-US" w:eastAsia="zh-CN"/>
              </w:rPr>
              <w:t>1季度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一、招商引资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（一）州外引进内资项目数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省内州引进项目数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（二）州外引进内资实际到位资金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11540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1661.8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10140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1562.3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省内州外实际到位资金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1400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3011.1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二、旅游业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旅游人数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万人次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41.4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8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44269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11.7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9"/>
        <w:gridCol w:w="1601"/>
        <w:gridCol w:w="1767"/>
        <w:gridCol w:w="1698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9071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43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43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32167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85290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83152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一、按销售地区分：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1.城镇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2.乡村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二、按形态和成份分：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1.餐饮收入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2.商品零售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三、各行业收入：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5988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14733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9135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15818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38293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38348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89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237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224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4.餐饮业营业额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2656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6032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5962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1.2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1"/>
        <w:gridCol w:w="2317"/>
        <w:gridCol w:w="2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劳动工资和居民生活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22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1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单位：人、万元、元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4221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5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（1季）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1456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1456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二、从业人员工资总额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（1季）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21437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21437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三、从业人员平均工资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（1季）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14514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　　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14514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7982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3064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100.1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七、商品零售价格指数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102.5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3"/>
        <w:gridCol w:w="1022"/>
        <w:gridCol w:w="1447"/>
        <w:gridCol w:w="1537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763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   标</w:t>
            </w:r>
          </w:p>
        </w:tc>
        <w:tc>
          <w:tcPr>
            <w:tcW w:w="1022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1—本月累计</w:t>
            </w:r>
          </w:p>
        </w:tc>
        <w:tc>
          <w:tcPr>
            <w:tcW w:w="153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10444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7191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3986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1922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1.4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0.49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0.53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0.13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7934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5757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8237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7030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jc w:val="center"/>
        </w:trPr>
        <w:tc>
          <w:tcPr>
            <w:tcW w:w="9071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7"/>
        <w:gridCol w:w="1909"/>
        <w:gridCol w:w="186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160" w:firstLineChars="13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7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2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2121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1920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104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124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751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599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1266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1197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641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654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402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396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201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231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-12.9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17" w:right="1587" w:bottom="1417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65A035C-4EDC-4820-AF75-9F2A6151E3B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8A57B36-582B-4F69-93F8-FDDAFC5175AF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12C327D-10CA-4F47-8B4B-816D7D0B1EB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9232E33-D0D4-49AC-A6BB-D1EE39436809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B91E56C-EFB4-4473-AB63-EEB7FDC7C8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  <w:rFonts w:cs="Times New Roman"/>
        <w:sz w:val="28"/>
        <w:szCs w:val="28"/>
      </w:rPr>
    </w:pPr>
    <w:r>
      <w:rPr>
        <w:rStyle w:val="15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cs="Times New Roman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hint="eastAsia" w:cs="Times New Roman"/>
        <w:sz w:val="28"/>
        <w:szCs w:val="28"/>
      </w:rPr>
      <w:t>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64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VlN2RmMzg3ODk2NTI4ODBiZDZmMjYyYTY1NzgifQ=="/>
  </w:docVars>
  <w:rsids>
    <w:rsidRoot w:val="00172A27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283661A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BB7034"/>
    <w:rsid w:val="04D1795A"/>
    <w:rsid w:val="052206E3"/>
    <w:rsid w:val="05312BC5"/>
    <w:rsid w:val="058D3726"/>
    <w:rsid w:val="05954CAA"/>
    <w:rsid w:val="05E85224"/>
    <w:rsid w:val="05F57710"/>
    <w:rsid w:val="06231973"/>
    <w:rsid w:val="062324A7"/>
    <w:rsid w:val="062F5DC9"/>
    <w:rsid w:val="0640191C"/>
    <w:rsid w:val="065226CC"/>
    <w:rsid w:val="067214D8"/>
    <w:rsid w:val="06A71B8C"/>
    <w:rsid w:val="06B06FBC"/>
    <w:rsid w:val="06CC4DF6"/>
    <w:rsid w:val="07EA21F2"/>
    <w:rsid w:val="07F42807"/>
    <w:rsid w:val="08C01EBC"/>
    <w:rsid w:val="08D547CB"/>
    <w:rsid w:val="08FE64F9"/>
    <w:rsid w:val="090B1FB3"/>
    <w:rsid w:val="0937333E"/>
    <w:rsid w:val="09611307"/>
    <w:rsid w:val="09672223"/>
    <w:rsid w:val="0A612082"/>
    <w:rsid w:val="0B0E7F25"/>
    <w:rsid w:val="0BF60901"/>
    <w:rsid w:val="0C28753F"/>
    <w:rsid w:val="0C6C4DBD"/>
    <w:rsid w:val="0C754B92"/>
    <w:rsid w:val="0C8426E5"/>
    <w:rsid w:val="0D59061B"/>
    <w:rsid w:val="0D976F15"/>
    <w:rsid w:val="0DAB3996"/>
    <w:rsid w:val="0DF76381"/>
    <w:rsid w:val="0E2D382C"/>
    <w:rsid w:val="0E7F22A6"/>
    <w:rsid w:val="0E8545C1"/>
    <w:rsid w:val="0EB52E84"/>
    <w:rsid w:val="0EF8718E"/>
    <w:rsid w:val="0EFD3A80"/>
    <w:rsid w:val="0F3B10EF"/>
    <w:rsid w:val="0F8F2DA9"/>
    <w:rsid w:val="0F95643E"/>
    <w:rsid w:val="0FBB3CE3"/>
    <w:rsid w:val="10506076"/>
    <w:rsid w:val="10556D13"/>
    <w:rsid w:val="10656020"/>
    <w:rsid w:val="107D19EC"/>
    <w:rsid w:val="109B78C8"/>
    <w:rsid w:val="10AA20FA"/>
    <w:rsid w:val="10FE767A"/>
    <w:rsid w:val="11FB1C6A"/>
    <w:rsid w:val="12146087"/>
    <w:rsid w:val="128C01EA"/>
    <w:rsid w:val="1296184A"/>
    <w:rsid w:val="12AD2315"/>
    <w:rsid w:val="12B9026F"/>
    <w:rsid w:val="131C35D8"/>
    <w:rsid w:val="13261D94"/>
    <w:rsid w:val="1363088F"/>
    <w:rsid w:val="138B1885"/>
    <w:rsid w:val="149427C2"/>
    <w:rsid w:val="152722B2"/>
    <w:rsid w:val="153A341E"/>
    <w:rsid w:val="154B28DB"/>
    <w:rsid w:val="157151B4"/>
    <w:rsid w:val="15F94C78"/>
    <w:rsid w:val="15FC2F2C"/>
    <w:rsid w:val="16774219"/>
    <w:rsid w:val="168C2AE3"/>
    <w:rsid w:val="1733482B"/>
    <w:rsid w:val="17536053"/>
    <w:rsid w:val="176E75B0"/>
    <w:rsid w:val="17E77829"/>
    <w:rsid w:val="17F97D3B"/>
    <w:rsid w:val="189F3225"/>
    <w:rsid w:val="18D02496"/>
    <w:rsid w:val="197C272D"/>
    <w:rsid w:val="198A20F4"/>
    <w:rsid w:val="198D529B"/>
    <w:rsid w:val="19DA7091"/>
    <w:rsid w:val="19E7477E"/>
    <w:rsid w:val="1A144A04"/>
    <w:rsid w:val="1AB35CBE"/>
    <w:rsid w:val="1B170B16"/>
    <w:rsid w:val="1B2A0A6C"/>
    <w:rsid w:val="1B82444E"/>
    <w:rsid w:val="1B85520A"/>
    <w:rsid w:val="1BB30511"/>
    <w:rsid w:val="1BB87138"/>
    <w:rsid w:val="1BFE2BA6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341932"/>
    <w:rsid w:val="1E546642"/>
    <w:rsid w:val="1E590F21"/>
    <w:rsid w:val="1EA00FC8"/>
    <w:rsid w:val="1EBE0030"/>
    <w:rsid w:val="1F106022"/>
    <w:rsid w:val="1F295FFF"/>
    <w:rsid w:val="1F945A49"/>
    <w:rsid w:val="1FC63C6E"/>
    <w:rsid w:val="1FD922EB"/>
    <w:rsid w:val="1FE61349"/>
    <w:rsid w:val="200F40F3"/>
    <w:rsid w:val="20D15129"/>
    <w:rsid w:val="20D65D04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E35888"/>
    <w:rsid w:val="274A0136"/>
    <w:rsid w:val="275B6401"/>
    <w:rsid w:val="276D7075"/>
    <w:rsid w:val="27A84395"/>
    <w:rsid w:val="27AD229F"/>
    <w:rsid w:val="27CF1547"/>
    <w:rsid w:val="27D876FC"/>
    <w:rsid w:val="27FE7724"/>
    <w:rsid w:val="28224FBF"/>
    <w:rsid w:val="28AB3902"/>
    <w:rsid w:val="28CB6B5D"/>
    <w:rsid w:val="28E551DF"/>
    <w:rsid w:val="29145556"/>
    <w:rsid w:val="29351217"/>
    <w:rsid w:val="29592F3E"/>
    <w:rsid w:val="2A1B1966"/>
    <w:rsid w:val="2A4B5CAC"/>
    <w:rsid w:val="2A964B58"/>
    <w:rsid w:val="2B16517E"/>
    <w:rsid w:val="2BAB6C2E"/>
    <w:rsid w:val="2C0660CD"/>
    <w:rsid w:val="2C0A492B"/>
    <w:rsid w:val="2C152D68"/>
    <w:rsid w:val="2C61767A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1596B"/>
    <w:rsid w:val="2EAD50A4"/>
    <w:rsid w:val="2EC6482D"/>
    <w:rsid w:val="2EC73F75"/>
    <w:rsid w:val="2F6959DB"/>
    <w:rsid w:val="2FE5663F"/>
    <w:rsid w:val="30156C9E"/>
    <w:rsid w:val="304E0168"/>
    <w:rsid w:val="309F3B1F"/>
    <w:rsid w:val="30D83342"/>
    <w:rsid w:val="31274763"/>
    <w:rsid w:val="3149243E"/>
    <w:rsid w:val="314976A8"/>
    <w:rsid w:val="315C4847"/>
    <w:rsid w:val="31682E2E"/>
    <w:rsid w:val="31712A78"/>
    <w:rsid w:val="317A1C63"/>
    <w:rsid w:val="32710929"/>
    <w:rsid w:val="328929AC"/>
    <w:rsid w:val="32975EAA"/>
    <w:rsid w:val="32A22A5F"/>
    <w:rsid w:val="33086B41"/>
    <w:rsid w:val="33237E18"/>
    <w:rsid w:val="336A318A"/>
    <w:rsid w:val="3374280E"/>
    <w:rsid w:val="33A10BAC"/>
    <w:rsid w:val="33A8542A"/>
    <w:rsid w:val="33CD40B2"/>
    <w:rsid w:val="33ED7EE7"/>
    <w:rsid w:val="33F35104"/>
    <w:rsid w:val="3473176A"/>
    <w:rsid w:val="34CD61FC"/>
    <w:rsid w:val="34D3510E"/>
    <w:rsid w:val="355B0286"/>
    <w:rsid w:val="35C610B8"/>
    <w:rsid w:val="35C948A2"/>
    <w:rsid w:val="35DF1CCA"/>
    <w:rsid w:val="36610B8C"/>
    <w:rsid w:val="368C026B"/>
    <w:rsid w:val="36A419B8"/>
    <w:rsid w:val="36D03CED"/>
    <w:rsid w:val="36E175D3"/>
    <w:rsid w:val="36EE015E"/>
    <w:rsid w:val="372C47A4"/>
    <w:rsid w:val="37405C87"/>
    <w:rsid w:val="376E286C"/>
    <w:rsid w:val="37D3017F"/>
    <w:rsid w:val="387257D6"/>
    <w:rsid w:val="388F5CEE"/>
    <w:rsid w:val="38B16D7D"/>
    <w:rsid w:val="38E94306"/>
    <w:rsid w:val="38FC7825"/>
    <w:rsid w:val="39002369"/>
    <w:rsid w:val="39222A55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202F15"/>
    <w:rsid w:val="3B3837E8"/>
    <w:rsid w:val="3B664EB8"/>
    <w:rsid w:val="3C5714CA"/>
    <w:rsid w:val="3C660AF7"/>
    <w:rsid w:val="3C78003B"/>
    <w:rsid w:val="3C807290"/>
    <w:rsid w:val="3CB8718D"/>
    <w:rsid w:val="3CBF392E"/>
    <w:rsid w:val="3CED7C42"/>
    <w:rsid w:val="3D2E093E"/>
    <w:rsid w:val="3D7415A4"/>
    <w:rsid w:val="3D794F67"/>
    <w:rsid w:val="3DAE167E"/>
    <w:rsid w:val="3DE84042"/>
    <w:rsid w:val="3E0148B1"/>
    <w:rsid w:val="3E6B6A89"/>
    <w:rsid w:val="3E890B9C"/>
    <w:rsid w:val="3EE50A82"/>
    <w:rsid w:val="3F0E65FB"/>
    <w:rsid w:val="3FEB101D"/>
    <w:rsid w:val="403D0AD4"/>
    <w:rsid w:val="40CA7D7C"/>
    <w:rsid w:val="40CE4715"/>
    <w:rsid w:val="411D6A5D"/>
    <w:rsid w:val="41475B10"/>
    <w:rsid w:val="414803DC"/>
    <w:rsid w:val="419E10BF"/>
    <w:rsid w:val="419F6F8A"/>
    <w:rsid w:val="41B76594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5972DD7"/>
    <w:rsid w:val="461D64F6"/>
    <w:rsid w:val="46996F4B"/>
    <w:rsid w:val="46D203DA"/>
    <w:rsid w:val="46FC5937"/>
    <w:rsid w:val="479B0522"/>
    <w:rsid w:val="47A45AA1"/>
    <w:rsid w:val="47A97C62"/>
    <w:rsid w:val="480B63CF"/>
    <w:rsid w:val="481C3ACF"/>
    <w:rsid w:val="48F4053D"/>
    <w:rsid w:val="49152A0A"/>
    <w:rsid w:val="4923096F"/>
    <w:rsid w:val="4956788D"/>
    <w:rsid w:val="49636B12"/>
    <w:rsid w:val="49674FC7"/>
    <w:rsid w:val="49961E1D"/>
    <w:rsid w:val="4A433E8E"/>
    <w:rsid w:val="4A7C38DE"/>
    <w:rsid w:val="4A81664D"/>
    <w:rsid w:val="4A8A5A1E"/>
    <w:rsid w:val="4AA81FCA"/>
    <w:rsid w:val="4B1E4BE0"/>
    <w:rsid w:val="4B2256EF"/>
    <w:rsid w:val="4B6C4E75"/>
    <w:rsid w:val="4B7F5982"/>
    <w:rsid w:val="4BBC1BF8"/>
    <w:rsid w:val="4BD7779F"/>
    <w:rsid w:val="4C075D4B"/>
    <w:rsid w:val="4C767BD5"/>
    <w:rsid w:val="4C7E73A7"/>
    <w:rsid w:val="4C8D4EBC"/>
    <w:rsid w:val="4CF968FE"/>
    <w:rsid w:val="4D2450F0"/>
    <w:rsid w:val="4D9277B0"/>
    <w:rsid w:val="4E1E6BF2"/>
    <w:rsid w:val="4E821F2D"/>
    <w:rsid w:val="4E89583B"/>
    <w:rsid w:val="4F1C20D4"/>
    <w:rsid w:val="4F3B323C"/>
    <w:rsid w:val="4F590315"/>
    <w:rsid w:val="4F5972FA"/>
    <w:rsid w:val="4F96751E"/>
    <w:rsid w:val="4FAF10E3"/>
    <w:rsid w:val="4FBA57BC"/>
    <w:rsid w:val="505C1CA3"/>
    <w:rsid w:val="507014CA"/>
    <w:rsid w:val="50817072"/>
    <w:rsid w:val="50B831FA"/>
    <w:rsid w:val="50CE65D5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985C42"/>
    <w:rsid w:val="54B879E1"/>
    <w:rsid w:val="554B4C20"/>
    <w:rsid w:val="556C2A71"/>
    <w:rsid w:val="556E1AF8"/>
    <w:rsid w:val="56131C96"/>
    <w:rsid w:val="565C29A7"/>
    <w:rsid w:val="56D85521"/>
    <w:rsid w:val="57152C06"/>
    <w:rsid w:val="5744167C"/>
    <w:rsid w:val="574C0F05"/>
    <w:rsid w:val="578D120F"/>
    <w:rsid w:val="57C46FB9"/>
    <w:rsid w:val="57EE5DDF"/>
    <w:rsid w:val="58A3424F"/>
    <w:rsid w:val="58FF77F4"/>
    <w:rsid w:val="5904371C"/>
    <w:rsid w:val="59360FA9"/>
    <w:rsid w:val="598445FA"/>
    <w:rsid w:val="59D75A09"/>
    <w:rsid w:val="5A247C32"/>
    <w:rsid w:val="5A717F36"/>
    <w:rsid w:val="5ABF077A"/>
    <w:rsid w:val="5AFA19DD"/>
    <w:rsid w:val="5AFB1C3B"/>
    <w:rsid w:val="5B5A7F6F"/>
    <w:rsid w:val="5BBD2A0F"/>
    <w:rsid w:val="5BE701EA"/>
    <w:rsid w:val="5BFF4876"/>
    <w:rsid w:val="5C200156"/>
    <w:rsid w:val="5C243004"/>
    <w:rsid w:val="5C4C0E8F"/>
    <w:rsid w:val="5CBC5785"/>
    <w:rsid w:val="5D016A58"/>
    <w:rsid w:val="5D180554"/>
    <w:rsid w:val="5D8B7789"/>
    <w:rsid w:val="5DDE7D56"/>
    <w:rsid w:val="5EAD4CDD"/>
    <w:rsid w:val="5F377AFB"/>
    <w:rsid w:val="5FB33D4F"/>
    <w:rsid w:val="5FD202ED"/>
    <w:rsid w:val="600D534A"/>
    <w:rsid w:val="6033712B"/>
    <w:rsid w:val="60DC41B9"/>
    <w:rsid w:val="60DF19E3"/>
    <w:rsid w:val="61220591"/>
    <w:rsid w:val="61240EB1"/>
    <w:rsid w:val="61CB488B"/>
    <w:rsid w:val="61D602F3"/>
    <w:rsid w:val="61DF50C2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1B4E92"/>
    <w:rsid w:val="6679214B"/>
    <w:rsid w:val="66D61E17"/>
    <w:rsid w:val="670334C3"/>
    <w:rsid w:val="673D5E69"/>
    <w:rsid w:val="67453245"/>
    <w:rsid w:val="67516216"/>
    <w:rsid w:val="67744D5D"/>
    <w:rsid w:val="67A74BA6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C74FC7"/>
    <w:rsid w:val="6CEA6537"/>
    <w:rsid w:val="6CFB7CDE"/>
    <w:rsid w:val="6D3D6991"/>
    <w:rsid w:val="6D7E0BE9"/>
    <w:rsid w:val="6D7F0517"/>
    <w:rsid w:val="6D8608FC"/>
    <w:rsid w:val="6E795B85"/>
    <w:rsid w:val="6EB30896"/>
    <w:rsid w:val="6ECD1366"/>
    <w:rsid w:val="6ED603D4"/>
    <w:rsid w:val="6EDC6807"/>
    <w:rsid w:val="6F202EE2"/>
    <w:rsid w:val="6F643BA2"/>
    <w:rsid w:val="6FA9195D"/>
    <w:rsid w:val="6FB12A76"/>
    <w:rsid w:val="6FF9248B"/>
    <w:rsid w:val="7022207B"/>
    <w:rsid w:val="70803CE0"/>
    <w:rsid w:val="715F731D"/>
    <w:rsid w:val="716807C8"/>
    <w:rsid w:val="71B07349"/>
    <w:rsid w:val="71BB0AC8"/>
    <w:rsid w:val="71EE4E62"/>
    <w:rsid w:val="72122206"/>
    <w:rsid w:val="72446CF4"/>
    <w:rsid w:val="729102A7"/>
    <w:rsid w:val="733153B1"/>
    <w:rsid w:val="738F4890"/>
    <w:rsid w:val="73C91C4A"/>
    <w:rsid w:val="73E43FE1"/>
    <w:rsid w:val="73F24728"/>
    <w:rsid w:val="74051A55"/>
    <w:rsid w:val="742469B9"/>
    <w:rsid w:val="74645FB0"/>
    <w:rsid w:val="7474293E"/>
    <w:rsid w:val="75A32B24"/>
    <w:rsid w:val="75C43761"/>
    <w:rsid w:val="75EB59C1"/>
    <w:rsid w:val="762D1300"/>
    <w:rsid w:val="76750E15"/>
    <w:rsid w:val="76863D06"/>
    <w:rsid w:val="7747784E"/>
    <w:rsid w:val="77A87528"/>
    <w:rsid w:val="7814097C"/>
    <w:rsid w:val="78220224"/>
    <w:rsid w:val="78506B1C"/>
    <w:rsid w:val="789D4245"/>
    <w:rsid w:val="7914087C"/>
    <w:rsid w:val="79B64416"/>
    <w:rsid w:val="7A0B4E0A"/>
    <w:rsid w:val="7A740F00"/>
    <w:rsid w:val="7A7C5D8C"/>
    <w:rsid w:val="7A977887"/>
    <w:rsid w:val="7AA57BBF"/>
    <w:rsid w:val="7AC21849"/>
    <w:rsid w:val="7B076A95"/>
    <w:rsid w:val="7B385380"/>
    <w:rsid w:val="7B5F3384"/>
    <w:rsid w:val="7BDE7B76"/>
    <w:rsid w:val="7BF41DB7"/>
    <w:rsid w:val="7D3028BD"/>
    <w:rsid w:val="7D3444AA"/>
    <w:rsid w:val="7DAF4F9F"/>
    <w:rsid w:val="7DD2072C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11228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0" w:semiHidden="0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22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方正仿宋简体"/>
      <w:sz w:val="32"/>
      <w:szCs w:val="24"/>
    </w:rPr>
  </w:style>
  <w:style w:type="paragraph" w:styleId="4">
    <w:name w:val="toa heading"/>
    <w:basedOn w:val="1"/>
    <w:next w:val="1"/>
    <w:qFormat/>
    <w:locked/>
    <w:uiPriority w:val="0"/>
    <w:pPr>
      <w:spacing w:afterLines="100"/>
    </w:pPr>
    <w:rPr>
      <w:rFonts w:ascii="Arial" w:hAnsi="Arial" w:eastAsia="仿宋"/>
      <w:sz w:val="32"/>
      <w:szCs w:val="22"/>
    </w:rPr>
  </w:style>
  <w:style w:type="paragraph" w:styleId="5">
    <w:name w:val="annotation text"/>
    <w:basedOn w:val="1"/>
    <w:link w:val="23"/>
    <w:semiHidden/>
    <w:uiPriority w:val="99"/>
    <w:pPr>
      <w:jc w:val="left"/>
    </w:pPr>
  </w:style>
  <w:style w:type="paragraph" w:styleId="6">
    <w:name w:val="Balloon Text"/>
    <w:basedOn w:val="1"/>
    <w:link w:val="24"/>
    <w:semiHidden/>
    <w:uiPriority w:val="99"/>
    <w:rPr>
      <w:sz w:val="18"/>
      <w:szCs w:val="18"/>
    </w:rPr>
  </w:style>
  <w:style w:type="paragraph" w:styleId="7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5"/>
    <w:next w:val="5"/>
    <w:link w:val="27"/>
    <w:semiHidden/>
    <w:uiPriority w:val="99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locked/>
    <w:uiPriority w:val="99"/>
  </w:style>
  <w:style w:type="character" w:styleId="16">
    <w:name w:val="FollowedHyperlink"/>
    <w:basedOn w:val="13"/>
    <w:unhideWhenUsed/>
    <w:locked/>
    <w:uiPriority w:val="99"/>
    <w:rPr>
      <w:color w:val="000000"/>
      <w:u w:val="none"/>
    </w:rPr>
  </w:style>
  <w:style w:type="character" w:styleId="17">
    <w:name w:val="Hyperlink"/>
    <w:uiPriority w:val="99"/>
    <w:rPr>
      <w:color w:val="000000"/>
      <w:u w:val="none"/>
    </w:rPr>
  </w:style>
  <w:style w:type="character" w:styleId="18">
    <w:name w:val="annotation reference"/>
    <w:semiHidden/>
    <w:uiPriority w:val="99"/>
    <w:rPr>
      <w:sz w:val="21"/>
      <w:szCs w:val="21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0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21">
    <w:name w:val="正文 + 小四号 首行缩进:  2 字符"/>
    <w:basedOn w:val="1"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22">
    <w:name w:val="标题 3 字符"/>
    <w:link w:val="3"/>
    <w:semiHidden/>
    <w:locked/>
    <w:uiPriority w:val="99"/>
    <w:rPr>
      <w:b/>
      <w:bCs/>
      <w:sz w:val="32"/>
      <w:szCs w:val="32"/>
    </w:rPr>
  </w:style>
  <w:style w:type="character" w:customStyle="1" w:styleId="23">
    <w:name w:val="批注文字 字符"/>
    <w:link w:val="5"/>
    <w:locked/>
    <w:uiPriority w:val="99"/>
    <w:rPr>
      <w:kern w:val="2"/>
      <w:sz w:val="24"/>
      <w:szCs w:val="24"/>
    </w:rPr>
  </w:style>
  <w:style w:type="character" w:customStyle="1" w:styleId="24">
    <w:name w:val="批注框文本 字符"/>
    <w:link w:val="6"/>
    <w:locked/>
    <w:uiPriority w:val="99"/>
    <w:rPr>
      <w:kern w:val="2"/>
      <w:sz w:val="18"/>
      <w:szCs w:val="18"/>
    </w:rPr>
  </w:style>
  <w:style w:type="character" w:customStyle="1" w:styleId="25">
    <w:name w:val="页脚 字符"/>
    <w:link w:val="7"/>
    <w:locked/>
    <w:uiPriority w:val="99"/>
    <w:rPr>
      <w:kern w:val="2"/>
      <w:sz w:val="18"/>
      <w:szCs w:val="18"/>
    </w:rPr>
  </w:style>
  <w:style w:type="character" w:customStyle="1" w:styleId="26">
    <w:name w:val="页眉 字符"/>
    <w:link w:val="8"/>
    <w:locked/>
    <w:uiPriority w:val="99"/>
    <w:rPr>
      <w:kern w:val="2"/>
      <w:sz w:val="18"/>
      <w:szCs w:val="18"/>
    </w:rPr>
  </w:style>
  <w:style w:type="character" w:customStyle="1" w:styleId="27">
    <w:name w:val="批注主题 字符"/>
    <w:link w:val="10"/>
    <w:locked/>
    <w:uiPriority w:val="99"/>
    <w:rPr>
      <w:b/>
      <w:bCs/>
      <w:kern w:val="2"/>
      <w:sz w:val="24"/>
      <w:szCs w:val="24"/>
    </w:rPr>
  </w:style>
  <w:style w:type="character" w:customStyle="1" w:styleId="28">
    <w:name w:val="font41"/>
    <w:basedOn w:val="13"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9">
    <w:name w:val="font51"/>
    <w:basedOn w:val="1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3430</Words>
  <Characters>5518</Characters>
  <Lines>24</Lines>
  <Paragraphs>6</Paragraphs>
  <TotalTime>7</TotalTime>
  <ScaleCrop>false</ScaleCrop>
  <LinksUpToDate>false</LinksUpToDate>
  <CharactersWithSpaces>6068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2022-04-29T06:48:45Z</cp:lastPrinted>
  <dcterms:modified xsi:type="dcterms:W3CDTF">2022-04-29T08:53:22Z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C40DEAADCB2243A69C4F53DE11AC3D2F</vt:lpwstr>
  </property>
</Properties>
</file>