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0"/>
        <w:tblW w:w="10050" w:type="dxa"/>
        <w:tblInd w:w="-68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15" w:type="dxa"/>
          <w:left w:w="15" w:type="dxa"/>
          <w:bottom w:w="15" w:type="dxa"/>
          <w:right w:w="15" w:type="dxa"/>
        </w:tblCellMar>
      </w:tblPr>
      <w:tblGrid>
        <w:gridCol w:w="1356"/>
        <w:gridCol w:w="86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15" w:type="dxa"/>
            <w:left w:w="15" w:type="dxa"/>
            <w:bottom w:w="15" w:type="dxa"/>
            <w:right w:w="15" w:type="dxa"/>
          </w:tblCellMar>
        </w:tblPrEx>
        <w:trPr>
          <w:trHeight w:val="824" w:hRule="atLeast"/>
        </w:trPr>
        <w:tc>
          <w:tcPr>
            <w:tcW w:w="1356" w:type="dxa"/>
            <w:shd w:val="clear" w:color="auto" w:fill="FFFFFF"/>
            <w:tcMar>
              <w:top w:w="0" w:type="dxa"/>
              <w:left w:w="108" w:type="dxa"/>
              <w:bottom w:w="0" w:type="dxa"/>
              <w:right w:w="108" w:type="dxa"/>
            </w:tcMar>
            <w:vAlign w:val="center"/>
          </w:tcPr>
          <w:p>
            <w:pPr>
              <w:pStyle w:val="9"/>
              <w:keepNext w:val="0"/>
              <w:keepLines w:val="0"/>
              <w:pageBreakBefore w:val="0"/>
              <w:widowControl/>
              <w:shd w:val="clear" w:color="auto" w:fill="FFFFFF"/>
              <w:kinsoku/>
              <w:wordWrap/>
              <w:overflowPunct/>
              <w:topLinePunct w:val="0"/>
              <w:autoSpaceDE/>
              <w:autoSpaceDN/>
              <w:bidi w:val="0"/>
              <w:spacing w:line="240" w:lineRule="auto"/>
              <w:ind w:firstLine="0" w:firstLineChars="0"/>
              <w:textAlignment w:val="auto"/>
              <w:rPr>
                <w:rFonts w:hint="default" w:ascii="Times New Roman" w:hAnsi="Times New Roman" w:eastAsia="方正仿宋_GBK" w:cs="Times New Roman"/>
                <w:color w:val="000000"/>
                <w:sz w:val="24"/>
                <w:szCs w:val="24"/>
                <w:shd w:val="clear" w:color="auto" w:fill="FFFFFF"/>
                <w:lang w:eastAsia="zh-CN"/>
              </w:rPr>
            </w:pPr>
            <w:r>
              <w:rPr>
                <w:rFonts w:hint="default" w:ascii="Times New Roman" w:hAnsi="Times New Roman" w:eastAsia="方正仿宋_GBK" w:cs="Times New Roman"/>
                <w:color w:val="000000"/>
                <w:sz w:val="24"/>
                <w:szCs w:val="24"/>
                <w:shd w:val="clear" w:color="auto" w:fill="FFFFFF"/>
                <w:lang w:eastAsia="zh-CN"/>
              </w:rPr>
              <w:t>建设地点</w:t>
            </w:r>
          </w:p>
        </w:tc>
        <w:tc>
          <w:tcPr>
            <w:tcW w:w="8694" w:type="dxa"/>
            <w:shd w:val="clear" w:color="auto" w:fill="FFFFFF"/>
            <w:tcMar>
              <w:top w:w="0" w:type="dxa"/>
              <w:left w:w="108" w:type="dxa"/>
              <w:bottom w:w="0" w:type="dxa"/>
              <w:right w:w="108" w:type="dxa"/>
            </w:tcMar>
            <w:vAlign w:val="center"/>
          </w:tcPr>
          <w:p>
            <w:pPr>
              <w:pStyle w:val="9"/>
              <w:keepNext w:val="0"/>
              <w:keepLines w:val="0"/>
              <w:pageBreakBefore w:val="0"/>
              <w:widowControl/>
              <w:shd w:val="clear" w:color="auto" w:fill="FFFFFF"/>
              <w:kinsoku/>
              <w:wordWrap/>
              <w:overflowPunct/>
              <w:topLinePunct w:val="0"/>
              <w:autoSpaceDE/>
              <w:autoSpaceDN/>
              <w:bidi w:val="0"/>
              <w:spacing w:line="240" w:lineRule="auto"/>
              <w:ind w:firstLine="0" w:firstLineChars="0"/>
              <w:textAlignment w:val="auto"/>
              <w:rPr>
                <w:rFonts w:hint="eastAsia" w:ascii="Times New Roman" w:hAnsi="Times New Roman" w:eastAsia="方正仿宋_GBK" w:cs="Times New Roman"/>
                <w:color w:val="000000"/>
                <w:sz w:val="24"/>
                <w:szCs w:val="24"/>
                <w:highlight w:val="none"/>
                <w:shd w:val="clear" w:color="auto" w:fill="FFFFFF"/>
                <w:lang w:eastAsia="zh-CN"/>
              </w:rPr>
            </w:pPr>
            <w:r>
              <w:rPr>
                <w:rFonts w:hint="eastAsia" w:ascii="Times New Roman" w:hAnsi="Times New Roman" w:eastAsia="方正仿宋_GBK" w:cs="Times New Roman"/>
                <w:color w:val="000000"/>
                <w:sz w:val="24"/>
                <w:szCs w:val="24"/>
                <w:highlight w:val="none"/>
                <w:shd w:val="clear" w:color="auto" w:fill="FFFFFF"/>
                <w:lang w:val="en-US" w:eastAsia="zh-CN"/>
              </w:rPr>
              <w:t>云南省文山州西畴县新马街乡坡脚委会街心村大丫口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15" w:type="dxa"/>
            <w:left w:w="15" w:type="dxa"/>
            <w:bottom w:w="15" w:type="dxa"/>
            <w:right w:w="15" w:type="dxa"/>
          </w:tblCellMar>
        </w:tblPrEx>
        <w:trPr>
          <w:trHeight w:val="899" w:hRule="atLeast"/>
        </w:trPr>
        <w:tc>
          <w:tcPr>
            <w:tcW w:w="1356" w:type="dxa"/>
            <w:shd w:val="clear" w:color="auto" w:fill="FFFFFF"/>
            <w:tcMar>
              <w:top w:w="0" w:type="dxa"/>
              <w:left w:w="108" w:type="dxa"/>
              <w:bottom w:w="0" w:type="dxa"/>
              <w:right w:w="108" w:type="dxa"/>
            </w:tcMar>
            <w:vAlign w:val="center"/>
          </w:tcPr>
          <w:p>
            <w:pPr>
              <w:pStyle w:val="9"/>
              <w:keepNext w:val="0"/>
              <w:keepLines w:val="0"/>
              <w:pageBreakBefore w:val="0"/>
              <w:widowControl/>
              <w:shd w:val="clear" w:color="auto" w:fill="FFFFFF"/>
              <w:kinsoku/>
              <w:wordWrap/>
              <w:overflowPunct/>
              <w:topLinePunct w:val="0"/>
              <w:autoSpaceDE/>
              <w:autoSpaceDN/>
              <w:bidi w:val="0"/>
              <w:spacing w:line="240" w:lineRule="auto"/>
              <w:ind w:firstLine="0" w:firstLineChars="0"/>
              <w:textAlignment w:val="auto"/>
              <w:rPr>
                <w:rFonts w:hint="default" w:ascii="Times New Roman" w:hAnsi="Times New Roman" w:eastAsia="方正仿宋_GBK" w:cs="Times New Roman"/>
                <w:color w:val="000000"/>
                <w:sz w:val="24"/>
                <w:szCs w:val="24"/>
                <w:shd w:val="clear" w:color="auto" w:fill="FFFFFF"/>
                <w:lang w:eastAsia="zh-CN"/>
              </w:rPr>
            </w:pPr>
            <w:r>
              <w:rPr>
                <w:rFonts w:hint="default" w:ascii="Times New Roman" w:hAnsi="Times New Roman" w:eastAsia="方正仿宋_GBK" w:cs="Times New Roman"/>
                <w:color w:val="000000"/>
                <w:sz w:val="24"/>
                <w:szCs w:val="24"/>
                <w:shd w:val="clear" w:color="auto" w:fill="FFFFFF"/>
                <w:lang w:eastAsia="zh-CN"/>
              </w:rPr>
              <w:t>建设单位</w:t>
            </w:r>
          </w:p>
        </w:tc>
        <w:tc>
          <w:tcPr>
            <w:tcW w:w="8694" w:type="dxa"/>
            <w:shd w:val="clear" w:color="auto" w:fill="FFFFFF"/>
            <w:tcMar>
              <w:top w:w="0" w:type="dxa"/>
              <w:left w:w="108" w:type="dxa"/>
              <w:bottom w:w="0" w:type="dxa"/>
              <w:right w:w="108" w:type="dxa"/>
            </w:tcMar>
            <w:vAlign w:val="center"/>
          </w:tcPr>
          <w:p>
            <w:pPr>
              <w:pStyle w:val="9"/>
              <w:keepNext w:val="0"/>
              <w:keepLines w:val="0"/>
              <w:pageBreakBefore w:val="0"/>
              <w:widowControl/>
              <w:shd w:val="clear" w:color="auto" w:fill="FFFFFF"/>
              <w:kinsoku/>
              <w:wordWrap/>
              <w:overflowPunct/>
              <w:topLinePunct w:val="0"/>
              <w:autoSpaceDE/>
              <w:autoSpaceDN/>
              <w:bidi w:val="0"/>
              <w:spacing w:line="240" w:lineRule="auto"/>
              <w:ind w:firstLine="0" w:firstLineChars="0"/>
              <w:textAlignment w:val="auto"/>
              <w:rPr>
                <w:rFonts w:hint="default" w:ascii="Times New Roman" w:hAnsi="Times New Roman" w:eastAsia="方正仿宋_GBK" w:cs="Times New Roman"/>
                <w:color w:val="000000"/>
                <w:sz w:val="24"/>
                <w:szCs w:val="24"/>
                <w:highlight w:val="none"/>
                <w:shd w:val="clear" w:color="auto" w:fill="FFFFFF"/>
                <w:lang w:eastAsia="zh-CN"/>
              </w:rPr>
            </w:pPr>
            <w:r>
              <w:rPr>
                <w:rFonts w:hint="eastAsia" w:ascii="Times New Roman" w:hAnsi="Times New Roman" w:eastAsia="方正仿宋_GBK" w:cs="Times New Roman"/>
                <w:color w:val="000000"/>
                <w:sz w:val="24"/>
                <w:szCs w:val="24"/>
                <w:highlight w:val="none"/>
                <w:shd w:val="clear" w:color="auto" w:fill="FFFFFF"/>
                <w:lang w:eastAsia="zh-CN"/>
              </w:rPr>
              <w:t>西畴县红缘农产品加工专业合作社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15" w:type="dxa"/>
            <w:left w:w="15" w:type="dxa"/>
            <w:bottom w:w="15" w:type="dxa"/>
            <w:right w:w="15" w:type="dxa"/>
          </w:tblCellMar>
        </w:tblPrEx>
        <w:trPr>
          <w:trHeight w:val="1463" w:hRule="atLeast"/>
        </w:trPr>
        <w:tc>
          <w:tcPr>
            <w:tcW w:w="1356" w:type="dxa"/>
            <w:shd w:val="clear" w:color="auto" w:fill="FFFFFF"/>
            <w:tcMar>
              <w:top w:w="0" w:type="dxa"/>
              <w:left w:w="108" w:type="dxa"/>
              <w:bottom w:w="0" w:type="dxa"/>
              <w:right w:w="108" w:type="dxa"/>
            </w:tcMar>
          </w:tcPr>
          <w:p>
            <w:pPr>
              <w:pStyle w:val="9"/>
              <w:keepNext w:val="0"/>
              <w:keepLines w:val="0"/>
              <w:pageBreakBefore w:val="0"/>
              <w:widowControl/>
              <w:shd w:val="clear" w:color="auto" w:fill="FFFFFF"/>
              <w:kinsoku/>
              <w:wordWrap/>
              <w:overflowPunct/>
              <w:topLinePunct w:val="0"/>
              <w:autoSpaceDE/>
              <w:autoSpaceDN/>
              <w:bidi w:val="0"/>
              <w:spacing w:line="240" w:lineRule="auto"/>
              <w:ind w:firstLine="0" w:firstLineChars="0"/>
              <w:textAlignment w:val="auto"/>
              <w:rPr>
                <w:rFonts w:hint="default" w:ascii="Times New Roman" w:hAnsi="Times New Roman" w:eastAsia="方正仿宋_GBK" w:cs="Times New Roman"/>
                <w:color w:val="000000"/>
                <w:sz w:val="24"/>
                <w:szCs w:val="24"/>
                <w:shd w:val="clear" w:color="auto" w:fill="FFFFFF"/>
                <w:lang w:eastAsia="zh-CN"/>
              </w:rPr>
            </w:pPr>
            <w:r>
              <w:rPr>
                <w:rFonts w:hint="default" w:ascii="Times New Roman" w:hAnsi="Times New Roman" w:eastAsia="方正仿宋_GBK" w:cs="Times New Roman"/>
                <w:color w:val="000000"/>
                <w:sz w:val="24"/>
                <w:szCs w:val="24"/>
                <w:shd w:val="clear" w:color="auto" w:fill="FFFFFF"/>
                <w:lang w:eastAsia="zh-CN"/>
              </w:rPr>
              <w:t>环境影响评价机构</w:t>
            </w:r>
          </w:p>
        </w:tc>
        <w:tc>
          <w:tcPr>
            <w:tcW w:w="8694" w:type="dxa"/>
            <w:shd w:val="clear" w:color="auto" w:fill="FFFFFF"/>
            <w:tcMar>
              <w:top w:w="0" w:type="dxa"/>
              <w:left w:w="108" w:type="dxa"/>
              <w:bottom w:w="0" w:type="dxa"/>
              <w:right w:w="108" w:type="dxa"/>
            </w:tcMar>
            <w:vAlign w:val="center"/>
          </w:tcPr>
          <w:p>
            <w:pPr>
              <w:pStyle w:val="9"/>
              <w:keepNext w:val="0"/>
              <w:keepLines w:val="0"/>
              <w:pageBreakBefore w:val="0"/>
              <w:widowControl/>
              <w:shd w:val="clear" w:color="auto" w:fill="FFFFFF"/>
              <w:kinsoku/>
              <w:wordWrap/>
              <w:overflowPunct/>
              <w:topLinePunct w:val="0"/>
              <w:autoSpaceDE/>
              <w:autoSpaceDN/>
              <w:bidi w:val="0"/>
              <w:spacing w:line="240" w:lineRule="auto"/>
              <w:ind w:firstLine="0" w:firstLineChars="0"/>
              <w:textAlignment w:val="auto"/>
              <w:rPr>
                <w:rFonts w:hint="eastAsia" w:ascii="Times New Roman" w:hAnsi="Times New Roman" w:eastAsia="方正仿宋_GBK" w:cs="Times New Roman"/>
                <w:color w:val="000000"/>
                <w:sz w:val="24"/>
                <w:szCs w:val="24"/>
                <w:shd w:val="clear" w:color="auto" w:fill="FFFFFF"/>
                <w:lang w:val="en-US" w:eastAsia="zh-CN"/>
              </w:rPr>
            </w:pPr>
            <w:r>
              <w:rPr>
                <w:rFonts w:hint="eastAsia" w:ascii="Times New Roman" w:hAnsi="Times New Roman" w:eastAsia="方正仿宋_GBK" w:cs="Times New Roman"/>
                <w:color w:val="000000"/>
                <w:sz w:val="24"/>
                <w:szCs w:val="24"/>
                <w:shd w:val="clear" w:color="auto" w:fill="FFFFFF"/>
                <w:lang w:val="en-US" w:eastAsia="zh-CN"/>
              </w:rPr>
              <w:t>云南弘睿天净环保科技有限公司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15" w:type="dxa"/>
            <w:left w:w="15" w:type="dxa"/>
            <w:bottom w:w="15" w:type="dxa"/>
            <w:right w:w="15" w:type="dxa"/>
          </w:tblCellMar>
        </w:tblPrEx>
        <w:trPr>
          <w:trHeight w:val="98" w:hRule="atLeast"/>
        </w:trPr>
        <w:tc>
          <w:tcPr>
            <w:tcW w:w="1356" w:type="dxa"/>
            <w:shd w:val="clear" w:color="auto" w:fill="FFFFFF"/>
            <w:tcMar>
              <w:top w:w="0" w:type="dxa"/>
              <w:left w:w="108" w:type="dxa"/>
              <w:bottom w:w="0" w:type="dxa"/>
              <w:right w:w="108" w:type="dxa"/>
            </w:tcMar>
          </w:tcPr>
          <w:p>
            <w:pPr>
              <w:pStyle w:val="9"/>
              <w:keepNext w:val="0"/>
              <w:keepLines w:val="0"/>
              <w:pageBreakBefore w:val="0"/>
              <w:widowControl/>
              <w:shd w:val="clear" w:color="auto" w:fill="FFFFFF"/>
              <w:kinsoku/>
              <w:wordWrap/>
              <w:overflowPunct/>
              <w:topLinePunct w:val="0"/>
              <w:autoSpaceDE/>
              <w:autoSpaceDN/>
              <w:bidi w:val="0"/>
              <w:spacing w:line="240" w:lineRule="auto"/>
              <w:ind w:firstLine="0" w:firstLineChars="0"/>
              <w:textAlignment w:val="auto"/>
              <w:rPr>
                <w:rFonts w:hint="default" w:ascii="Times New Roman" w:hAnsi="Times New Roman" w:eastAsia="方正仿宋_GBK" w:cs="Times New Roman"/>
                <w:color w:val="000000"/>
                <w:sz w:val="24"/>
                <w:szCs w:val="24"/>
                <w:shd w:val="clear" w:color="auto" w:fill="FFFFFF"/>
                <w:lang w:eastAsia="zh-CN"/>
              </w:rPr>
            </w:pPr>
            <w:r>
              <w:rPr>
                <w:rFonts w:hint="default" w:ascii="Times New Roman" w:hAnsi="Times New Roman" w:eastAsia="方正仿宋_GBK" w:cs="Times New Roman"/>
                <w:color w:val="000000"/>
                <w:sz w:val="24"/>
                <w:szCs w:val="24"/>
                <w:shd w:val="clear" w:color="auto" w:fill="FFFFFF"/>
                <w:lang w:eastAsia="zh-CN"/>
              </w:rPr>
              <w:t>项目概况</w:t>
            </w:r>
          </w:p>
        </w:tc>
        <w:tc>
          <w:tcPr>
            <w:tcW w:w="8694" w:type="dxa"/>
            <w:shd w:val="clear" w:color="auto" w:fill="FFFFFF"/>
            <w:tcMar>
              <w:top w:w="0" w:type="dxa"/>
              <w:left w:w="108" w:type="dxa"/>
              <w:bottom w:w="0" w:type="dxa"/>
              <w:right w:w="108" w:type="dxa"/>
            </w:tcMar>
          </w:tcPr>
          <w:p>
            <w:pPr>
              <w:keepNext w:val="0"/>
              <w:keepLines w:val="0"/>
              <w:widowControl/>
              <w:suppressLineNumbers w:val="0"/>
              <w:ind w:firstLine="480" w:firstLineChars="200"/>
              <w:jc w:val="left"/>
              <w:rPr>
                <w:rFonts w:hint="eastAsia" w:ascii="方正仿宋_GBK" w:hAnsi="方正仿宋_GBK" w:eastAsia="方正仿宋_GBK" w:cs="方正仿宋_GBK"/>
                <w:color w:val="000000"/>
                <w:kern w:val="2"/>
                <w:sz w:val="24"/>
                <w:szCs w:val="24"/>
                <w:highlight w:val="none"/>
                <w:shd w:val="clear" w:color="auto" w:fill="FFFFFF"/>
                <w:lang w:val="en-US" w:eastAsia="zh-CN" w:bidi="ar-SA"/>
              </w:rPr>
            </w:pPr>
            <w:r>
              <w:rPr>
                <w:rFonts w:hint="eastAsia" w:ascii="方正仿宋_GBK" w:hAnsi="方正仿宋_GBK" w:eastAsia="方正仿宋_GBK" w:cs="方正仿宋_GBK"/>
                <w:color w:val="000000"/>
                <w:kern w:val="2"/>
                <w:sz w:val="24"/>
                <w:szCs w:val="24"/>
                <w:highlight w:val="none"/>
                <w:shd w:val="clear" w:color="auto" w:fill="FFFFFF"/>
                <w:lang w:val="en-US" w:eastAsia="zh-CN" w:bidi="ar-SA"/>
              </w:rPr>
              <w:t>项目名称：西畴县红缘农产品加工专业合作社干姜片生产线扩建项目；建设单位：西畴县红缘农产品加工专业合作社；建设性质：扩建；建设地点：西畴县新马街乡坡脚委会街心村大丫口；本项目利用现有的项目场地（占地面积2333.33m2）进行建设，扩建300t/a干姜片生产线一条。不新增建设用地，扩建项目生产厂房占地面积450m2，设置清洗间、切片间、烘干间、热风炉房、燃煤间等，其余设施均依托现有项目，不再新增。</w:t>
            </w:r>
          </w:p>
          <w:p>
            <w:pPr>
              <w:keepNext w:val="0"/>
              <w:keepLines w:val="0"/>
              <w:widowControl/>
              <w:suppressLineNumbers w:val="0"/>
              <w:ind w:firstLine="480" w:firstLineChars="200"/>
              <w:jc w:val="left"/>
              <w:rPr>
                <w:rFonts w:hint="eastAsia" w:ascii="方正仿宋_GBK" w:hAnsi="方正仿宋_GBK" w:eastAsia="方正仿宋_GBK" w:cs="方正仿宋_GBK"/>
                <w:color w:val="000000"/>
                <w:kern w:val="2"/>
                <w:sz w:val="24"/>
                <w:szCs w:val="24"/>
                <w:highlight w:val="none"/>
                <w:shd w:val="clear" w:color="auto" w:fill="FFFFFF"/>
                <w:lang w:val="zh-CN" w:eastAsia="zh-CN" w:bidi="ar-SA"/>
              </w:rPr>
            </w:pPr>
            <w:r>
              <w:rPr>
                <w:rFonts w:hint="eastAsia" w:ascii="方正仿宋_GBK" w:hAnsi="方正仿宋_GBK" w:eastAsia="方正仿宋_GBK" w:cs="方正仿宋_GBK"/>
                <w:color w:val="000000"/>
                <w:kern w:val="2"/>
                <w:sz w:val="24"/>
                <w:szCs w:val="24"/>
                <w:highlight w:val="none"/>
                <w:shd w:val="clear" w:color="auto" w:fill="FFFFFF"/>
                <w:lang w:val="zh-CN" w:eastAsia="zh-CN" w:bidi="ar-SA"/>
              </w:rPr>
              <w:t>项目总平面布置按照功能分为生产区和办公生活区，厂区大门位于项目区西侧,场内地面均硬化处理，其中:生产区位于项目区东侧及南侧,东侧主要为原辅料仓库及产品仓库，南侧由东向西依次设置清洗间、切片间、烘干间、热风炉房、燃煤间等,晾晒场紧邻生产车间北侧；办公生活区位于项目区北侧，由东向西依次布置有食堂、宿舍、办公室。整个工程区形成了布置和建、构筑物的平面布置与空间处理互相协调，场地布置系统分明、整齐，对生产性质、防火及卫生要求近似的厂房，布置在同一地段内;各运行分区互不干扰，有效结合的总布置形式。项目总投资100万元，其中环保投资31.1万元，占总投资的31.1%。</w:t>
            </w:r>
          </w:p>
          <w:p>
            <w:pPr>
              <w:keepNext w:val="0"/>
              <w:keepLines w:val="0"/>
              <w:widowControl/>
              <w:suppressLineNumbers w:val="0"/>
              <w:ind w:firstLine="420" w:firstLineChars="200"/>
              <w:jc w:val="left"/>
              <w:rPr>
                <w:rFonts w:hint="default"/>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3513" w:hRule="atLeast"/>
        </w:trPr>
        <w:tc>
          <w:tcPr>
            <w:tcW w:w="1356" w:type="dxa"/>
            <w:shd w:val="clear" w:color="auto" w:fill="FFFFFF"/>
            <w:tcMar>
              <w:top w:w="0" w:type="dxa"/>
              <w:left w:w="108" w:type="dxa"/>
              <w:bottom w:w="0" w:type="dxa"/>
              <w:right w:w="108" w:type="dxa"/>
            </w:tcMar>
          </w:tcPr>
          <w:p>
            <w:pPr>
              <w:pStyle w:val="9"/>
              <w:keepNext w:val="0"/>
              <w:keepLines w:val="0"/>
              <w:pageBreakBefore w:val="0"/>
              <w:widowControl/>
              <w:shd w:val="clear" w:color="auto" w:fill="FFFFFF"/>
              <w:kinsoku/>
              <w:wordWrap/>
              <w:overflowPunct/>
              <w:topLinePunct w:val="0"/>
              <w:autoSpaceDE/>
              <w:autoSpaceDN/>
              <w:bidi w:val="0"/>
              <w:spacing w:line="360" w:lineRule="auto"/>
              <w:textAlignment w:val="auto"/>
              <w:rPr>
                <w:rFonts w:hint="eastAsia" w:ascii="方正仿宋_GBK" w:hAnsi="方正仿宋_GBK" w:eastAsia="方正仿宋_GBK" w:cs="方正仿宋_GBK"/>
                <w:color w:val="000000"/>
                <w:sz w:val="24"/>
                <w:szCs w:val="24"/>
                <w:shd w:val="clear" w:color="auto" w:fill="FFFFFF"/>
                <w:lang w:eastAsia="zh-CN"/>
              </w:rPr>
            </w:pPr>
            <w:r>
              <w:rPr>
                <w:rFonts w:hint="eastAsia" w:ascii="方正仿宋_GBK" w:hAnsi="方正仿宋_GBK" w:eastAsia="方正仿宋_GBK" w:cs="方正仿宋_GBK"/>
                <w:color w:val="000000"/>
                <w:sz w:val="24"/>
                <w:szCs w:val="24"/>
                <w:shd w:val="clear" w:color="auto" w:fill="FFFFFF"/>
                <w:lang w:eastAsia="zh-CN"/>
              </w:rPr>
              <w:t>主要环境影响及预防或者减轻不良环境影响的对策和措施</w:t>
            </w:r>
          </w:p>
        </w:tc>
        <w:tc>
          <w:tcPr>
            <w:tcW w:w="8694" w:type="dxa"/>
            <w:shd w:val="clear" w:color="auto" w:fill="FFFFFF"/>
            <w:tcMar>
              <w:top w:w="0" w:type="dxa"/>
              <w:left w:w="108" w:type="dxa"/>
              <w:bottom w:w="0" w:type="dxa"/>
              <w:right w:w="108" w:type="dxa"/>
            </w:tcMar>
          </w:tcPr>
          <w:tbl>
            <w:tblPr>
              <w:tblStyle w:val="10"/>
              <w:tblW w:w="8800"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318"/>
              <w:gridCol w:w="1750"/>
              <w:gridCol w:w="1125"/>
              <w:gridCol w:w="2335"/>
              <w:gridCol w:w="227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1318" w:type="dxa"/>
                  <w:tcBorders>
                    <w:tl2br w:val="single" w:color="auto" w:sz="4" w:space="0"/>
                  </w:tcBorders>
                  <w:noWrap w:val="0"/>
                  <w:vAlign w:val="top"/>
                </w:tcPr>
                <w:p>
                  <w:pPr>
                    <w:ind w:firstLine="632" w:firstLineChars="300"/>
                    <w:rPr>
                      <w:b/>
                      <w:bCs/>
                      <w:szCs w:val="21"/>
                    </w:rPr>
                  </w:pPr>
                  <w:r>
                    <w:rPr>
                      <w:b/>
                      <w:bCs/>
                      <w:szCs w:val="21"/>
                    </w:rPr>
                    <w:t>内容</w:t>
                  </w:r>
                </w:p>
                <w:p>
                  <w:pPr>
                    <w:rPr>
                      <w:b/>
                      <w:bCs/>
                      <w:szCs w:val="21"/>
                    </w:rPr>
                  </w:pPr>
                  <w:r>
                    <w:rPr>
                      <w:b/>
                      <w:bCs/>
                      <w:szCs w:val="21"/>
                    </w:rPr>
                    <w:t>要素</w:t>
                  </w:r>
                </w:p>
              </w:tc>
              <w:tc>
                <w:tcPr>
                  <w:tcW w:w="1750" w:type="dxa"/>
                  <w:noWrap w:val="0"/>
                  <w:vAlign w:val="center"/>
                </w:tcPr>
                <w:p>
                  <w:pPr>
                    <w:jc w:val="center"/>
                    <w:rPr>
                      <w:b/>
                      <w:bCs/>
                      <w:szCs w:val="21"/>
                    </w:rPr>
                  </w:pPr>
                  <w:r>
                    <w:rPr>
                      <w:b/>
                      <w:bCs/>
                      <w:szCs w:val="21"/>
                    </w:rPr>
                    <w:t>排放口(编号、</w:t>
                  </w:r>
                </w:p>
                <w:p>
                  <w:pPr>
                    <w:jc w:val="center"/>
                    <w:rPr>
                      <w:b/>
                      <w:bCs/>
                      <w:szCs w:val="21"/>
                    </w:rPr>
                  </w:pPr>
                  <w:r>
                    <w:rPr>
                      <w:b/>
                      <w:bCs/>
                      <w:szCs w:val="21"/>
                    </w:rPr>
                    <w:t>名称)/污染源</w:t>
                  </w:r>
                </w:p>
              </w:tc>
              <w:tc>
                <w:tcPr>
                  <w:tcW w:w="1125" w:type="dxa"/>
                  <w:noWrap w:val="0"/>
                  <w:vAlign w:val="center"/>
                </w:tcPr>
                <w:p>
                  <w:pPr>
                    <w:jc w:val="center"/>
                    <w:rPr>
                      <w:b/>
                      <w:bCs/>
                      <w:szCs w:val="21"/>
                    </w:rPr>
                  </w:pPr>
                  <w:r>
                    <w:rPr>
                      <w:b/>
                      <w:bCs/>
                      <w:szCs w:val="21"/>
                    </w:rPr>
                    <w:t>污染物项目</w:t>
                  </w:r>
                </w:p>
              </w:tc>
              <w:tc>
                <w:tcPr>
                  <w:tcW w:w="2335" w:type="dxa"/>
                  <w:noWrap w:val="0"/>
                  <w:vAlign w:val="center"/>
                </w:tcPr>
                <w:p>
                  <w:pPr>
                    <w:jc w:val="center"/>
                    <w:rPr>
                      <w:b/>
                      <w:bCs/>
                      <w:szCs w:val="21"/>
                    </w:rPr>
                  </w:pPr>
                  <w:r>
                    <w:rPr>
                      <w:b/>
                      <w:bCs/>
                      <w:szCs w:val="21"/>
                    </w:rPr>
                    <w:t>环境保护措施</w:t>
                  </w:r>
                </w:p>
              </w:tc>
              <w:tc>
                <w:tcPr>
                  <w:tcW w:w="2272" w:type="dxa"/>
                  <w:noWrap w:val="0"/>
                  <w:vAlign w:val="center"/>
                </w:tcPr>
                <w:p>
                  <w:pPr>
                    <w:jc w:val="center"/>
                    <w:rPr>
                      <w:b/>
                      <w:bCs/>
                      <w:szCs w:val="21"/>
                    </w:rPr>
                  </w:pPr>
                  <w:r>
                    <w:rPr>
                      <w:b/>
                      <w:bCs/>
                      <w:szCs w:val="21"/>
                    </w:rPr>
                    <w:t>执行标准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1318" w:type="dxa"/>
                  <w:noWrap w:val="0"/>
                  <w:vAlign w:val="center"/>
                </w:tcPr>
                <w:p>
                  <w:pPr>
                    <w:jc w:val="center"/>
                    <w:rPr>
                      <w:b/>
                      <w:bCs/>
                      <w:szCs w:val="21"/>
                    </w:rPr>
                  </w:pPr>
                  <w:r>
                    <w:rPr>
                      <w:b/>
                      <w:bCs/>
                      <w:szCs w:val="21"/>
                    </w:rPr>
                    <w:t>大气环境</w:t>
                  </w:r>
                </w:p>
              </w:tc>
              <w:tc>
                <w:tcPr>
                  <w:tcW w:w="1750" w:type="dxa"/>
                  <w:noWrap w:val="0"/>
                  <w:vAlign w:val="center"/>
                </w:tcPr>
                <w:p>
                  <w:pPr>
                    <w:jc w:val="center"/>
                    <w:rPr>
                      <w:szCs w:val="21"/>
                    </w:rPr>
                  </w:pPr>
                  <w:r>
                    <w:t>DA001</w:t>
                  </w:r>
                  <w:r>
                    <w:rPr>
                      <w:rFonts w:hint="eastAsia"/>
                    </w:rPr>
                    <w:t>排气筒/热风炉</w:t>
                  </w:r>
                </w:p>
              </w:tc>
              <w:tc>
                <w:tcPr>
                  <w:tcW w:w="1125" w:type="dxa"/>
                  <w:noWrap w:val="0"/>
                  <w:vAlign w:val="center"/>
                </w:tcPr>
                <w:p>
                  <w:pPr>
                    <w:jc w:val="center"/>
                    <w:rPr>
                      <w:szCs w:val="21"/>
                    </w:rPr>
                  </w:pPr>
                  <w:r>
                    <w:rPr>
                      <w:rFonts w:hint="eastAsia"/>
                      <w:szCs w:val="21"/>
                    </w:rPr>
                    <w:t>烟尘、N</w:t>
                  </w:r>
                  <w:r>
                    <w:rPr>
                      <w:szCs w:val="21"/>
                    </w:rPr>
                    <w:t>O</w:t>
                  </w:r>
                  <w:r>
                    <w:rPr>
                      <w:rFonts w:hint="eastAsia"/>
                      <w:szCs w:val="21"/>
                      <w:vertAlign w:val="subscript"/>
                    </w:rPr>
                    <w:t>x</w:t>
                  </w:r>
                  <w:r>
                    <w:rPr>
                      <w:rFonts w:hint="eastAsia"/>
                      <w:szCs w:val="21"/>
                    </w:rPr>
                    <w:t>、S</w:t>
                  </w:r>
                  <w:r>
                    <w:rPr>
                      <w:szCs w:val="21"/>
                    </w:rPr>
                    <w:t>O</w:t>
                  </w:r>
                  <w:r>
                    <w:rPr>
                      <w:szCs w:val="21"/>
                      <w:vertAlign w:val="subscript"/>
                    </w:rPr>
                    <w:t>2</w:t>
                  </w:r>
                </w:p>
              </w:tc>
              <w:tc>
                <w:tcPr>
                  <w:tcW w:w="2335" w:type="dxa"/>
                  <w:tcBorders>
                    <w:bottom w:val="single" w:color="auto" w:sz="4" w:space="0"/>
                  </w:tcBorders>
                  <w:noWrap w:val="0"/>
                  <w:vAlign w:val="center"/>
                </w:tcPr>
                <w:p>
                  <w:pPr>
                    <w:rPr>
                      <w:szCs w:val="21"/>
                    </w:rPr>
                  </w:pPr>
                  <w:r>
                    <w:rPr>
                      <w:rFonts w:hint="eastAsia"/>
                      <w:szCs w:val="21"/>
                    </w:rPr>
                    <w:t>项目热风炉废气采用“水膜除尘”装置处理，其处理风量为</w:t>
                  </w:r>
                  <w:r>
                    <w:rPr>
                      <w:szCs w:val="21"/>
                    </w:rPr>
                    <w:t>2500</w:t>
                  </w:r>
                  <w:r>
                    <w:rPr>
                      <w:rFonts w:hint="eastAsia"/>
                      <w:szCs w:val="21"/>
                    </w:rPr>
                    <w:t>m</w:t>
                  </w:r>
                  <w:r>
                    <w:rPr>
                      <w:szCs w:val="21"/>
                      <w:vertAlign w:val="superscript"/>
                    </w:rPr>
                    <w:t>3</w:t>
                  </w:r>
                  <w:r>
                    <w:rPr>
                      <w:szCs w:val="21"/>
                    </w:rPr>
                    <w:t>/</w:t>
                  </w:r>
                  <w:r>
                    <w:rPr>
                      <w:rFonts w:hint="eastAsia"/>
                      <w:szCs w:val="21"/>
                    </w:rPr>
                    <w:t>h，除尘效率≥</w:t>
                  </w:r>
                  <w:r>
                    <w:rPr>
                      <w:szCs w:val="21"/>
                    </w:rPr>
                    <w:t>85</w:t>
                  </w:r>
                  <w:r>
                    <w:rPr>
                      <w:rFonts w:hint="eastAsia"/>
                      <w:szCs w:val="21"/>
                    </w:rPr>
                    <w:t>%，脱硫效率≥4</w:t>
                  </w:r>
                  <w:r>
                    <w:rPr>
                      <w:szCs w:val="21"/>
                    </w:rPr>
                    <w:t>5</w:t>
                  </w:r>
                  <w:r>
                    <w:rPr>
                      <w:rFonts w:hint="eastAsia"/>
                      <w:szCs w:val="21"/>
                    </w:rPr>
                    <w:t>%，处理后的废气经1</w:t>
                  </w:r>
                  <w:r>
                    <w:rPr>
                      <w:szCs w:val="21"/>
                    </w:rPr>
                    <w:t>5</w:t>
                  </w:r>
                  <w:r>
                    <w:rPr>
                      <w:rFonts w:hint="eastAsia"/>
                      <w:szCs w:val="21"/>
                    </w:rPr>
                    <w:t>m高排气筒排放</w:t>
                  </w:r>
                </w:p>
              </w:tc>
              <w:tc>
                <w:tcPr>
                  <w:tcW w:w="2272" w:type="dxa"/>
                  <w:tcBorders>
                    <w:bottom w:val="single" w:color="auto" w:sz="4" w:space="0"/>
                  </w:tcBorders>
                  <w:noWrap w:val="0"/>
                  <w:vAlign w:val="center"/>
                </w:tcPr>
                <w:p>
                  <w:pPr>
                    <w:rPr>
                      <w:szCs w:val="21"/>
                    </w:rPr>
                  </w:pPr>
                  <w:r>
                    <w:rPr>
                      <w:rFonts w:hint="eastAsia"/>
                      <w:snapToGrid w:val="0"/>
                      <w:kern w:val="0"/>
                      <w:szCs w:val="21"/>
                    </w:rPr>
                    <w:t>粉尘、S</w:t>
                  </w:r>
                  <w:r>
                    <w:rPr>
                      <w:snapToGrid w:val="0"/>
                      <w:kern w:val="0"/>
                      <w:szCs w:val="21"/>
                    </w:rPr>
                    <w:t>O</w:t>
                  </w:r>
                  <w:r>
                    <w:rPr>
                      <w:snapToGrid w:val="0"/>
                      <w:kern w:val="0"/>
                      <w:szCs w:val="21"/>
                      <w:vertAlign w:val="subscript"/>
                    </w:rPr>
                    <w:t>2</w:t>
                  </w:r>
                  <w:r>
                    <w:rPr>
                      <w:rFonts w:hint="eastAsia"/>
                      <w:snapToGrid w:val="0"/>
                      <w:kern w:val="0"/>
                      <w:szCs w:val="21"/>
                    </w:rPr>
                    <w:t>排放满足《工业炉窑大气污染物排放标准》（GB9078-1996）中表2标准（粉尘≤2</w:t>
                  </w:r>
                  <w:r>
                    <w:rPr>
                      <w:snapToGrid w:val="0"/>
                      <w:kern w:val="0"/>
                      <w:szCs w:val="21"/>
                    </w:rPr>
                    <w:t>00mg/m</w:t>
                  </w:r>
                  <w:r>
                    <w:rPr>
                      <w:snapToGrid w:val="0"/>
                      <w:kern w:val="0"/>
                      <w:szCs w:val="21"/>
                      <w:vertAlign w:val="superscript"/>
                    </w:rPr>
                    <w:t>3</w:t>
                  </w:r>
                  <w:r>
                    <w:rPr>
                      <w:rFonts w:hint="eastAsia"/>
                      <w:snapToGrid w:val="0"/>
                      <w:kern w:val="0"/>
                      <w:szCs w:val="21"/>
                    </w:rPr>
                    <w:t>、S</w:t>
                  </w:r>
                  <w:r>
                    <w:rPr>
                      <w:snapToGrid w:val="0"/>
                      <w:kern w:val="0"/>
                      <w:szCs w:val="21"/>
                    </w:rPr>
                    <w:t>O</w:t>
                  </w:r>
                  <w:r>
                    <w:rPr>
                      <w:snapToGrid w:val="0"/>
                      <w:kern w:val="0"/>
                      <w:szCs w:val="21"/>
                      <w:vertAlign w:val="subscript"/>
                    </w:rPr>
                    <w:t>2</w:t>
                  </w:r>
                  <w:r>
                    <w:rPr>
                      <w:rFonts w:hint="eastAsia"/>
                      <w:snapToGrid w:val="0"/>
                      <w:kern w:val="0"/>
                      <w:szCs w:val="21"/>
                    </w:rPr>
                    <w:t>≤8</w:t>
                  </w:r>
                  <w:r>
                    <w:rPr>
                      <w:snapToGrid w:val="0"/>
                      <w:kern w:val="0"/>
                      <w:szCs w:val="21"/>
                    </w:rPr>
                    <w:t>50</w:t>
                  </w:r>
                  <w:r>
                    <w:rPr>
                      <w:rFonts w:hint="eastAsia"/>
                      <w:snapToGrid w:val="0"/>
                      <w:kern w:val="0"/>
                      <w:szCs w:val="21"/>
                    </w:rPr>
                    <w:t>mg</w:t>
                  </w:r>
                  <w:r>
                    <w:rPr>
                      <w:snapToGrid w:val="0"/>
                      <w:kern w:val="0"/>
                      <w:szCs w:val="21"/>
                    </w:rPr>
                    <w:t>/</w:t>
                  </w:r>
                  <w:r>
                    <w:rPr>
                      <w:rFonts w:hint="eastAsia"/>
                      <w:snapToGrid w:val="0"/>
                      <w:kern w:val="0"/>
                      <w:szCs w:val="21"/>
                    </w:rPr>
                    <w:t>m</w:t>
                  </w:r>
                  <w:r>
                    <w:rPr>
                      <w:snapToGrid w:val="0"/>
                      <w:kern w:val="0"/>
                      <w:szCs w:val="21"/>
                      <w:vertAlign w:val="superscript"/>
                    </w:rPr>
                    <w:t>3</w:t>
                  </w:r>
                  <w:r>
                    <w:rPr>
                      <w:rFonts w:hint="eastAsia"/>
                      <w:snapToGrid w:val="0"/>
                      <w:kern w:val="0"/>
                      <w:szCs w:val="21"/>
                    </w:rPr>
                    <w:t>），氮氧化物排放满足</w:t>
                  </w:r>
                  <w:r>
                    <w:rPr>
                      <w:snapToGrid w:val="0"/>
                      <w:kern w:val="0"/>
                      <w:szCs w:val="21"/>
                    </w:rPr>
                    <w:t>《大气污染物综合排放标准》（GB16297-1996）表2标准</w:t>
                  </w:r>
                  <w:r>
                    <w:rPr>
                      <w:bCs/>
                      <w:snapToGrid w:val="0"/>
                      <w:kern w:val="0"/>
                      <w:szCs w:val="21"/>
                    </w:rPr>
                    <w:t>（</w:t>
                  </w:r>
                  <w:r>
                    <w:rPr>
                      <w:rFonts w:hint="eastAsia"/>
                      <w:bCs/>
                      <w:snapToGrid w:val="0"/>
                      <w:kern w:val="0"/>
                      <w:szCs w:val="21"/>
                    </w:rPr>
                    <w:t>N</w:t>
                  </w:r>
                  <w:r>
                    <w:rPr>
                      <w:bCs/>
                      <w:snapToGrid w:val="0"/>
                      <w:kern w:val="0"/>
                      <w:szCs w:val="21"/>
                    </w:rPr>
                    <w:t>O</w:t>
                  </w:r>
                  <w:r>
                    <w:rPr>
                      <w:bCs/>
                      <w:snapToGrid w:val="0"/>
                      <w:kern w:val="0"/>
                      <w:szCs w:val="21"/>
                      <w:vertAlign w:val="subscript"/>
                    </w:rPr>
                    <w:t>x</w:t>
                  </w:r>
                  <w:r>
                    <w:rPr>
                      <w:bCs/>
                      <w:snapToGrid w:val="0"/>
                      <w:kern w:val="0"/>
                      <w:szCs w:val="21"/>
                    </w:rPr>
                    <w:t>≤240mg/m</w:t>
                  </w:r>
                  <w:r>
                    <w:rPr>
                      <w:bCs/>
                      <w:snapToGrid w:val="0"/>
                      <w:kern w:val="0"/>
                      <w:szCs w:val="21"/>
                      <w:vertAlign w:val="superscript"/>
                    </w:rPr>
                    <w:t>3</w:t>
                  </w:r>
                  <w:r>
                    <w:rPr>
                      <w:bCs/>
                      <w:snapToGrid w:val="0"/>
                      <w:kern w:val="0"/>
                      <w:szCs w:val="21"/>
                    </w:rPr>
                    <w:t>）</w:t>
                  </w:r>
                  <w:r>
                    <w:rPr>
                      <w:rFonts w:hint="eastAsia"/>
                      <w:snapToGrid w:val="0"/>
                      <w:kern w:val="0"/>
                      <w:szCs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595" w:hRule="atLeast"/>
                <w:jc w:val="center"/>
              </w:trPr>
              <w:tc>
                <w:tcPr>
                  <w:tcW w:w="1318" w:type="dxa"/>
                  <w:noWrap w:val="0"/>
                  <w:vAlign w:val="center"/>
                </w:tcPr>
                <w:p>
                  <w:pPr>
                    <w:jc w:val="center"/>
                    <w:rPr>
                      <w:b/>
                      <w:bCs/>
                      <w:szCs w:val="21"/>
                    </w:rPr>
                  </w:pPr>
                  <w:r>
                    <w:rPr>
                      <w:b/>
                      <w:bCs/>
                      <w:szCs w:val="21"/>
                    </w:rPr>
                    <w:t>地表水环境</w:t>
                  </w:r>
                </w:p>
              </w:tc>
              <w:tc>
                <w:tcPr>
                  <w:tcW w:w="1750" w:type="dxa"/>
                  <w:noWrap w:val="0"/>
                  <w:vAlign w:val="center"/>
                </w:tcPr>
                <w:p>
                  <w:pPr>
                    <w:jc w:val="center"/>
                    <w:rPr>
                      <w:snapToGrid w:val="0"/>
                      <w:kern w:val="0"/>
                      <w:szCs w:val="21"/>
                    </w:rPr>
                  </w:pPr>
                  <w:r>
                    <w:rPr>
                      <w:rFonts w:hint="eastAsia"/>
                      <w:snapToGrid w:val="0"/>
                      <w:kern w:val="0"/>
                      <w:szCs w:val="21"/>
                    </w:rPr>
                    <w:t>原料清洗</w:t>
                  </w:r>
                  <w:r>
                    <w:rPr>
                      <w:snapToGrid w:val="0"/>
                      <w:kern w:val="0"/>
                      <w:szCs w:val="21"/>
                    </w:rPr>
                    <w:t>废水</w:t>
                  </w:r>
                </w:p>
              </w:tc>
              <w:tc>
                <w:tcPr>
                  <w:tcW w:w="1125" w:type="dxa"/>
                  <w:noWrap w:val="0"/>
                  <w:vAlign w:val="center"/>
                </w:tcPr>
                <w:p>
                  <w:pPr>
                    <w:jc w:val="center"/>
                    <w:rPr>
                      <w:snapToGrid w:val="0"/>
                      <w:kern w:val="0"/>
                      <w:szCs w:val="21"/>
                    </w:rPr>
                  </w:pPr>
                  <w:r>
                    <w:rPr>
                      <w:snapToGrid w:val="0"/>
                      <w:kern w:val="0"/>
                      <w:szCs w:val="21"/>
                    </w:rPr>
                    <w:t>COD、BOD</w:t>
                  </w:r>
                  <w:r>
                    <w:rPr>
                      <w:snapToGrid w:val="0"/>
                      <w:kern w:val="0"/>
                      <w:szCs w:val="21"/>
                      <w:vertAlign w:val="subscript"/>
                    </w:rPr>
                    <w:t>5</w:t>
                  </w:r>
                  <w:r>
                    <w:rPr>
                      <w:snapToGrid w:val="0"/>
                      <w:kern w:val="0"/>
                      <w:szCs w:val="21"/>
                    </w:rPr>
                    <w:t>、SS</w:t>
                  </w:r>
                </w:p>
              </w:tc>
              <w:tc>
                <w:tcPr>
                  <w:tcW w:w="2335" w:type="dxa"/>
                  <w:noWrap w:val="0"/>
                  <w:vAlign w:val="center"/>
                </w:tcPr>
                <w:p>
                  <w:pPr>
                    <w:jc w:val="center"/>
                    <w:rPr>
                      <w:rFonts w:hint="eastAsia"/>
                      <w:szCs w:val="21"/>
                    </w:rPr>
                  </w:pPr>
                  <w:r>
                    <w:rPr>
                      <w:rFonts w:hint="eastAsia"/>
                      <w:szCs w:val="21"/>
                    </w:rPr>
                    <w:t>三级沉淀池（</w:t>
                  </w:r>
                  <w:r>
                    <w:rPr>
                      <w:szCs w:val="21"/>
                    </w:rPr>
                    <w:t>120</w:t>
                  </w:r>
                  <w:r>
                    <w:rPr>
                      <w:rFonts w:hint="eastAsia"/>
                      <w:szCs w:val="21"/>
                    </w:rPr>
                    <w:t>m</w:t>
                  </w:r>
                  <w:r>
                    <w:rPr>
                      <w:szCs w:val="21"/>
                      <w:vertAlign w:val="superscript"/>
                    </w:rPr>
                    <w:t>3</w:t>
                  </w:r>
                  <w:r>
                    <w:rPr>
                      <w:rFonts w:hint="eastAsia"/>
                      <w:szCs w:val="21"/>
                    </w:rPr>
                    <w:t>）</w:t>
                  </w:r>
                  <w:r>
                    <w:rPr>
                      <w:szCs w:val="21"/>
                    </w:rPr>
                    <w:t>处理</w:t>
                  </w:r>
                  <w:r>
                    <w:rPr>
                      <w:rFonts w:hint="eastAsia"/>
                      <w:szCs w:val="21"/>
                    </w:rPr>
                    <w:t>，回用于项目原料一级、二级清洗</w:t>
                  </w:r>
                </w:p>
              </w:tc>
              <w:tc>
                <w:tcPr>
                  <w:tcW w:w="2272" w:type="dxa"/>
                  <w:noWrap w:val="0"/>
                  <w:vAlign w:val="center"/>
                </w:tcPr>
                <w:p>
                  <w:pPr>
                    <w:jc w:val="center"/>
                    <w:rPr>
                      <w:szCs w:val="21"/>
                    </w:rPr>
                  </w:pPr>
                  <w:r>
                    <w:rPr>
                      <w:szCs w:val="21"/>
                    </w:rPr>
                    <w:t>无废水外排</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318" w:type="dxa"/>
                  <w:noWrap w:val="0"/>
                  <w:vAlign w:val="center"/>
                </w:tcPr>
                <w:p>
                  <w:pPr>
                    <w:jc w:val="center"/>
                    <w:rPr>
                      <w:b/>
                      <w:bCs/>
                      <w:szCs w:val="21"/>
                    </w:rPr>
                  </w:pPr>
                  <w:r>
                    <w:rPr>
                      <w:b/>
                      <w:bCs/>
                      <w:szCs w:val="21"/>
                    </w:rPr>
                    <w:t>声环境</w:t>
                  </w:r>
                </w:p>
              </w:tc>
              <w:tc>
                <w:tcPr>
                  <w:tcW w:w="1750" w:type="dxa"/>
                  <w:noWrap w:val="0"/>
                  <w:vAlign w:val="center"/>
                </w:tcPr>
                <w:p>
                  <w:pPr>
                    <w:jc w:val="center"/>
                    <w:rPr>
                      <w:szCs w:val="21"/>
                    </w:rPr>
                  </w:pPr>
                  <w:r>
                    <w:rPr>
                      <w:szCs w:val="21"/>
                    </w:rPr>
                    <w:t>生产设备噪声</w:t>
                  </w:r>
                </w:p>
              </w:tc>
              <w:tc>
                <w:tcPr>
                  <w:tcW w:w="1125" w:type="dxa"/>
                  <w:noWrap w:val="0"/>
                  <w:vAlign w:val="center"/>
                </w:tcPr>
                <w:p>
                  <w:pPr>
                    <w:jc w:val="center"/>
                    <w:rPr>
                      <w:szCs w:val="21"/>
                    </w:rPr>
                  </w:pPr>
                  <w:r>
                    <w:rPr>
                      <w:szCs w:val="21"/>
                    </w:rPr>
                    <w:t>噪声</w:t>
                  </w:r>
                </w:p>
              </w:tc>
              <w:tc>
                <w:tcPr>
                  <w:tcW w:w="2335" w:type="dxa"/>
                  <w:noWrap w:val="0"/>
                  <w:vAlign w:val="center"/>
                </w:tcPr>
                <w:p>
                  <w:pPr>
                    <w:jc w:val="center"/>
                    <w:rPr>
                      <w:szCs w:val="21"/>
                    </w:rPr>
                  </w:pPr>
                  <w:r>
                    <w:rPr>
                      <w:rFonts w:hint="eastAsia"/>
                    </w:rPr>
                    <w:t>安装减震、距离衰减、厂房隔声</w:t>
                  </w:r>
                </w:p>
              </w:tc>
              <w:tc>
                <w:tcPr>
                  <w:tcW w:w="2272" w:type="dxa"/>
                  <w:noWrap w:val="0"/>
                  <w:vAlign w:val="center"/>
                </w:tcPr>
                <w:p>
                  <w:pPr>
                    <w:jc w:val="center"/>
                    <w:rPr>
                      <w:szCs w:val="21"/>
                    </w:rPr>
                  </w:pPr>
                  <w:r>
                    <w:rPr>
                      <w:rFonts w:hint="eastAsia"/>
                    </w:rPr>
                    <w:t>达到《工业企业厂界环境噪声排放标准》（GB12348-2008）2类标准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318" w:type="dxa"/>
                  <w:vMerge w:val="restart"/>
                  <w:noWrap w:val="0"/>
                  <w:vAlign w:val="center"/>
                </w:tcPr>
                <w:p>
                  <w:pPr>
                    <w:jc w:val="center"/>
                    <w:rPr>
                      <w:b/>
                      <w:bCs/>
                      <w:szCs w:val="21"/>
                    </w:rPr>
                  </w:pPr>
                  <w:r>
                    <w:rPr>
                      <w:b/>
                      <w:bCs/>
                      <w:szCs w:val="21"/>
                    </w:rPr>
                    <w:t>电磁辐射</w:t>
                  </w:r>
                </w:p>
              </w:tc>
              <w:tc>
                <w:tcPr>
                  <w:tcW w:w="1750" w:type="dxa"/>
                  <w:noWrap w:val="0"/>
                  <w:vAlign w:val="center"/>
                </w:tcPr>
                <w:p>
                  <w:pPr>
                    <w:jc w:val="center"/>
                    <w:rPr>
                      <w:szCs w:val="21"/>
                    </w:rPr>
                  </w:pPr>
                  <w:r>
                    <w:rPr>
                      <w:szCs w:val="21"/>
                    </w:rPr>
                    <w:t>/</w:t>
                  </w:r>
                </w:p>
              </w:tc>
              <w:tc>
                <w:tcPr>
                  <w:tcW w:w="1125" w:type="dxa"/>
                  <w:noWrap w:val="0"/>
                  <w:vAlign w:val="center"/>
                </w:tcPr>
                <w:p>
                  <w:pPr>
                    <w:jc w:val="center"/>
                    <w:rPr>
                      <w:szCs w:val="21"/>
                    </w:rPr>
                  </w:pPr>
                  <w:r>
                    <w:rPr>
                      <w:szCs w:val="21"/>
                    </w:rPr>
                    <w:t>/</w:t>
                  </w:r>
                </w:p>
              </w:tc>
              <w:tc>
                <w:tcPr>
                  <w:tcW w:w="2335" w:type="dxa"/>
                  <w:noWrap w:val="0"/>
                  <w:vAlign w:val="center"/>
                </w:tcPr>
                <w:p>
                  <w:pPr>
                    <w:jc w:val="center"/>
                    <w:rPr>
                      <w:szCs w:val="21"/>
                    </w:rPr>
                  </w:pPr>
                  <w:r>
                    <w:rPr>
                      <w:szCs w:val="21"/>
                    </w:rPr>
                    <w:t>/</w:t>
                  </w:r>
                </w:p>
              </w:tc>
              <w:tc>
                <w:tcPr>
                  <w:tcW w:w="2272" w:type="dxa"/>
                  <w:noWrap w:val="0"/>
                  <w:vAlign w:val="center"/>
                </w:tcPr>
                <w:p>
                  <w:pPr>
                    <w:jc w:val="center"/>
                    <w:rPr>
                      <w:szCs w:val="21"/>
                    </w:rPr>
                  </w:pPr>
                  <w:r>
                    <w:rPr>
                      <w:szCs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318" w:type="dxa"/>
                  <w:vMerge w:val="continue"/>
                  <w:noWrap w:val="0"/>
                  <w:vAlign w:val="center"/>
                </w:tcPr>
                <w:p>
                  <w:pPr>
                    <w:jc w:val="center"/>
                    <w:rPr>
                      <w:b/>
                      <w:bCs/>
                      <w:szCs w:val="21"/>
                    </w:rPr>
                  </w:pPr>
                </w:p>
              </w:tc>
              <w:tc>
                <w:tcPr>
                  <w:tcW w:w="1750" w:type="dxa"/>
                  <w:noWrap w:val="0"/>
                  <w:vAlign w:val="center"/>
                </w:tcPr>
                <w:p>
                  <w:pPr>
                    <w:jc w:val="center"/>
                    <w:rPr>
                      <w:szCs w:val="21"/>
                    </w:rPr>
                  </w:pPr>
                  <w:r>
                    <w:rPr>
                      <w:szCs w:val="21"/>
                    </w:rPr>
                    <w:t>/</w:t>
                  </w:r>
                </w:p>
              </w:tc>
              <w:tc>
                <w:tcPr>
                  <w:tcW w:w="1125" w:type="dxa"/>
                  <w:noWrap w:val="0"/>
                  <w:vAlign w:val="center"/>
                </w:tcPr>
                <w:p>
                  <w:pPr>
                    <w:jc w:val="center"/>
                    <w:rPr>
                      <w:szCs w:val="21"/>
                    </w:rPr>
                  </w:pPr>
                  <w:r>
                    <w:rPr>
                      <w:szCs w:val="21"/>
                    </w:rPr>
                    <w:t>/</w:t>
                  </w:r>
                </w:p>
              </w:tc>
              <w:tc>
                <w:tcPr>
                  <w:tcW w:w="2335" w:type="dxa"/>
                  <w:noWrap w:val="0"/>
                  <w:vAlign w:val="center"/>
                </w:tcPr>
                <w:p>
                  <w:pPr>
                    <w:jc w:val="center"/>
                    <w:rPr>
                      <w:szCs w:val="21"/>
                    </w:rPr>
                  </w:pPr>
                  <w:r>
                    <w:rPr>
                      <w:szCs w:val="21"/>
                    </w:rPr>
                    <w:t>/</w:t>
                  </w:r>
                </w:p>
              </w:tc>
              <w:tc>
                <w:tcPr>
                  <w:tcW w:w="2272" w:type="dxa"/>
                  <w:noWrap w:val="0"/>
                  <w:vAlign w:val="center"/>
                </w:tcPr>
                <w:p>
                  <w:pPr>
                    <w:jc w:val="center"/>
                    <w:rPr>
                      <w:szCs w:val="21"/>
                    </w:rPr>
                  </w:pPr>
                  <w:r>
                    <w:rPr>
                      <w:szCs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318" w:type="dxa"/>
                  <w:vMerge w:val="continue"/>
                  <w:noWrap w:val="0"/>
                  <w:vAlign w:val="center"/>
                </w:tcPr>
                <w:p>
                  <w:pPr>
                    <w:jc w:val="center"/>
                    <w:rPr>
                      <w:b/>
                      <w:bCs/>
                      <w:szCs w:val="21"/>
                    </w:rPr>
                  </w:pPr>
                </w:p>
              </w:tc>
              <w:tc>
                <w:tcPr>
                  <w:tcW w:w="1750" w:type="dxa"/>
                  <w:noWrap w:val="0"/>
                  <w:vAlign w:val="center"/>
                </w:tcPr>
                <w:p>
                  <w:pPr>
                    <w:jc w:val="center"/>
                    <w:rPr>
                      <w:szCs w:val="21"/>
                    </w:rPr>
                  </w:pPr>
                  <w:r>
                    <w:rPr>
                      <w:szCs w:val="21"/>
                    </w:rPr>
                    <w:t>/</w:t>
                  </w:r>
                </w:p>
              </w:tc>
              <w:tc>
                <w:tcPr>
                  <w:tcW w:w="1125" w:type="dxa"/>
                  <w:noWrap w:val="0"/>
                  <w:vAlign w:val="center"/>
                </w:tcPr>
                <w:p>
                  <w:pPr>
                    <w:jc w:val="center"/>
                    <w:rPr>
                      <w:szCs w:val="21"/>
                    </w:rPr>
                  </w:pPr>
                  <w:r>
                    <w:rPr>
                      <w:szCs w:val="21"/>
                    </w:rPr>
                    <w:t>/</w:t>
                  </w:r>
                </w:p>
              </w:tc>
              <w:tc>
                <w:tcPr>
                  <w:tcW w:w="2335" w:type="dxa"/>
                  <w:noWrap w:val="0"/>
                  <w:vAlign w:val="center"/>
                </w:tcPr>
                <w:p>
                  <w:pPr>
                    <w:jc w:val="center"/>
                    <w:rPr>
                      <w:szCs w:val="21"/>
                    </w:rPr>
                  </w:pPr>
                  <w:r>
                    <w:rPr>
                      <w:szCs w:val="21"/>
                    </w:rPr>
                    <w:t>/</w:t>
                  </w:r>
                </w:p>
              </w:tc>
              <w:tc>
                <w:tcPr>
                  <w:tcW w:w="2272" w:type="dxa"/>
                  <w:noWrap w:val="0"/>
                  <w:vAlign w:val="center"/>
                </w:tcPr>
                <w:p>
                  <w:pPr>
                    <w:jc w:val="center"/>
                    <w:rPr>
                      <w:szCs w:val="21"/>
                    </w:rPr>
                  </w:pPr>
                  <w:r>
                    <w:rPr>
                      <w:szCs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359" w:hRule="atLeast"/>
                <w:jc w:val="center"/>
              </w:trPr>
              <w:tc>
                <w:tcPr>
                  <w:tcW w:w="1318" w:type="dxa"/>
                  <w:noWrap w:val="0"/>
                  <w:vAlign w:val="center"/>
                </w:tcPr>
                <w:p>
                  <w:pPr>
                    <w:jc w:val="center"/>
                    <w:rPr>
                      <w:b/>
                      <w:bCs/>
                      <w:szCs w:val="21"/>
                    </w:rPr>
                  </w:pPr>
                  <w:r>
                    <w:rPr>
                      <w:b/>
                      <w:bCs/>
                      <w:szCs w:val="21"/>
                    </w:rPr>
                    <w:t>固体废物</w:t>
                  </w:r>
                </w:p>
              </w:tc>
              <w:tc>
                <w:tcPr>
                  <w:tcW w:w="7482" w:type="dxa"/>
                  <w:gridSpan w:val="4"/>
                  <w:noWrap w:val="0"/>
                  <w:vAlign w:val="center"/>
                </w:tcPr>
                <w:p>
                  <w:pPr>
                    <w:pStyle w:val="2"/>
                    <w:adjustRightInd w:val="0"/>
                    <w:snapToGrid w:val="0"/>
                    <w:spacing w:after="0"/>
                    <w:ind w:left="0" w:leftChars="0" w:firstLineChars="200"/>
                    <w:jc w:val="left"/>
                    <w:rPr>
                      <w:rFonts w:hint="eastAsia"/>
                      <w:szCs w:val="21"/>
                    </w:rPr>
                  </w:pPr>
                  <w:r>
                    <w:rPr>
                      <w:szCs w:val="21"/>
                    </w:rPr>
                    <w:t>设置一个封闭式</w:t>
                  </w:r>
                  <w:r>
                    <w:rPr>
                      <w:rFonts w:hint="eastAsia"/>
                      <w:szCs w:val="21"/>
                    </w:rPr>
                    <w:t>固废暂存间</w:t>
                  </w:r>
                  <w:r>
                    <w:rPr>
                      <w:szCs w:val="21"/>
                    </w:rPr>
                    <w:t>，建筑面积100m</w:t>
                  </w:r>
                  <w:r>
                    <w:rPr>
                      <w:szCs w:val="21"/>
                      <w:vertAlign w:val="superscript"/>
                    </w:rPr>
                    <w:t>2</w:t>
                  </w:r>
                  <w:r>
                    <w:rPr>
                      <w:rFonts w:hint="eastAsia"/>
                      <w:szCs w:val="21"/>
                    </w:rPr>
                    <w:t>，沉淀的泥沙定期利用泥浆泵从沉淀池内导入板框压滤机进行脱水处理，脱水后的泥沙则暂存于固废暂存间，每天由周边有需要的农户拉运至自家农田内进行回填利用。人工分选不合格生姜与清洗沉淀脱水后泥沙一起暂存于固废暂存间，每天由周边有需要的农户拉运至自家农田内进行回填；水膜除尘污泥和煤渣一起暂存于固废暂存间内，与脱水后清洗泥沙分类堆存，交由周边有需要的农户作为农田无机肥料使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16" w:hRule="atLeast"/>
                <w:jc w:val="center"/>
              </w:trPr>
              <w:tc>
                <w:tcPr>
                  <w:tcW w:w="1318" w:type="dxa"/>
                  <w:noWrap w:val="0"/>
                  <w:vAlign w:val="center"/>
                </w:tcPr>
                <w:p>
                  <w:pPr>
                    <w:jc w:val="center"/>
                    <w:rPr>
                      <w:b/>
                      <w:bCs/>
                      <w:szCs w:val="21"/>
                    </w:rPr>
                  </w:pPr>
                  <w:r>
                    <w:rPr>
                      <w:b/>
                      <w:bCs/>
                      <w:szCs w:val="21"/>
                    </w:rPr>
                    <w:t>土壤及地下水污染防治措施</w:t>
                  </w:r>
                </w:p>
              </w:tc>
              <w:tc>
                <w:tcPr>
                  <w:tcW w:w="7482" w:type="dxa"/>
                  <w:gridSpan w:val="4"/>
                  <w:noWrap w:val="0"/>
                  <w:vAlign w:val="center"/>
                </w:tcPr>
                <w:p>
                  <w:pPr>
                    <w:ind w:firstLine="420" w:firstLineChars="200"/>
                    <w:jc w:val="left"/>
                    <w:rPr>
                      <w:szCs w:val="21"/>
                    </w:rPr>
                  </w:pPr>
                  <w:r>
                    <w:rPr>
                      <w:szCs w:val="21"/>
                    </w:rPr>
                    <w:t>重点防渗区：</w:t>
                  </w:r>
                  <w:r>
                    <w:rPr>
                      <w:rFonts w:hint="eastAsia"/>
                      <w:szCs w:val="21"/>
                    </w:rPr>
                    <w:t>固废暂存间、化粪池</w:t>
                  </w:r>
                  <w:r>
                    <w:rPr>
                      <w:bCs/>
                      <w:szCs w:val="21"/>
                    </w:rPr>
                    <w:t>，渗透系数≤10</w:t>
                  </w:r>
                  <w:r>
                    <w:rPr>
                      <w:bCs/>
                      <w:szCs w:val="21"/>
                      <w:vertAlign w:val="superscript"/>
                    </w:rPr>
                    <w:t>-10</w:t>
                  </w:r>
                  <w:r>
                    <w:rPr>
                      <w:bCs/>
                      <w:szCs w:val="21"/>
                    </w:rPr>
                    <w:t>cm/s（保存影像资料）</w:t>
                  </w:r>
                  <w:r>
                    <w:rPr>
                      <w:szCs w:val="21"/>
                    </w:rPr>
                    <w:t>；</w:t>
                  </w:r>
                </w:p>
                <w:p>
                  <w:pPr>
                    <w:ind w:firstLine="420" w:firstLineChars="200"/>
                    <w:jc w:val="left"/>
                    <w:rPr>
                      <w:rFonts w:hint="eastAsia"/>
                      <w:szCs w:val="21"/>
                    </w:rPr>
                  </w:pPr>
                  <w:r>
                    <w:rPr>
                      <w:szCs w:val="21"/>
                    </w:rPr>
                    <w:t>简单防渗区：</w:t>
                  </w:r>
                  <w:r>
                    <w:rPr>
                      <w:rFonts w:hint="eastAsia"/>
                      <w:szCs w:val="21"/>
                    </w:rPr>
                    <w:t>生产</w:t>
                  </w:r>
                  <w:r>
                    <w:rPr>
                      <w:szCs w:val="21"/>
                    </w:rPr>
                    <w:t>车间</w:t>
                  </w:r>
                  <w:r>
                    <w:rPr>
                      <w:rFonts w:hint="eastAsia"/>
                      <w:szCs w:val="21"/>
                    </w:rPr>
                    <w:t>及其他区域</w:t>
                  </w:r>
                  <w:r>
                    <w:rPr>
                      <w:szCs w:val="21"/>
                    </w:rPr>
                    <w:t>等</w:t>
                  </w:r>
                  <w:r>
                    <w:rPr>
                      <w:rFonts w:hint="eastAsia"/>
                      <w:szCs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318" w:type="dxa"/>
                  <w:noWrap w:val="0"/>
                  <w:vAlign w:val="center"/>
                </w:tcPr>
                <w:p>
                  <w:pPr>
                    <w:jc w:val="center"/>
                    <w:rPr>
                      <w:b/>
                      <w:bCs/>
                      <w:szCs w:val="21"/>
                    </w:rPr>
                  </w:pPr>
                  <w:r>
                    <w:rPr>
                      <w:b/>
                      <w:bCs/>
                      <w:szCs w:val="21"/>
                    </w:rPr>
                    <w:t>生态保护措施</w:t>
                  </w:r>
                </w:p>
              </w:tc>
              <w:tc>
                <w:tcPr>
                  <w:tcW w:w="7482" w:type="dxa"/>
                  <w:gridSpan w:val="4"/>
                  <w:noWrap w:val="0"/>
                  <w:vAlign w:val="center"/>
                </w:tcPr>
                <w:p>
                  <w:pPr>
                    <w:jc w:val="center"/>
                    <w:rPr>
                      <w:rFonts w:hint="eastAsia"/>
                      <w:szCs w:val="21"/>
                    </w:rPr>
                  </w:pPr>
                  <w:r>
                    <w:rPr>
                      <w:rFonts w:hint="eastAsia"/>
                      <w:szCs w:val="21"/>
                    </w:rPr>
                    <w:t>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25" w:hRule="atLeast"/>
                <w:jc w:val="center"/>
              </w:trPr>
              <w:tc>
                <w:tcPr>
                  <w:tcW w:w="1318" w:type="dxa"/>
                  <w:noWrap w:val="0"/>
                  <w:vAlign w:val="center"/>
                </w:tcPr>
                <w:p>
                  <w:pPr>
                    <w:jc w:val="center"/>
                    <w:rPr>
                      <w:b/>
                      <w:bCs/>
                      <w:spacing w:val="-8"/>
                      <w:szCs w:val="21"/>
                    </w:rPr>
                  </w:pPr>
                  <w:r>
                    <w:rPr>
                      <w:b/>
                      <w:bCs/>
                      <w:spacing w:val="-8"/>
                      <w:szCs w:val="21"/>
                    </w:rPr>
                    <w:t>环境风险</w:t>
                  </w:r>
                </w:p>
                <w:p>
                  <w:pPr>
                    <w:jc w:val="center"/>
                    <w:rPr>
                      <w:b/>
                      <w:bCs/>
                      <w:spacing w:val="-8"/>
                      <w:szCs w:val="21"/>
                    </w:rPr>
                  </w:pPr>
                  <w:r>
                    <w:rPr>
                      <w:b/>
                      <w:bCs/>
                      <w:spacing w:val="-8"/>
                      <w:szCs w:val="21"/>
                    </w:rPr>
                    <w:t>防范措施</w:t>
                  </w:r>
                </w:p>
              </w:tc>
              <w:tc>
                <w:tcPr>
                  <w:tcW w:w="7482" w:type="dxa"/>
                  <w:gridSpan w:val="4"/>
                  <w:noWrap w:val="0"/>
                  <w:vAlign w:val="center"/>
                </w:tcPr>
                <w:p>
                  <w:pPr>
                    <w:pStyle w:val="14"/>
                    <w:rPr>
                      <w:rFonts w:hint="eastAsia"/>
                    </w:rPr>
                  </w:pPr>
                  <w:r>
                    <w:rPr>
                      <w:rFonts w:hint="eastAsia"/>
                    </w:rPr>
                    <w:t>1、</w:t>
                  </w:r>
                  <w:r>
                    <w:t>项目区按照《建筑灭火器配置设计规范》（GB50140-2010）的要求设置消防设施及灭火器材，灭火器材应放在明显、易取的地方，应定期对消防设施及灭火器材进行检查、维护。</w:t>
                  </w:r>
                </w:p>
                <w:p>
                  <w:pPr>
                    <w:jc w:val="left"/>
                    <w:rPr>
                      <w:rFonts w:hint="eastAsia"/>
                      <w:szCs w:val="21"/>
                    </w:rPr>
                  </w:pPr>
                  <w:r>
                    <w:rPr>
                      <w:rFonts w:ascii="宋体" w:hAnsi="宋体" w:cs="宋体"/>
                      <w:snapToGrid w:val="0"/>
                      <w:szCs w:val="21"/>
                    </w:rPr>
                    <w:t>2</w:t>
                  </w:r>
                  <w:r>
                    <w:rPr>
                      <w:rFonts w:hint="eastAsia" w:ascii="宋体" w:hAnsi="宋体" w:cs="宋体"/>
                      <w:snapToGrid w:val="0"/>
                      <w:szCs w:val="21"/>
                    </w:rPr>
                    <w:t>、</w:t>
                  </w:r>
                  <w:r>
                    <w:rPr>
                      <w:rFonts w:ascii="宋体" w:hAnsi="宋体" w:cs="宋体"/>
                      <w:snapToGrid w:val="0"/>
                      <w:szCs w:val="21"/>
                    </w:rPr>
                    <w:t>按规定设置安全警示标志和消防安全标志</w:t>
                  </w:r>
                  <w:r>
                    <w:rPr>
                      <w:szCs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251" w:hRule="atLeast"/>
                <w:jc w:val="center"/>
              </w:trPr>
              <w:tc>
                <w:tcPr>
                  <w:tcW w:w="1318" w:type="dxa"/>
                  <w:noWrap w:val="0"/>
                  <w:vAlign w:val="center"/>
                </w:tcPr>
                <w:p>
                  <w:pPr>
                    <w:jc w:val="center"/>
                    <w:rPr>
                      <w:b/>
                      <w:bCs/>
                      <w:spacing w:val="-8"/>
                      <w:szCs w:val="21"/>
                    </w:rPr>
                  </w:pPr>
                  <w:r>
                    <w:rPr>
                      <w:b/>
                      <w:bCs/>
                      <w:spacing w:val="-8"/>
                      <w:szCs w:val="21"/>
                    </w:rPr>
                    <w:t>其他环境</w:t>
                  </w:r>
                </w:p>
                <w:p>
                  <w:pPr>
                    <w:jc w:val="center"/>
                    <w:rPr>
                      <w:b/>
                      <w:bCs/>
                      <w:spacing w:val="-8"/>
                      <w:szCs w:val="21"/>
                    </w:rPr>
                  </w:pPr>
                  <w:r>
                    <w:rPr>
                      <w:b/>
                      <w:bCs/>
                      <w:spacing w:val="-8"/>
                      <w:szCs w:val="21"/>
                    </w:rPr>
                    <w:t>管理要求</w:t>
                  </w:r>
                </w:p>
              </w:tc>
              <w:tc>
                <w:tcPr>
                  <w:tcW w:w="7482" w:type="dxa"/>
                  <w:gridSpan w:val="4"/>
                  <w:noWrap w:val="0"/>
                  <w:vAlign w:val="center"/>
                </w:tcPr>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w:t>
                  </w:r>
                  <w:r>
                    <w:rPr>
                      <w:rFonts w:ascii="宋体" w:hAnsi="宋体" w:cs="宋体"/>
                      <w:szCs w:val="21"/>
                    </w:rPr>
                    <w:t>1</w:t>
                  </w:r>
                  <w:r>
                    <w:rPr>
                      <w:rFonts w:hint="eastAsia" w:ascii="宋体" w:hAnsi="宋体" w:cs="宋体"/>
                      <w:szCs w:val="21"/>
                    </w:rPr>
                    <w:t>）项目竣工环境保护验收</w:t>
                  </w:r>
                </w:p>
                <w:p>
                  <w:pPr>
                    <w:adjustRightInd w:val="0"/>
                    <w:snapToGrid w:val="0"/>
                    <w:spacing w:line="360" w:lineRule="auto"/>
                    <w:ind w:firstLine="420" w:firstLineChars="200"/>
                    <w:jc w:val="left"/>
                    <w:rPr>
                      <w:rFonts w:ascii="宋体" w:hAnsi="宋体" w:cs="宋体"/>
                      <w:szCs w:val="21"/>
                    </w:rPr>
                  </w:pPr>
                  <w:r>
                    <w:rPr>
                      <w:rFonts w:ascii="宋体" w:hAnsi="宋体" w:cs="宋体"/>
                      <w:szCs w:val="21"/>
                    </w:rPr>
                    <w:t>根据《建设项目环境保护管理条例》（国务院第682号令）、《建设项目竣工环境保护验收暂行办法》（国环规环评</w:t>
                  </w:r>
                  <w:r>
                    <w:rPr>
                      <w:rFonts w:hint="eastAsia" w:ascii="宋体" w:hAnsi="宋体" w:cs="宋体"/>
                      <w:szCs w:val="21"/>
                    </w:rPr>
                    <w:t>〔2</w:t>
                  </w:r>
                  <w:r>
                    <w:rPr>
                      <w:rFonts w:ascii="宋体" w:hAnsi="宋体" w:cs="宋体"/>
                      <w:szCs w:val="21"/>
                    </w:rPr>
                    <w:t>017</w:t>
                  </w:r>
                  <w:r>
                    <w:rPr>
                      <w:rFonts w:hint="eastAsia" w:ascii="宋体" w:hAnsi="宋体" w:cs="宋体"/>
                      <w:szCs w:val="21"/>
                    </w:rPr>
                    <w:t>〕</w:t>
                  </w:r>
                  <w:r>
                    <w:rPr>
                      <w:rFonts w:ascii="宋体" w:hAnsi="宋体" w:cs="宋体"/>
                      <w:szCs w:val="21"/>
                    </w:rPr>
                    <w:t>4号）的相关要求：项目建成后，应进行竣工环境保护验收，建设项目在试生产期间，建设单位应当依据环评文件及其审批意见，委托第三方机构或自行编制建设项目环境保护设施竣工验收</w:t>
                  </w:r>
                  <w:r>
                    <w:rPr>
                      <w:rFonts w:hint="eastAsia" w:ascii="宋体" w:hAnsi="宋体" w:cs="宋体"/>
                      <w:szCs w:val="21"/>
                    </w:rPr>
                    <w:t>监测</w:t>
                  </w:r>
                  <w:r>
                    <w:rPr>
                      <w:rFonts w:ascii="宋体" w:hAnsi="宋体" w:cs="宋体"/>
                      <w:szCs w:val="21"/>
                    </w:rPr>
                    <w:t>报告，</w:t>
                  </w:r>
                  <w:r>
                    <w:rPr>
                      <w:rFonts w:hint="eastAsia" w:ascii="宋体" w:hAnsi="宋体" w:cs="宋体"/>
                      <w:szCs w:val="21"/>
                    </w:rPr>
                    <w:t>企业自行组织验收，</w:t>
                  </w:r>
                  <w:r>
                    <w:rPr>
                      <w:rFonts w:ascii="宋体" w:hAnsi="宋体" w:cs="宋体"/>
                      <w:szCs w:val="21"/>
                    </w:rPr>
                    <w:t>向社会公开并向环保部门备案。</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建设项目需要配套建设的环境保护设施，必须与主体工程同时设计、同时施工、同步投产使用。建设单位应按照环境保护行政主管部门规定的标准和程序，对配套建设的环境保护设施进行验收，编制验收监测报告。除按照国家规定需要保密的情形外，建设单位应当依法向社会公开验收报告。建设项目配套建设的环境保护设施经验收合格，方可投入生产或者使用；未经验收或者验收不合格的，不得投入生产或者使用</w:t>
                  </w:r>
                  <w:r>
                    <w:rPr>
                      <w:rFonts w:ascii="宋体" w:hAnsi="宋体" w:cs="宋体"/>
                      <w:szCs w:val="21"/>
                    </w:rPr>
                    <w:t>。</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w:t>
                  </w:r>
                  <w:r>
                    <w:rPr>
                      <w:rFonts w:ascii="宋体" w:hAnsi="宋体" w:cs="宋体"/>
                      <w:szCs w:val="21"/>
                    </w:rPr>
                    <w:t>2</w:t>
                  </w:r>
                  <w:r>
                    <w:rPr>
                      <w:rFonts w:hint="eastAsia" w:ascii="宋体" w:hAnsi="宋体" w:cs="宋体"/>
                      <w:szCs w:val="21"/>
                    </w:rPr>
                    <w:t>）排污许可</w:t>
                  </w:r>
                </w:p>
                <w:p>
                  <w:pPr>
                    <w:adjustRightInd w:val="0"/>
                    <w:snapToGrid w:val="0"/>
                    <w:spacing w:line="360" w:lineRule="auto"/>
                    <w:ind w:firstLine="420" w:firstLineChars="200"/>
                    <w:rPr>
                      <w:szCs w:val="21"/>
                    </w:rPr>
                  </w:pPr>
                  <w:r>
                    <w:rPr>
                      <w:szCs w:val="21"/>
                    </w:rPr>
                    <w:t>根据《关于做好环境影响评价制度与排污许可制衔接相关工作的通知》（环办环评〔2017〕84号），建设项目发生实际排污行为之前，排污单位应当按照国家环境保护相关法律法规以及排污许可证申请与核发技术规范要求申请排污许可证，不得无证排污或不按证排污。</w:t>
                  </w:r>
                </w:p>
                <w:p>
                  <w:pPr>
                    <w:spacing w:line="380" w:lineRule="exact"/>
                    <w:ind w:firstLine="420" w:firstLineChars="200"/>
                    <w:rPr>
                      <w:b/>
                      <w:bCs/>
                      <w:szCs w:val="21"/>
                    </w:rPr>
                  </w:pPr>
                  <w:r>
                    <w:rPr>
                      <w:szCs w:val="21"/>
                    </w:rPr>
                    <w:t>根据《固定污染源排污许可分类管理名录（2019年版）》，本项目</w:t>
                  </w:r>
                  <w:r>
                    <w:rPr>
                      <w:rFonts w:hint="eastAsia"/>
                      <w:szCs w:val="21"/>
                    </w:rPr>
                    <w:t>干姜片生产属于登记管理项目，但是配置的热风炉属于“</w:t>
                  </w:r>
                  <w:r>
                    <w:rPr>
                      <w:rFonts w:hint="eastAsia"/>
                      <w:b/>
                      <w:bCs/>
                      <w:szCs w:val="21"/>
                    </w:rPr>
                    <w:t>五十一、通用工序——燃煤工业炉窑</w:t>
                  </w:r>
                  <w:r>
                    <w:rPr>
                      <w:rFonts w:hint="eastAsia"/>
                      <w:szCs w:val="21"/>
                    </w:rPr>
                    <w:t>”，</w:t>
                  </w:r>
                  <w:r>
                    <w:rPr>
                      <w:b/>
                      <w:bCs/>
                      <w:szCs w:val="21"/>
                    </w:rPr>
                    <w:t>项目属于</w:t>
                  </w:r>
                  <w:r>
                    <w:rPr>
                      <w:rFonts w:hint="eastAsia"/>
                      <w:b/>
                      <w:bCs/>
                      <w:szCs w:val="21"/>
                    </w:rPr>
                    <w:t>简化</w:t>
                  </w:r>
                  <w:r>
                    <w:rPr>
                      <w:b/>
                      <w:bCs/>
                      <w:szCs w:val="21"/>
                    </w:rPr>
                    <w:t>管理的项目</w:t>
                  </w:r>
                  <w:r>
                    <w:rPr>
                      <w:rFonts w:hint="eastAsia"/>
                      <w:b/>
                      <w:bCs/>
                      <w:szCs w:val="21"/>
                    </w:rPr>
                    <w:t>，</w:t>
                  </w:r>
                  <w:r>
                    <w:rPr>
                      <w:b/>
                      <w:bCs/>
                      <w:szCs w:val="21"/>
                    </w:rPr>
                    <w:t>应当申请排污许可证。</w:t>
                  </w:r>
                </w:p>
                <w:p>
                  <w:pPr>
                    <w:adjustRightInd w:val="0"/>
                    <w:snapToGrid w:val="0"/>
                    <w:spacing w:line="380" w:lineRule="exact"/>
                    <w:ind w:firstLine="420" w:firstLineChars="200"/>
                    <w:rPr>
                      <w:szCs w:val="21"/>
                    </w:rPr>
                  </w:pPr>
                  <w:bookmarkStart w:id="0" w:name="_Toc1504071"/>
                  <w:r>
                    <w:rPr>
                      <w:rFonts w:hint="eastAsia"/>
                      <w:szCs w:val="21"/>
                    </w:rPr>
                    <w:t>①排污许可证申请流程</w:t>
                  </w:r>
                  <w:bookmarkEnd w:id="0"/>
                </w:p>
                <w:p>
                  <w:pPr>
                    <w:adjustRightInd w:val="0"/>
                    <w:snapToGrid w:val="0"/>
                    <w:spacing w:line="380" w:lineRule="exact"/>
                    <w:ind w:firstLine="420" w:firstLineChars="200"/>
                    <w:rPr>
                      <w:szCs w:val="21"/>
                    </w:rPr>
                  </w:pPr>
                  <w:r>
                    <w:rPr>
                      <w:szCs w:val="21"/>
                    </w:rPr>
                    <w:t>排污单位应当在国家排污许可证管理信息平台上填报并提交排污许可证申请，同时向有核发权限的环境保护主管部门提交通过平台印制的书面申请材料。排污单位对申请材料的真实性、合法性、完整性负法律责任。申请材料应当包括：</w:t>
                  </w:r>
                </w:p>
                <w:p>
                  <w:pPr>
                    <w:adjustRightInd w:val="0"/>
                    <w:snapToGrid w:val="0"/>
                    <w:spacing w:line="380" w:lineRule="exact"/>
                    <w:ind w:firstLine="420" w:firstLineChars="200"/>
                    <w:rPr>
                      <w:szCs w:val="21"/>
                    </w:rPr>
                  </w:pPr>
                  <w:r>
                    <w:rPr>
                      <w:szCs w:val="21"/>
                    </w:rPr>
                    <w:t>（一）排污许可证申请表，主要内容包括：排污单位基本信息，主要装置，废水等产排污环节和污染防治设施，申请的排污口位置和数量、排放方式、排放去向、排放污染物种类、排放浓度和排放量、执行的排放标准。</w:t>
                  </w:r>
                </w:p>
                <w:p>
                  <w:pPr>
                    <w:adjustRightInd w:val="0"/>
                    <w:snapToGrid w:val="0"/>
                    <w:spacing w:line="380" w:lineRule="exact"/>
                    <w:ind w:firstLine="420" w:firstLineChars="200"/>
                    <w:rPr>
                      <w:szCs w:val="21"/>
                    </w:rPr>
                  </w:pPr>
                  <w:r>
                    <w:rPr>
                      <w:szCs w:val="21"/>
                    </w:rPr>
                    <w:t>（二）有排污单位法定代表人或者实际负责人签字或盖章的承诺书。主要承诺内容包括：对申请材料真实性、合法性、完整性负法律责任；按排污许可证的要求控制污染物排放；按照相关标准规范开展自行监测、台账记录；按时提交执行报告并及时公开相关信息等。</w:t>
                  </w:r>
                </w:p>
                <w:p>
                  <w:pPr>
                    <w:adjustRightInd w:val="0"/>
                    <w:snapToGrid w:val="0"/>
                    <w:spacing w:line="380" w:lineRule="exact"/>
                    <w:ind w:firstLine="420" w:firstLineChars="200"/>
                    <w:rPr>
                      <w:szCs w:val="21"/>
                    </w:rPr>
                  </w:pPr>
                  <w:r>
                    <w:rPr>
                      <w:szCs w:val="21"/>
                    </w:rPr>
                    <w:t>（三）排污单位按照有关要求进行排污口和监测孔规范化设置的情况说明。</w:t>
                  </w:r>
                </w:p>
                <w:p>
                  <w:pPr>
                    <w:adjustRightInd w:val="0"/>
                    <w:snapToGrid w:val="0"/>
                    <w:spacing w:line="380" w:lineRule="exact"/>
                    <w:ind w:firstLine="420" w:firstLineChars="200"/>
                    <w:rPr>
                      <w:szCs w:val="21"/>
                    </w:rPr>
                  </w:pPr>
                  <w:r>
                    <w:rPr>
                      <w:szCs w:val="21"/>
                    </w:rPr>
                    <w:t>（四）建设项目环境影响评价批复文号，或按照《国务院办公厅关于加强环境监管执法的通知》（国办发</w:t>
                  </w:r>
                  <w:r>
                    <w:rPr>
                      <w:rFonts w:hint="eastAsia"/>
                      <w:szCs w:val="21"/>
                    </w:rPr>
                    <w:t>〔2</w:t>
                  </w:r>
                  <w:r>
                    <w:rPr>
                      <w:szCs w:val="21"/>
                    </w:rPr>
                    <w:t>014</w:t>
                  </w:r>
                  <w:r>
                    <w:rPr>
                      <w:rFonts w:hint="eastAsia"/>
                      <w:szCs w:val="21"/>
                    </w:rPr>
                    <w:t>〕</w:t>
                  </w:r>
                  <w:r>
                    <w:rPr>
                      <w:szCs w:val="21"/>
                    </w:rPr>
                    <w:t>56号）要求，经地方政府依法处理、整顿规范并符合要求的相关证明材料。</w:t>
                  </w:r>
                </w:p>
                <w:p>
                  <w:pPr>
                    <w:adjustRightInd w:val="0"/>
                    <w:snapToGrid w:val="0"/>
                    <w:spacing w:line="380" w:lineRule="exact"/>
                    <w:ind w:firstLine="420" w:firstLineChars="200"/>
                    <w:rPr>
                      <w:szCs w:val="21"/>
                    </w:rPr>
                  </w:pPr>
                  <w:r>
                    <w:rPr>
                      <w:szCs w:val="21"/>
                    </w:rPr>
                    <w:t>（</w:t>
                  </w:r>
                  <w:r>
                    <w:rPr>
                      <w:rFonts w:hint="eastAsia"/>
                      <w:szCs w:val="21"/>
                    </w:rPr>
                    <w:t>五</w:t>
                  </w:r>
                  <w:r>
                    <w:rPr>
                      <w:szCs w:val="21"/>
                    </w:rPr>
                    <w:t>）法律法规规定的其他材料。</w:t>
                  </w:r>
                </w:p>
                <w:p>
                  <w:pPr>
                    <w:adjustRightInd w:val="0"/>
                    <w:snapToGrid w:val="0"/>
                    <w:spacing w:line="380" w:lineRule="exact"/>
                    <w:ind w:firstLine="420" w:firstLineChars="200"/>
                    <w:rPr>
                      <w:szCs w:val="21"/>
                    </w:rPr>
                  </w:pPr>
                  <w:bookmarkStart w:id="1" w:name="_Toc1504072"/>
                  <w:r>
                    <w:rPr>
                      <w:rFonts w:hint="eastAsia"/>
                      <w:szCs w:val="21"/>
                    </w:rPr>
                    <w:t>②排污许可证管理</w:t>
                  </w:r>
                  <w:bookmarkEnd w:id="1"/>
                </w:p>
                <w:p>
                  <w:pPr>
                    <w:adjustRightInd w:val="0"/>
                    <w:snapToGrid w:val="0"/>
                    <w:spacing w:line="360" w:lineRule="auto"/>
                    <w:ind w:firstLine="420" w:firstLineChars="200"/>
                    <w:jc w:val="left"/>
                    <w:rPr>
                      <w:rFonts w:ascii="宋体" w:hAnsi="宋体" w:cs="宋体"/>
                      <w:szCs w:val="21"/>
                    </w:rPr>
                  </w:pPr>
                  <w:r>
                    <w:rPr>
                      <w:szCs w:val="21"/>
                    </w:rPr>
                    <w:t>申请排污许可证后，排污单位应按照自行监测方案开展自行监测；按照排污许可证中环境管理台账记录要求记录相关内容，记录频次形式等；按照排污许可证中执行报告要求定期上报等；按照排污许可证要求定期开展信息公开；排污单位应满足特殊时段污染防治要求</w:t>
                  </w:r>
                  <w:r>
                    <w:rPr>
                      <w:rFonts w:hint="eastAsia" w:ascii="宋体" w:hAnsi="宋体" w:cs="宋体"/>
                      <w:szCs w:val="21"/>
                    </w:rPr>
                    <w:t>。</w:t>
                  </w:r>
                </w:p>
                <w:p>
                  <w:pPr>
                    <w:pStyle w:val="15"/>
                    <w:ind w:firstLine="420"/>
                  </w:pPr>
                </w:p>
                <w:p>
                  <w:pPr>
                    <w:pStyle w:val="15"/>
                    <w:ind w:firstLine="420"/>
                  </w:pPr>
                </w:p>
                <w:p>
                  <w:pPr>
                    <w:pStyle w:val="15"/>
                    <w:ind w:firstLine="420"/>
                  </w:pPr>
                </w:p>
                <w:p>
                  <w:pPr>
                    <w:pStyle w:val="15"/>
                    <w:ind w:firstLine="420"/>
                  </w:pPr>
                </w:p>
                <w:p>
                  <w:pPr>
                    <w:pStyle w:val="15"/>
                    <w:ind w:firstLine="420"/>
                  </w:pPr>
                </w:p>
                <w:p>
                  <w:pPr>
                    <w:pStyle w:val="15"/>
                    <w:ind w:firstLine="420"/>
                  </w:pPr>
                </w:p>
                <w:p>
                  <w:pPr>
                    <w:pStyle w:val="15"/>
                    <w:ind w:firstLine="420"/>
                  </w:pPr>
                </w:p>
                <w:p>
                  <w:pPr>
                    <w:pStyle w:val="15"/>
                    <w:ind w:firstLine="420"/>
                  </w:pPr>
                </w:p>
                <w:p>
                  <w:pPr>
                    <w:pStyle w:val="15"/>
                    <w:ind w:firstLine="420"/>
                  </w:pPr>
                </w:p>
                <w:p>
                  <w:pPr>
                    <w:pStyle w:val="15"/>
                    <w:ind w:firstLine="420"/>
                  </w:pPr>
                </w:p>
                <w:p>
                  <w:pPr>
                    <w:pStyle w:val="15"/>
                    <w:ind w:firstLine="420"/>
                  </w:pPr>
                </w:p>
                <w:p>
                  <w:pPr>
                    <w:pStyle w:val="15"/>
                    <w:ind w:firstLine="420"/>
                  </w:pPr>
                </w:p>
                <w:p>
                  <w:pPr>
                    <w:pStyle w:val="15"/>
                    <w:ind w:firstLine="420"/>
                  </w:pPr>
                </w:p>
                <w:p>
                  <w:pPr>
                    <w:pStyle w:val="15"/>
                    <w:ind w:firstLine="420"/>
                  </w:pPr>
                </w:p>
                <w:p>
                  <w:pPr>
                    <w:pStyle w:val="15"/>
                    <w:ind w:firstLine="420"/>
                  </w:pPr>
                </w:p>
                <w:p>
                  <w:pPr>
                    <w:pStyle w:val="15"/>
                    <w:ind w:firstLine="420"/>
                  </w:pPr>
                </w:p>
                <w:p>
                  <w:pPr>
                    <w:pStyle w:val="15"/>
                    <w:ind w:firstLine="420"/>
                  </w:pPr>
                </w:p>
                <w:p>
                  <w:pPr>
                    <w:pStyle w:val="15"/>
                    <w:ind w:firstLine="420"/>
                  </w:pPr>
                </w:p>
                <w:p>
                  <w:pPr>
                    <w:pStyle w:val="15"/>
                    <w:ind w:firstLine="420"/>
                  </w:pPr>
                </w:p>
                <w:p>
                  <w:pPr>
                    <w:pStyle w:val="15"/>
                    <w:ind w:firstLine="0" w:firstLineChars="0"/>
                    <w:rPr>
                      <w:rFonts w:hint="eastAsia"/>
                    </w:rPr>
                  </w:pPr>
                </w:p>
                <w:p>
                  <w:pPr>
                    <w:pStyle w:val="15"/>
                    <w:ind w:firstLine="0" w:firstLineChars="0"/>
                    <w:rPr>
                      <w:rFonts w:hint="eastAsia"/>
                    </w:rPr>
                  </w:pPr>
                </w:p>
              </w:tc>
            </w:tr>
          </w:tbl>
          <w:p>
            <w:pPr>
              <w:pStyle w:val="9"/>
              <w:keepNext w:val="0"/>
              <w:keepLines w:val="0"/>
              <w:pageBreakBefore w:val="0"/>
              <w:widowControl/>
              <w:shd w:val="clear" w:color="auto" w:fill="FFFFFF"/>
              <w:kinsoku/>
              <w:wordWrap/>
              <w:overflowPunct/>
              <w:topLinePunct w:val="0"/>
              <w:autoSpaceDE/>
              <w:autoSpaceDN/>
              <w:bidi w:val="0"/>
              <w:spacing w:line="360" w:lineRule="auto"/>
              <w:textAlignment w:val="auto"/>
              <w:rPr>
                <w:rFonts w:hint="default" w:ascii="方正仿宋_GBK" w:hAnsi="方正仿宋_GBK" w:eastAsia="方正仿宋_GBK" w:cs="方正仿宋_GBK"/>
                <w:color w:val="000000"/>
                <w:kern w:val="2"/>
                <w:sz w:val="24"/>
                <w:szCs w:val="24"/>
                <w:shd w:val="clear" w:color="auto" w:fill="FFFFFF"/>
                <w:lang w:val="en-US" w:eastAsia="zh-CN" w:bidi="ar-SA"/>
              </w:rPr>
            </w:pPr>
            <w:bookmarkStart w:id="2" w:name="_GoBack"/>
            <w:bookmarkEnd w:id="2"/>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仿宋简体">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仿宋_GBK">
    <w:panose1 w:val="03000509000000000000"/>
    <w:charset w:val="86"/>
    <w:family w:val="script"/>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FFED8FB"/>
    <w:multiLevelType w:val="singleLevel"/>
    <w:tmpl w:val="1FFED8FB"/>
    <w:lvl w:ilvl="0" w:tentative="0">
      <w:start w:val="1"/>
      <w:numFmt w:val="bullet"/>
      <w:pStyle w:val="7"/>
      <w:lvlText w:val=""/>
      <w:lvlJc w:val="left"/>
      <w:pPr>
        <w:tabs>
          <w:tab w:val="left" w:pos="2040"/>
        </w:tabs>
        <w:ind w:left="204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800DED"/>
    <w:rsid w:val="01594C9F"/>
    <w:rsid w:val="01A713EB"/>
    <w:rsid w:val="070B73A2"/>
    <w:rsid w:val="080975AA"/>
    <w:rsid w:val="08666437"/>
    <w:rsid w:val="0D75484E"/>
    <w:rsid w:val="0E11792F"/>
    <w:rsid w:val="0E5863A6"/>
    <w:rsid w:val="11484B39"/>
    <w:rsid w:val="12575356"/>
    <w:rsid w:val="176F7B69"/>
    <w:rsid w:val="17D42D69"/>
    <w:rsid w:val="1A7C2743"/>
    <w:rsid w:val="1B1A4E20"/>
    <w:rsid w:val="1C800DED"/>
    <w:rsid w:val="1D827358"/>
    <w:rsid w:val="1DE51BD3"/>
    <w:rsid w:val="222266E7"/>
    <w:rsid w:val="2709369B"/>
    <w:rsid w:val="301D2856"/>
    <w:rsid w:val="326C0058"/>
    <w:rsid w:val="36076C9A"/>
    <w:rsid w:val="3BB93FFE"/>
    <w:rsid w:val="3C8D120B"/>
    <w:rsid w:val="3D81346E"/>
    <w:rsid w:val="3FC52542"/>
    <w:rsid w:val="40835745"/>
    <w:rsid w:val="43B23412"/>
    <w:rsid w:val="4425059F"/>
    <w:rsid w:val="458977C2"/>
    <w:rsid w:val="472B1A05"/>
    <w:rsid w:val="47F825B6"/>
    <w:rsid w:val="48453C88"/>
    <w:rsid w:val="48873DB8"/>
    <w:rsid w:val="4F9E751B"/>
    <w:rsid w:val="4FD72002"/>
    <w:rsid w:val="4FE171BC"/>
    <w:rsid w:val="533073F3"/>
    <w:rsid w:val="54602093"/>
    <w:rsid w:val="56A06146"/>
    <w:rsid w:val="59B35B52"/>
    <w:rsid w:val="59EC129F"/>
    <w:rsid w:val="5C061416"/>
    <w:rsid w:val="5DBB30E2"/>
    <w:rsid w:val="61A6067C"/>
    <w:rsid w:val="65054551"/>
    <w:rsid w:val="672E7FAC"/>
    <w:rsid w:val="67A552B7"/>
    <w:rsid w:val="683B1B4D"/>
    <w:rsid w:val="6C5A2033"/>
    <w:rsid w:val="6C7E3A0C"/>
    <w:rsid w:val="6F64016F"/>
    <w:rsid w:val="71482403"/>
    <w:rsid w:val="72197B59"/>
    <w:rsid w:val="73872CE2"/>
    <w:rsid w:val="762131B3"/>
    <w:rsid w:val="76D3653E"/>
    <w:rsid w:val="76FE1467"/>
    <w:rsid w:val="7D103A42"/>
    <w:rsid w:val="7E1003C2"/>
    <w:rsid w:val="7ECF07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qFormat="1"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5"/>
    <w:qFormat/>
    <w:uiPriority w:val="0"/>
    <w:pPr>
      <w:tabs>
        <w:tab w:val="left" w:pos="8607"/>
      </w:tabs>
      <w:ind w:firstLine="420"/>
    </w:pPr>
  </w:style>
  <w:style w:type="paragraph" w:styleId="3">
    <w:name w:val="Body Text Indent"/>
    <w:basedOn w:val="1"/>
    <w:next w:val="4"/>
    <w:qFormat/>
    <w:uiPriority w:val="0"/>
    <w:pPr>
      <w:tabs>
        <w:tab w:val="left" w:pos="8607"/>
      </w:tabs>
      <w:spacing w:line="400" w:lineRule="exact"/>
      <w:ind w:firstLine="556"/>
    </w:pPr>
    <w:rPr>
      <w:sz w:val="28"/>
    </w:rPr>
  </w:style>
  <w:style w:type="paragraph" w:customStyle="1" w:styleId="4">
    <w:name w:val="样式 正文文本缩进 + 行距: 1.5 倍行距"/>
    <w:basedOn w:val="3"/>
    <w:qFormat/>
    <w:uiPriority w:val="0"/>
    <w:pPr>
      <w:spacing w:line="360" w:lineRule="auto"/>
      <w:ind w:left="0" w:leftChars="0" w:firstLine="560" w:firstLineChars="200"/>
    </w:pPr>
    <w:rPr>
      <w:rFonts w:cs="宋体"/>
      <w:b/>
      <w:bCs/>
      <w:sz w:val="28"/>
      <w:szCs w:val="20"/>
    </w:rPr>
  </w:style>
  <w:style w:type="paragraph" w:styleId="5">
    <w:name w:val="Body Text First Indent"/>
    <w:basedOn w:val="6"/>
    <w:next w:val="1"/>
    <w:qFormat/>
    <w:uiPriority w:val="0"/>
    <w:pPr>
      <w:spacing w:after="120" w:line="240" w:lineRule="auto"/>
      <w:ind w:firstLine="420" w:firstLineChars="100"/>
      <w:jc w:val="both"/>
    </w:pPr>
  </w:style>
  <w:style w:type="paragraph" w:styleId="6">
    <w:name w:val="Body Text"/>
    <w:basedOn w:val="1"/>
    <w:next w:val="7"/>
    <w:qFormat/>
    <w:uiPriority w:val="0"/>
    <w:pPr>
      <w:spacing w:line="460" w:lineRule="exact"/>
      <w:jc w:val="center"/>
    </w:pPr>
    <w:rPr>
      <w:color w:val="000000"/>
      <w:w w:val="90"/>
      <w:sz w:val="24"/>
      <w:szCs w:val="20"/>
    </w:rPr>
  </w:style>
  <w:style w:type="paragraph" w:styleId="7">
    <w:name w:val="List Bullet 5"/>
    <w:basedOn w:val="1"/>
    <w:qFormat/>
    <w:uiPriority w:val="0"/>
    <w:pPr>
      <w:numPr>
        <w:ilvl w:val="0"/>
        <w:numId w:val="1"/>
      </w:numPr>
    </w:pPr>
  </w:style>
  <w:style w:type="paragraph" w:styleId="8">
    <w:name w:val="header"/>
    <w:basedOn w:val="1"/>
    <w:next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9">
    <w:name w:val="Normal (Web)"/>
    <w:basedOn w:val="1"/>
    <w:qFormat/>
    <w:uiPriority w:val="0"/>
    <w:rPr>
      <w:sz w:val="24"/>
    </w:rPr>
  </w:style>
  <w:style w:type="paragraph" w:customStyle="1" w:styleId="12">
    <w:name w:val="XXXXX"/>
    <w:basedOn w:val="1"/>
    <w:qFormat/>
    <w:uiPriority w:val="0"/>
    <w:pPr>
      <w:spacing w:line="440" w:lineRule="exact"/>
      <w:ind w:firstLine="1526" w:firstLineChars="200"/>
    </w:pPr>
    <w:rPr>
      <w:rFonts w:ascii="Times New Roman" w:hAnsi="Times New Roman" w:eastAsia="宋体"/>
      <w:sz w:val="24"/>
    </w:rPr>
  </w:style>
  <w:style w:type="paragraph" w:customStyle="1" w:styleId="13">
    <w:name w:val="Table Paragraph"/>
    <w:basedOn w:val="1"/>
    <w:qFormat/>
    <w:uiPriority w:val="1"/>
    <w:rPr>
      <w:rFonts w:ascii="宋体" w:hAnsi="宋体" w:eastAsia="宋体" w:cs="宋体"/>
    </w:rPr>
  </w:style>
  <w:style w:type="paragraph" w:customStyle="1" w:styleId="14">
    <w:name w:val="表内容"/>
    <w:basedOn w:val="1"/>
    <w:unhideWhenUsed/>
    <w:qFormat/>
    <w:uiPriority w:val="0"/>
    <w:pPr>
      <w:adjustRightInd w:val="0"/>
      <w:snapToGrid w:val="0"/>
    </w:pPr>
    <w:rPr>
      <w:rFonts w:ascii="宋体" w:hAnsi="宋体" w:cs="宋体"/>
      <w:snapToGrid w:val="0"/>
      <w:szCs w:val="21"/>
    </w:rPr>
  </w:style>
  <w:style w:type="paragraph" w:customStyle="1" w:styleId="15">
    <w:name w:val="标准正文"/>
    <w:basedOn w:val="1"/>
    <w:qFormat/>
    <w:uiPriority w:val="0"/>
    <w:pPr>
      <w:spacing w:line="360" w:lineRule="auto"/>
      <w:ind w:firstLine="480" w:firstLineChars="200"/>
    </w:pPr>
    <w:rPr>
      <w:rFonts w:ascii="Times New Roman" w:cs="Times New Roman"/>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Office_11.8.6.10973_F1E327BC-269C-435d-A152-05C5408002CA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2021-04-26T07:22:00Z</dcterms:created>
  <dc:creator>bingo</dc:creator>
  <cp:lastModifiedBy>Administrator</cp:lastModifiedBy>
  <dcterms:modified xsi:type="dcterms:W3CDTF">2022-04-28T07:03:38Z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2052-11.8.6.10973</vt:lpwstr>
  </property>
  <property fmtid="{D5CDD505-2E9C-101B-9397-08002B2CF9AE}" pid="3" name="ICV">
    <vt:lpwstr>53BF014722CC4ECC8C50D5C6B5B84FC8</vt:lpwstr>
  </property>
</Properties>
</file>