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r>
        <w:rPr>
          <w:rFonts w:hint="eastAsia" w:ascii="Times New Roman" w:hAnsi="Times New Roman" w:eastAsia="方正小标宋_GBK" w:cs="Times New Roman"/>
          <w:spacing w:val="-20"/>
          <w:sz w:val="44"/>
          <w:szCs w:val="44"/>
          <w:lang w:eastAsia="zh-CN"/>
        </w:rPr>
        <w:t>那兴高速（西畴段）配套混凝土拌合站第十二分部建设项目环境影响评价</w:t>
      </w:r>
      <w:r>
        <w:rPr>
          <w:rFonts w:hint="eastAsia" w:eastAsia="方正小标宋_GBK" w:cs="Times New Roman"/>
          <w:spacing w:val="-20"/>
          <w:sz w:val="44"/>
          <w:szCs w:val="44"/>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仿宋" w:hAnsi="仿宋" w:eastAsia="仿宋" w:cs="方正仿宋简体"/>
          <w:color w:val="000000"/>
          <w:sz w:val="32"/>
          <w:szCs w:val="32"/>
          <w:shd w:val="clear" w:color="auto" w:fill="FFFFFF"/>
          <w:lang w:eastAsia="zh-CN"/>
        </w:rPr>
        <w:t>我局拟对《那兴高速（西畴段）配套混凝土拌合站第十二分部建设项目环</w:t>
      </w:r>
      <w:r>
        <w:rPr>
          <w:rFonts w:hint="default" w:ascii="仿宋" w:hAnsi="仿宋" w:eastAsia="仿宋" w:cs="方正仿宋简体"/>
          <w:color w:val="000000"/>
          <w:sz w:val="32"/>
          <w:szCs w:val="32"/>
          <w:shd w:val="clear" w:color="auto" w:fill="FFFFFF"/>
          <w:lang w:eastAsia="zh-CN"/>
        </w:rPr>
        <w:t>境影响</w:t>
      </w:r>
      <w:r>
        <w:rPr>
          <w:rFonts w:hint="eastAsia" w:ascii="仿宋" w:hAnsi="仿宋" w:eastAsia="仿宋" w:cs="方正仿宋简体"/>
          <w:color w:val="000000"/>
          <w:sz w:val="32"/>
          <w:szCs w:val="32"/>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公示期：202</w:t>
      </w:r>
      <w:r>
        <w:rPr>
          <w:rFonts w:hint="eastAsia" w:ascii="Times New Roman" w:hAnsi="Times New Roman" w:eastAsia="仿宋" w:cs="Times New Roman"/>
          <w:color w:val="000000"/>
          <w:sz w:val="32"/>
          <w:szCs w:val="32"/>
          <w:shd w:val="clear" w:color="auto" w:fill="FFFFFF"/>
          <w:lang w:val="en-US" w:eastAsia="zh-CN"/>
        </w:rPr>
        <w:t>2</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3</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29</w:t>
      </w:r>
      <w:r>
        <w:rPr>
          <w:rFonts w:hint="default" w:ascii="Times New Roman" w:hAnsi="Times New Roman" w:eastAsia="仿宋" w:cs="Times New Roman"/>
          <w:color w:val="000000"/>
          <w:sz w:val="32"/>
          <w:szCs w:val="32"/>
          <w:shd w:val="clear" w:color="auto" w:fill="FFFFFF"/>
          <w:lang w:eastAsia="zh-CN"/>
        </w:rPr>
        <w:t>日至20</w:t>
      </w:r>
      <w:r>
        <w:rPr>
          <w:rFonts w:hint="eastAsia" w:ascii="Times New Roman" w:hAnsi="Times New Roman" w:eastAsia="仿宋" w:cs="Times New Roman"/>
          <w:color w:val="000000"/>
          <w:sz w:val="32"/>
          <w:szCs w:val="32"/>
          <w:shd w:val="clear" w:color="auto" w:fill="FFFFFF"/>
          <w:lang w:val="en-US" w:eastAsia="zh-CN"/>
        </w:rPr>
        <w:t>22</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4</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2</w:t>
      </w:r>
      <w:r>
        <w:rPr>
          <w:rFonts w:hint="default" w:ascii="Times New Roman" w:hAnsi="Times New Roman" w:eastAsia="仿宋" w:cs="Times New Roman"/>
          <w:color w:val="000000"/>
          <w:sz w:val="32"/>
          <w:szCs w:val="32"/>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22</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3</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29</w:t>
      </w:r>
      <w:r>
        <w:rPr>
          <w:rFonts w:hint="default"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 xml:space="preserve">   </w:t>
      </w:r>
    </w:p>
    <w:p>
      <w:pPr>
        <w:rPr>
          <w:rFonts w:hint="eastAsia"/>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云南省文山州西畴县兴街镇东升村委会长冲村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 xml:space="preserve">重庆迪磊建筑劳务有限公司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河北风然环保科技有限公司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1045"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327" w:type="dxa"/>
            <w:shd w:val="clear" w:color="auto" w:fill="FFFFFF"/>
            <w:tcMar>
              <w:top w:w="0" w:type="dxa"/>
              <w:left w:w="108" w:type="dxa"/>
              <w:bottom w:w="0" w:type="dxa"/>
              <w:right w:w="108" w:type="dxa"/>
            </w:tcMa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color w:val="auto"/>
                <w:sz w:val="24"/>
                <w:highlight w:val="none"/>
                <w:lang w:val="en-US"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项目名称：那兴高速（西畴段）配套混凝土拌合站第十二分部建设项目</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建设性质：新建</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建设地点：西畴县兴街镇东升村委会长冲村</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建设单位：重庆迪磊建筑劳务有限公司</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建设规模：占地面积21353.3m2，项目投产后混凝土年生产量达到15万m3。该项目为临时工程，使用期预计3年，待相关工程结束后，建设单位将按照政府相关部门要求进行搬迁或拆除，不作为永久性设施，由标段工程指挥部委托有资质单位对该建设场地进行还原复垦，复垦后的旱地还给现有承包权的农户。</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lang w:val="en-US" w:eastAsia="zh-CN"/>
              </w:rPr>
            </w:pPr>
            <w:bookmarkStart w:id="0" w:name="_GoBack"/>
            <w:bookmarkEnd w:id="0"/>
            <w:r>
              <w:rPr>
                <w:rFonts w:hint="default" w:ascii="Times New Roman" w:hAnsi="Times New Roman" w:eastAsia="方正仿宋_GBK" w:cs="Times New Roman"/>
                <w:color w:val="000000"/>
                <w:kern w:val="2"/>
                <w:sz w:val="24"/>
                <w:szCs w:val="24"/>
                <w:highlight w:val="none"/>
                <w:shd w:val="clear" w:color="auto" w:fill="FFFFFF"/>
                <w:lang w:val="en-US" w:eastAsia="zh-CN" w:bidi="ar-SA"/>
              </w:rPr>
              <w:t>项目主要建设实验室、调度室、砂石原料库、搅拌车间等，共设置2条120型搅拌生产线，主要生产预拌混凝土，年设计生产能力15万m3。</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由</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主体工程、辅助工程、储运工程、公用工程、环保工程</w:t>
            </w:r>
            <w:r>
              <w:rPr>
                <w:rFonts w:hint="eastAsia" w:ascii="Times New Roman" w:hAnsi="Times New Roman" w:eastAsia="方正仿宋_GBK" w:cs="Times New Roman"/>
                <w:color w:val="000000"/>
                <w:kern w:val="2"/>
                <w:sz w:val="24"/>
                <w:szCs w:val="24"/>
                <w:highlight w:val="none"/>
                <w:shd w:val="clear" w:color="auto" w:fill="FFFFFF"/>
                <w:lang w:val="en-US" w:eastAsia="zh-CN" w:bidi="ar-SA"/>
              </w:rPr>
              <w:t>组成。项目厂区出入口在厂区的南侧，生产区及原料库房位于厂区中部和北侧，厂区东侧布置有油库和地磅房；办公生活区主要布置于东侧，与生产区之间功能分区明确；原料仓位于项目北侧，地面进行硬化处理，拟采用三面+顶彩钢瓦封闭，进出物料口设置为敞开式，并且设置相应的喷淋设施；混凝土生产区位于厂区中部，皮带输送机上方安装彩钢防尘罩，对其进行封闭处理；上料棚位于原料库房和拌合楼之间；生产废水沉淀池、洗车区位于拌合楼南侧。生产设备均布置于拌合楼及筒仓内，通过墙体隔声、减震垫等措施后，噪声对环境影响不大。化粪池设置3个，分别位于项目区搅拌楼东侧，容积5m3，办公室东侧一个，容积5m3，最后一个位于生活区，容积50m3，便于污水收集、处理。项目整个工艺流程产污环节少，污染物排放量少，平面布局合理。</w:t>
            </w:r>
            <w:r>
              <w:rPr>
                <w:rFonts w:hint="default" w:ascii="Times New Roman" w:hAnsi="Times New Roman" w:eastAsia="方正仿宋_GBK" w:cs="Times New Roman"/>
                <w:kern w:val="2"/>
                <w:sz w:val="24"/>
                <w:szCs w:val="24"/>
                <w:highlight w:val="none"/>
                <w:lang w:val="en-US" w:eastAsia="zh-CN" w:bidi="ar-SA"/>
              </w:rPr>
              <w:t>项目不占用生态保护范围，符合“三线一单”的相关要求，项目选址合理可行。项目总投资1450万元，其中环保投资145万元，占总投资的9.59%，</w:t>
            </w:r>
            <w:r>
              <w:rPr>
                <w:rFonts w:hint="eastAsia" w:ascii="Times New Roman" w:hAnsi="Times New Roman" w:eastAsia="方正仿宋_GBK" w:cs="Times New Roman"/>
                <w:kern w:val="2"/>
                <w:sz w:val="24"/>
                <w:szCs w:val="24"/>
                <w:highlight w:val="none"/>
                <w:lang w:val="en-US" w:eastAsia="zh-CN" w:bidi="ar-SA"/>
              </w:rPr>
              <w:t>项目已于20</w:t>
            </w:r>
            <w:r>
              <w:rPr>
                <w:rFonts w:hint="default" w:ascii="Times New Roman" w:hAnsi="Times New Roman" w:eastAsia="方正仿宋_GBK" w:cs="Times New Roman"/>
                <w:kern w:val="2"/>
                <w:sz w:val="24"/>
                <w:szCs w:val="24"/>
                <w:highlight w:val="none"/>
                <w:lang w:val="en-US" w:eastAsia="zh-CN" w:bidi="ar-SA"/>
              </w:rPr>
              <w:t>21</w:t>
            </w:r>
            <w:r>
              <w:rPr>
                <w:rFonts w:hint="eastAsia" w:ascii="Times New Roman" w:hAnsi="Times New Roman" w:eastAsia="方正仿宋_GBK" w:cs="Times New Roman"/>
                <w:kern w:val="2"/>
                <w:sz w:val="24"/>
                <w:szCs w:val="24"/>
                <w:highlight w:val="none"/>
                <w:lang w:val="en-US" w:eastAsia="zh-CN" w:bidi="ar-SA"/>
              </w:rPr>
              <w:t>年</w:t>
            </w:r>
            <w:r>
              <w:rPr>
                <w:rFonts w:hint="default" w:ascii="Times New Roman" w:hAnsi="Times New Roman" w:eastAsia="方正仿宋_GBK" w:cs="Times New Roman"/>
                <w:kern w:val="2"/>
                <w:sz w:val="24"/>
                <w:szCs w:val="24"/>
                <w:highlight w:val="none"/>
                <w:lang w:val="en-US" w:eastAsia="zh-CN" w:bidi="ar-SA"/>
              </w:rPr>
              <w:t>5</w:t>
            </w:r>
            <w:r>
              <w:rPr>
                <w:rFonts w:hint="eastAsia" w:ascii="Times New Roman" w:hAnsi="Times New Roman" w:eastAsia="方正仿宋_GBK" w:cs="Times New Roman"/>
                <w:kern w:val="2"/>
                <w:sz w:val="24"/>
                <w:szCs w:val="24"/>
                <w:highlight w:val="none"/>
                <w:lang w:val="en-US" w:eastAsia="zh-CN" w:bidi="ar-SA"/>
              </w:rPr>
              <w:t>月建成并投入运行，</w:t>
            </w:r>
            <w:r>
              <w:rPr>
                <w:rFonts w:hint="default" w:ascii="Times New Roman" w:hAnsi="Times New Roman" w:eastAsia="方正仿宋_GBK" w:cs="Times New Roman"/>
                <w:kern w:val="2"/>
                <w:sz w:val="24"/>
                <w:szCs w:val="24"/>
                <w:highlight w:val="none"/>
                <w:lang w:val="en-US" w:eastAsia="zh-CN" w:bidi="ar-SA"/>
              </w:rPr>
              <w:t>现依据《文山州生态环境局 文山州交通运输局转发云南省生态环境厅 云南省交通运输厅关于加强高等级公路建设项目施工扬尘污染防治的通知》以及《文山州生态环境局关于全州国省干线养护生产拌合站环评工作的函》相关文件，补办环评手续。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13513" w:hRule="atLeast"/>
        </w:trPr>
        <w:tc>
          <w:tcPr>
            <w:tcW w:w="952" w:type="dxa"/>
            <w:shd w:val="clear" w:color="auto" w:fill="FFFFFF"/>
            <w:tcMar>
              <w:top w:w="0" w:type="dxa"/>
              <w:left w:w="108" w:type="dxa"/>
              <w:bottom w:w="0" w:type="dxa"/>
              <w:right w:w="108" w:type="dxa"/>
            </w:tcMar>
          </w:tcPr>
          <w:p>
            <w:pPr>
              <w:pStyle w:val="9"/>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tcPr>
          <w:tbl>
            <w:tblPr>
              <w:tblStyle w:val="10"/>
              <w:tblW w:w="880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1750"/>
              <w:gridCol w:w="1125"/>
              <w:gridCol w:w="2335"/>
              <w:gridCol w:w="2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318" w:type="dxa"/>
                  <w:tcBorders>
                    <w:tl2br w:val="single" w:color="auto" w:sz="4" w:space="0"/>
                  </w:tcBorders>
                  <w:noWrap w:val="0"/>
                  <w:vAlign w:val="top"/>
                </w:tcPr>
                <w:p>
                  <w:pPr>
                    <w:ind w:firstLine="632" w:firstLineChars="300"/>
                    <w:rPr>
                      <w:b/>
                      <w:bCs/>
                      <w:szCs w:val="21"/>
                    </w:rPr>
                  </w:pPr>
                  <w:r>
                    <w:rPr>
                      <w:b/>
                      <w:bCs/>
                      <w:szCs w:val="21"/>
                    </w:rPr>
                    <w:t>内容</w:t>
                  </w:r>
                </w:p>
                <w:p>
                  <w:pPr>
                    <w:rPr>
                      <w:b/>
                      <w:bCs/>
                      <w:szCs w:val="21"/>
                    </w:rPr>
                  </w:pPr>
                  <w:r>
                    <w:rPr>
                      <w:b/>
                      <w:bCs/>
                      <w:szCs w:val="21"/>
                    </w:rPr>
                    <w:t>要素</w:t>
                  </w:r>
                </w:p>
              </w:tc>
              <w:tc>
                <w:tcPr>
                  <w:tcW w:w="1750" w:type="dxa"/>
                  <w:noWrap w:val="0"/>
                  <w:vAlign w:val="center"/>
                </w:tcPr>
                <w:p>
                  <w:pPr>
                    <w:jc w:val="center"/>
                    <w:rPr>
                      <w:b/>
                      <w:bCs/>
                      <w:szCs w:val="21"/>
                    </w:rPr>
                  </w:pPr>
                  <w:r>
                    <w:rPr>
                      <w:b/>
                      <w:bCs/>
                      <w:szCs w:val="21"/>
                    </w:rPr>
                    <w:t>排放口(编号、</w:t>
                  </w:r>
                </w:p>
                <w:p>
                  <w:pPr>
                    <w:jc w:val="center"/>
                    <w:rPr>
                      <w:b/>
                      <w:bCs/>
                      <w:szCs w:val="21"/>
                    </w:rPr>
                  </w:pPr>
                  <w:r>
                    <w:rPr>
                      <w:b/>
                      <w:bCs/>
                      <w:szCs w:val="21"/>
                    </w:rPr>
                    <w:t>名称)/污染源</w:t>
                  </w:r>
                </w:p>
              </w:tc>
              <w:tc>
                <w:tcPr>
                  <w:tcW w:w="1125" w:type="dxa"/>
                  <w:noWrap w:val="0"/>
                  <w:vAlign w:val="center"/>
                </w:tcPr>
                <w:p>
                  <w:pPr>
                    <w:jc w:val="center"/>
                    <w:rPr>
                      <w:b/>
                      <w:bCs/>
                      <w:szCs w:val="21"/>
                    </w:rPr>
                  </w:pPr>
                  <w:r>
                    <w:rPr>
                      <w:b/>
                      <w:bCs/>
                      <w:szCs w:val="21"/>
                    </w:rPr>
                    <w:t>污染物项目</w:t>
                  </w:r>
                </w:p>
              </w:tc>
              <w:tc>
                <w:tcPr>
                  <w:tcW w:w="2335" w:type="dxa"/>
                  <w:noWrap w:val="0"/>
                  <w:vAlign w:val="center"/>
                </w:tcPr>
                <w:p>
                  <w:pPr>
                    <w:jc w:val="center"/>
                    <w:rPr>
                      <w:b/>
                      <w:bCs/>
                      <w:szCs w:val="21"/>
                    </w:rPr>
                  </w:pPr>
                  <w:r>
                    <w:rPr>
                      <w:b/>
                      <w:bCs/>
                      <w:szCs w:val="21"/>
                    </w:rPr>
                    <w:t>环境保护措施</w:t>
                  </w:r>
                </w:p>
              </w:tc>
              <w:tc>
                <w:tcPr>
                  <w:tcW w:w="2272" w:type="dxa"/>
                  <w:noWrap w:val="0"/>
                  <w:vAlign w:val="center"/>
                </w:tcPr>
                <w:p>
                  <w:pPr>
                    <w:jc w:val="center"/>
                    <w:rPr>
                      <w:b/>
                      <w:bCs/>
                      <w:szCs w:val="21"/>
                    </w:rPr>
                  </w:pPr>
                  <w:r>
                    <w:rPr>
                      <w:b/>
                      <w:bCs/>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18" w:type="dxa"/>
                  <w:vMerge w:val="restart"/>
                  <w:noWrap w:val="0"/>
                  <w:vAlign w:val="center"/>
                </w:tcPr>
                <w:p>
                  <w:pPr>
                    <w:jc w:val="center"/>
                    <w:rPr>
                      <w:b/>
                      <w:bCs/>
                      <w:szCs w:val="21"/>
                    </w:rPr>
                  </w:pPr>
                  <w:r>
                    <w:rPr>
                      <w:b/>
                      <w:bCs/>
                      <w:szCs w:val="21"/>
                    </w:rPr>
                    <w:t>大气环境</w:t>
                  </w:r>
                </w:p>
              </w:tc>
              <w:tc>
                <w:tcPr>
                  <w:tcW w:w="1750" w:type="dxa"/>
                  <w:noWrap w:val="0"/>
                  <w:vAlign w:val="center"/>
                </w:tcPr>
                <w:p>
                  <w:pPr>
                    <w:jc w:val="center"/>
                    <w:rPr>
                      <w:szCs w:val="21"/>
                    </w:rPr>
                  </w:pPr>
                  <w:r>
                    <w:t>10</w:t>
                  </w:r>
                  <w:r>
                    <w:rPr>
                      <w:rFonts w:hint="eastAsia"/>
                    </w:rPr>
                    <w:t>个细粉料筒仓</w:t>
                  </w:r>
                </w:p>
              </w:tc>
              <w:tc>
                <w:tcPr>
                  <w:tcW w:w="1125" w:type="dxa"/>
                  <w:noWrap w:val="0"/>
                  <w:vAlign w:val="center"/>
                </w:tcPr>
                <w:p>
                  <w:pPr>
                    <w:jc w:val="center"/>
                    <w:rPr>
                      <w:szCs w:val="21"/>
                    </w:rPr>
                  </w:pPr>
                  <w:r>
                    <w:rPr>
                      <w:rFonts w:hint="eastAsia"/>
                    </w:rPr>
                    <w:t>颗粒物</w:t>
                  </w:r>
                </w:p>
              </w:tc>
              <w:tc>
                <w:tcPr>
                  <w:tcW w:w="2335" w:type="dxa"/>
                  <w:tcBorders>
                    <w:bottom w:val="single" w:color="auto" w:sz="4" w:space="0"/>
                  </w:tcBorders>
                  <w:noWrap w:val="0"/>
                  <w:vAlign w:val="center"/>
                </w:tcPr>
                <w:p>
                  <w:pPr>
                    <w:jc w:val="center"/>
                    <w:rPr>
                      <w:szCs w:val="21"/>
                    </w:rPr>
                  </w:pPr>
                  <w:r>
                    <w:t>10</w:t>
                  </w:r>
                  <w:r>
                    <w:rPr>
                      <w:rFonts w:hint="eastAsia"/>
                    </w:rPr>
                    <w:t>个简仓仓顶脉冲布袋单机除尘器,处理效率99</w:t>
                  </w:r>
                  <w:r>
                    <w:t>.7</w:t>
                  </w:r>
                  <w:r>
                    <w:rPr>
                      <w:rFonts w:hint="eastAsia"/>
                    </w:rPr>
                    <w:t>%,单个风机风量:</w:t>
                  </w:r>
                  <w:r>
                    <w:t>1000</w:t>
                  </w:r>
                  <w:r>
                    <w:rPr>
                      <w:rFonts w:hint="eastAsia"/>
                    </w:rPr>
                    <w:t>m</w:t>
                  </w:r>
                  <w:r>
                    <w:rPr>
                      <w:vertAlign w:val="superscript"/>
                    </w:rPr>
                    <w:t>3</w:t>
                  </w:r>
                  <w:r>
                    <w:rPr>
                      <w:rFonts w:hint="eastAsia"/>
                    </w:rPr>
                    <w:t>/h</w:t>
                  </w:r>
                </w:p>
              </w:tc>
              <w:tc>
                <w:tcPr>
                  <w:tcW w:w="2272" w:type="dxa"/>
                  <w:tcBorders>
                    <w:bottom w:val="single" w:color="auto" w:sz="4" w:space="0"/>
                  </w:tcBorders>
                  <w:noWrap w:val="0"/>
                  <w:vAlign w:val="center"/>
                </w:tcPr>
                <w:p>
                  <w:pPr>
                    <w:jc w:val="center"/>
                    <w:rPr>
                      <w:szCs w:val="21"/>
                    </w:rPr>
                  </w:pPr>
                  <w:r>
                    <w:rPr>
                      <w:rFonts w:hint="eastAsia"/>
                      <w:snapToGrid w:val="0"/>
                      <w:kern w:val="0"/>
                      <w:szCs w:val="21"/>
                    </w:rPr>
                    <w:t>满足</w:t>
                  </w:r>
                  <w:r>
                    <w:rPr>
                      <w:snapToGrid w:val="0"/>
                      <w:kern w:val="0"/>
                      <w:szCs w:val="21"/>
                    </w:rPr>
                    <w:t>《水泥工业大气污染物排放标准》（GB4915-2013）最高允许排放浓度≤</w:t>
                  </w:r>
                  <w:r>
                    <w:rPr>
                      <w:rFonts w:hint="eastAsia"/>
                      <w:snapToGrid w:val="0"/>
                      <w:kern w:val="0"/>
                      <w:szCs w:val="21"/>
                    </w:rPr>
                    <w:t>2</w:t>
                  </w:r>
                  <w:r>
                    <w:rPr>
                      <w:snapToGrid w:val="0"/>
                      <w:kern w:val="0"/>
                      <w:szCs w:val="21"/>
                    </w:rPr>
                    <w:t>0mg/Nm</w:t>
                  </w:r>
                  <w:r>
                    <w:rPr>
                      <w:snapToGrid w:val="0"/>
                      <w:kern w:val="0"/>
                      <w:szCs w:val="21"/>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rFonts w:hint="eastAsia"/>
                    </w:rPr>
                    <w:t>搅拌楼</w:t>
                  </w:r>
                </w:p>
              </w:tc>
              <w:tc>
                <w:tcPr>
                  <w:tcW w:w="1125" w:type="dxa"/>
                  <w:noWrap w:val="0"/>
                  <w:vAlign w:val="center"/>
                </w:tcPr>
                <w:p>
                  <w:pPr>
                    <w:jc w:val="center"/>
                    <w:rPr>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szCs w:val="21"/>
                    </w:rPr>
                  </w:pPr>
                  <w:r>
                    <w:rPr>
                      <w:rFonts w:hint="eastAsia"/>
                    </w:rPr>
                    <w:t>搅拌楼主机自带2套脉冲布袋除尘器,每条生产线各配1套脉冲布袋除尘系统,处理效率99</w:t>
                  </w:r>
                  <w:r>
                    <w:t>.7</w:t>
                  </w:r>
                  <w:r>
                    <w:rPr>
                      <w:rFonts w:hint="eastAsia"/>
                    </w:rPr>
                    <w:t>%,风机风量:</w:t>
                  </w:r>
                  <w:r>
                    <w:t>50</w:t>
                  </w:r>
                  <w:r>
                    <w:rPr>
                      <w:rFonts w:hint="eastAsia"/>
                    </w:rPr>
                    <w:t>00m</w:t>
                  </w:r>
                  <w:r>
                    <w:rPr>
                      <w:rFonts w:hint="eastAsia"/>
                      <w:vertAlign w:val="superscript"/>
                    </w:rPr>
                    <w:t>3</w:t>
                  </w:r>
                  <w:r>
                    <w:rPr>
                      <w:rFonts w:hint="eastAsia"/>
                    </w:rPr>
                    <w:t>/h；并采取全封闭处理</w:t>
                  </w:r>
                </w:p>
              </w:tc>
              <w:tc>
                <w:tcPr>
                  <w:tcW w:w="2272" w:type="dxa"/>
                  <w:vMerge w:val="restart"/>
                  <w:tcBorders>
                    <w:top w:val="single" w:color="auto" w:sz="4" w:space="0"/>
                  </w:tcBorders>
                  <w:noWrap w:val="0"/>
                  <w:vAlign w:val="center"/>
                </w:tcPr>
                <w:p>
                  <w:pPr>
                    <w:jc w:val="center"/>
                    <w:rPr>
                      <w:szCs w:val="21"/>
                    </w:rPr>
                  </w:pPr>
                  <w:r>
                    <w:rPr>
                      <w:snapToGrid w:val="0"/>
                      <w:kern w:val="0"/>
                      <w:szCs w:val="21"/>
                    </w:rPr>
                    <w:t>达到《水泥工业大气污染物排放标准》（GB4915-20</w:t>
                  </w:r>
                  <w:r>
                    <w:rPr>
                      <w:rFonts w:hint="eastAsia"/>
                      <w:snapToGrid w:val="0"/>
                      <w:kern w:val="0"/>
                      <w:szCs w:val="21"/>
                    </w:rPr>
                    <w:t>13</w:t>
                  </w:r>
                  <w:r>
                    <w:rPr>
                      <w:snapToGrid w:val="0"/>
                      <w:kern w:val="0"/>
                      <w:szCs w:val="21"/>
                    </w:rPr>
                    <w:t>）中</w:t>
                  </w:r>
                  <w:r>
                    <w:rPr>
                      <w:rFonts w:hint="eastAsia"/>
                      <w:snapToGrid w:val="0"/>
                      <w:kern w:val="0"/>
                      <w:szCs w:val="21"/>
                    </w:rPr>
                    <w:t>的</w:t>
                  </w:r>
                  <w:r>
                    <w:rPr>
                      <w:snapToGrid w:val="0"/>
                      <w:kern w:val="0"/>
                      <w:szCs w:val="21"/>
                    </w:rPr>
                    <w:t>无组织排放监控浓度限值≤</w:t>
                  </w:r>
                  <w:r>
                    <w:rPr>
                      <w:rFonts w:hint="eastAsia"/>
                      <w:snapToGrid w:val="0"/>
                      <w:kern w:val="0"/>
                      <w:szCs w:val="21"/>
                    </w:rPr>
                    <w:t>0.5</w:t>
                  </w:r>
                  <w:r>
                    <w:rPr>
                      <w:snapToGrid w:val="0"/>
                      <w:kern w:val="0"/>
                      <w:szCs w:val="21"/>
                    </w:rPr>
                    <w:t>mg/m</w:t>
                  </w:r>
                  <w:r>
                    <w:rPr>
                      <w:snapToGrid w:val="0"/>
                      <w:kern w:val="0"/>
                      <w:szCs w:val="21"/>
                      <w:vertAlign w:val="superscript"/>
                    </w:rPr>
                    <w:t>3</w:t>
                  </w:r>
                  <w:r>
                    <w:rPr>
                      <w:rFonts w:hint="eastAsia"/>
                      <w:snapToGrid w:val="0"/>
                      <w:kern w:val="0"/>
                      <w:szCs w:val="21"/>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pPr>
                  <w:r>
                    <w:rPr>
                      <w:rFonts w:hint="eastAsia"/>
                    </w:rPr>
                    <w:t>骨料皮带输送机</w:t>
                  </w:r>
                </w:p>
              </w:tc>
              <w:tc>
                <w:tcPr>
                  <w:tcW w:w="1125" w:type="dxa"/>
                  <w:noWrap w:val="0"/>
                  <w:vAlign w:val="center"/>
                </w:tcPr>
                <w:p>
                  <w:pPr>
                    <w:jc w:val="center"/>
                    <w:rPr>
                      <w:rFonts w:hint="eastAsia"/>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rPr>
                    <w:t>皮带输送机廊道上部拟加盖侧面密封,下部设置收料盘,进行封闭处理</w:t>
                  </w:r>
                </w:p>
              </w:tc>
              <w:tc>
                <w:tcPr>
                  <w:tcW w:w="2272" w:type="dxa"/>
                  <w:vMerge w:val="continue"/>
                  <w:noWrap w:val="0"/>
                  <w:vAlign w:val="center"/>
                </w:tcPr>
                <w:p>
                  <w:pPr>
                    <w:jc w:val="center"/>
                    <w:rPr>
                      <w:rFonts w:hint="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pPr>
                  <w:r>
                    <w:rPr>
                      <w:rFonts w:hint="eastAsia"/>
                    </w:rPr>
                    <w:t>原料库房</w:t>
                  </w:r>
                </w:p>
              </w:tc>
              <w:tc>
                <w:tcPr>
                  <w:tcW w:w="1125" w:type="dxa"/>
                  <w:noWrap w:val="0"/>
                  <w:vAlign w:val="center"/>
                </w:tcPr>
                <w:p>
                  <w:pPr>
                    <w:jc w:val="center"/>
                    <w:rPr>
                      <w:rFonts w:hint="eastAsia"/>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rPr>
                    <w:t>原料库房拟采用带顶棚的彩钢瓦进行全封闭遮挡降尘,拟对地面进行硬化;顶部安装全自动喷淋抑尘装置:卸料、进料时均开启雾炮机进行喷雾降尘</w:t>
                  </w:r>
                </w:p>
              </w:tc>
              <w:tc>
                <w:tcPr>
                  <w:tcW w:w="2272" w:type="dxa"/>
                  <w:vMerge w:val="continue"/>
                  <w:noWrap w:val="0"/>
                  <w:vAlign w:val="center"/>
                </w:tcPr>
                <w:p>
                  <w:pPr>
                    <w:jc w:val="center"/>
                    <w:rPr>
                      <w:rFonts w:hint="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pPr>
                  <w:r>
                    <w:rPr>
                      <w:rFonts w:hint="eastAsia"/>
                    </w:rPr>
                    <w:t>厂区物料运输</w:t>
                  </w:r>
                </w:p>
              </w:tc>
              <w:tc>
                <w:tcPr>
                  <w:tcW w:w="1125" w:type="dxa"/>
                  <w:noWrap w:val="0"/>
                  <w:vAlign w:val="center"/>
                </w:tcPr>
                <w:p>
                  <w:pPr>
                    <w:jc w:val="center"/>
                    <w:rPr>
                      <w:rFonts w:hint="eastAsia"/>
                      <w:szCs w:val="21"/>
                    </w:rPr>
                  </w:pPr>
                  <w:r>
                    <w:rPr>
                      <w:rFonts w:hint="eastAsia"/>
                    </w:rPr>
                    <w:t>颗粒物</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rPr>
                    <w:t>拟在原料库房进出道路及进出口处设置喷淋设施,在厂区内拟设置2台雾炮机进行降尘,在罐车运输场地及厂区出入口处设置洒水车进行酒水降尘;对生产区域及场地硬化区域每天洒水冲洗2次</w:t>
                  </w:r>
                </w:p>
              </w:tc>
              <w:tc>
                <w:tcPr>
                  <w:tcW w:w="2272" w:type="dxa"/>
                  <w:vMerge w:val="continue"/>
                  <w:tcBorders>
                    <w:bottom w:val="single" w:color="auto" w:sz="4" w:space="0"/>
                  </w:tcBorders>
                  <w:noWrap w:val="0"/>
                  <w:vAlign w:val="center"/>
                </w:tcPr>
                <w:p>
                  <w:pPr>
                    <w:jc w:val="center"/>
                    <w:rPr>
                      <w:rFonts w:hint="eastAsia"/>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pPr>
                  <w:r>
                    <w:rPr>
                      <w:rFonts w:hint="eastAsia"/>
                    </w:rPr>
                    <w:t>食堂</w:t>
                  </w:r>
                </w:p>
              </w:tc>
              <w:tc>
                <w:tcPr>
                  <w:tcW w:w="1125" w:type="dxa"/>
                  <w:noWrap w:val="0"/>
                  <w:vAlign w:val="center"/>
                </w:tcPr>
                <w:p>
                  <w:pPr>
                    <w:jc w:val="center"/>
                    <w:rPr>
                      <w:rFonts w:hint="eastAsia"/>
                      <w:szCs w:val="21"/>
                    </w:rPr>
                  </w:pPr>
                  <w:r>
                    <w:rPr>
                      <w:rFonts w:hint="eastAsia"/>
                    </w:rPr>
                    <w:t>油烟废气</w:t>
                  </w:r>
                </w:p>
              </w:tc>
              <w:tc>
                <w:tcPr>
                  <w:tcW w:w="2335" w:type="dxa"/>
                  <w:tcBorders>
                    <w:top w:val="single" w:color="auto" w:sz="4" w:space="0"/>
                    <w:bottom w:val="single" w:color="auto" w:sz="4" w:space="0"/>
                  </w:tcBorders>
                  <w:noWrap w:val="0"/>
                  <w:vAlign w:val="center"/>
                </w:tcPr>
                <w:p>
                  <w:pPr>
                    <w:jc w:val="center"/>
                    <w:rPr>
                      <w:rFonts w:hint="eastAsia"/>
                      <w:szCs w:val="21"/>
                    </w:rPr>
                  </w:pPr>
                  <w:r>
                    <w:rPr>
                      <w:rFonts w:hint="eastAsia"/>
                    </w:rPr>
                    <w:t>安装环保认证的处理效率不低于60%的油烟净化器1套</w:t>
                  </w:r>
                </w:p>
              </w:tc>
              <w:tc>
                <w:tcPr>
                  <w:tcW w:w="2272" w:type="dxa"/>
                  <w:tcBorders>
                    <w:top w:val="single" w:color="auto" w:sz="4" w:space="0"/>
                    <w:bottom w:val="single" w:color="auto" w:sz="4" w:space="0"/>
                  </w:tcBorders>
                  <w:noWrap w:val="0"/>
                  <w:vAlign w:val="center"/>
                </w:tcPr>
                <w:p>
                  <w:pPr>
                    <w:jc w:val="center"/>
                    <w:rPr>
                      <w:rFonts w:hint="eastAsia"/>
                      <w:snapToGrid w:val="0"/>
                      <w:kern w:val="0"/>
                      <w:szCs w:val="21"/>
                    </w:rPr>
                  </w:pPr>
                  <w:r>
                    <w:rPr>
                      <w:rFonts w:hint="eastAsia"/>
                      <w:snapToGrid w:val="0"/>
                      <w:kern w:val="0"/>
                      <w:szCs w:val="21"/>
                    </w:rPr>
                    <w:t>满足GB18483-2001《饮食业油烟排放标准（试行）》小型标准要求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318" w:type="dxa"/>
                  <w:vMerge w:val="restart"/>
                  <w:noWrap w:val="0"/>
                  <w:vAlign w:val="center"/>
                </w:tcPr>
                <w:p>
                  <w:pPr>
                    <w:jc w:val="center"/>
                    <w:rPr>
                      <w:b/>
                      <w:bCs/>
                      <w:szCs w:val="21"/>
                    </w:rPr>
                  </w:pPr>
                  <w:r>
                    <w:rPr>
                      <w:b/>
                      <w:bCs/>
                      <w:szCs w:val="21"/>
                    </w:rPr>
                    <w:t>地表水环境</w:t>
                  </w:r>
                </w:p>
              </w:tc>
              <w:tc>
                <w:tcPr>
                  <w:tcW w:w="1750" w:type="dxa"/>
                  <w:noWrap w:val="0"/>
                  <w:vAlign w:val="center"/>
                </w:tcPr>
                <w:p>
                  <w:pPr>
                    <w:jc w:val="center"/>
                    <w:rPr>
                      <w:snapToGrid w:val="0"/>
                      <w:kern w:val="0"/>
                      <w:szCs w:val="21"/>
                    </w:rPr>
                  </w:pPr>
                  <w:r>
                    <w:rPr>
                      <w:rFonts w:hint="eastAsia"/>
                      <w:snapToGrid w:val="0"/>
                      <w:kern w:val="0"/>
                      <w:szCs w:val="21"/>
                    </w:rPr>
                    <w:t>生产废水</w:t>
                  </w:r>
                </w:p>
              </w:tc>
              <w:tc>
                <w:tcPr>
                  <w:tcW w:w="1125" w:type="dxa"/>
                  <w:noWrap w:val="0"/>
                  <w:vAlign w:val="center"/>
                </w:tcPr>
                <w:p>
                  <w:pPr>
                    <w:jc w:val="center"/>
                    <w:rPr>
                      <w:snapToGrid w:val="0"/>
                      <w:kern w:val="0"/>
                      <w:szCs w:val="21"/>
                    </w:rPr>
                  </w:pPr>
                  <w:r>
                    <w:rPr>
                      <w:rFonts w:hint="eastAsia"/>
                      <w:snapToGrid w:val="0"/>
                      <w:kern w:val="0"/>
                      <w:szCs w:val="21"/>
                    </w:rPr>
                    <w:t>S</w:t>
                  </w:r>
                  <w:r>
                    <w:rPr>
                      <w:snapToGrid w:val="0"/>
                      <w:kern w:val="0"/>
                      <w:szCs w:val="21"/>
                    </w:rPr>
                    <w:t>S</w:t>
                  </w:r>
                </w:p>
              </w:tc>
              <w:tc>
                <w:tcPr>
                  <w:tcW w:w="2335" w:type="dxa"/>
                  <w:noWrap w:val="0"/>
                  <w:vAlign w:val="center"/>
                </w:tcPr>
                <w:p>
                  <w:pPr>
                    <w:jc w:val="center"/>
                    <w:rPr>
                      <w:szCs w:val="21"/>
                    </w:rPr>
                  </w:pPr>
                  <w:r>
                    <w:rPr>
                      <w:szCs w:val="21"/>
                    </w:rPr>
                    <w:t>1</w:t>
                  </w:r>
                  <w:r>
                    <w:rPr>
                      <w:rFonts w:hint="eastAsia"/>
                      <w:szCs w:val="21"/>
                    </w:rPr>
                    <w:t xml:space="preserve">个容积为 </w:t>
                  </w:r>
                  <w:r>
                    <w:rPr>
                      <w:szCs w:val="21"/>
                    </w:rPr>
                    <w:t>120</w:t>
                  </w:r>
                  <w:r>
                    <w:rPr>
                      <w:rFonts w:hint="eastAsia"/>
                      <w:szCs w:val="21"/>
                    </w:rPr>
                    <w:t>m</w:t>
                  </w:r>
                  <w:r>
                    <w:rPr>
                      <w:rFonts w:hint="eastAsia"/>
                      <w:szCs w:val="21"/>
                      <w:vertAlign w:val="superscript"/>
                    </w:rPr>
                    <w:t>3</w:t>
                  </w:r>
                  <w:r>
                    <w:rPr>
                      <w:rFonts w:hint="eastAsia"/>
                      <w:szCs w:val="21"/>
                    </w:rPr>
                    <w:t>的三级沉淀池，处理生产废水，废水处理后回用于混凝土生产，不外排</w:t>
                  </w:r>
                </w:p>
              </w:tc>
              <w:tc>
                <w:tcPr>
                  <w:tcW w:w="2272" w:type="dxa"/>
                  <w:noWrap w:val="0"/>
                  <w:vAlign w:val="center"/>
                </w:tcPr>
                <w:p>
                  <w:pPr>
                    <w:jc w:val="center"/>
                    <w:rPr>
                      <w:szCs w:val="21"/>
                    </w:rPr>
                  </w:pPr>
                  <w:r>
                    <w:rPr>
                      <w:rFonts w:hint="eastAsia"/>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napToGrid w:val="0"/>
                      <w:kern w:val="0"/>
                      <w:szCs w:val="21"/>
                    </w:rPr>
                  </w:pPr>
                  <w:r>
                    <w:rPr>
                      <w:snapToGrid w:val="0"/>
                      <w:kern w:val="0"/>
                      <w:szCs w:val="21"/>
                    </w:rPr>
                    <w:t>生活废水</w:t>
                  </w:r>
                </w:p>
              </w:tc>
              <w:tc>
                <w:tcPr>
                  <w:tcW w:w="1125" w:type="dxa"/>
                  <w:noWrap w:val="0"/>
                  <w:vAlign w:val="center"/>
                </w:tcPr>
                <w:p>
                  <w:pPr>
                    <w:jc w:val="center"/>
                    <w:rPr>
                      <w:snapToGrid w:val="0"/>
                      <w:kern w:val="0"/>
                      <w:szCs w:val="21"/>
                    </w:rPr>
                  </w:pPr>
                  <w:r>
                    <w:rPr>
                      <w:snapToGrid w:val="0"/>
                      <w:kern w:val="0"/>
                      <w:szCs w:val="21"/>
                    </w:rPr>
                    <w:t>COD、BOD</w:t>
                  </w:r>
                  <w:r>
                    <w:rPr>
                      <w:snapToGrid w:val="0"/>
                      <w:kern w:val="0"/>
                      <w:szCs w:val="21"/>
                      <w:vertAlign w:val="subscript"/>
                    </w:rPr>
                    <w:t>5</w:t>
                  </w:r>
                  <w:r>
                    <w:rPr>
                      <w:snapToGrid w:val="0"/>
                      <w:kern w:val="0"/>
                      <w:szCs w:val="21"/>
                    </w:rPr>
                    <w:t>、氨氮、SS、TP、粪大肠菌群</w:t>
                  </w:r>
                </w:p>
              </w:tc>
              <w:tc>
                <w:tcPr>
                  <w:tcW w:w="2335" w:type="dxa"/>
                  <w:noWrap w:val="0"/>
                  <w:vAlign w:val="center"/>
                </w:tcPr>
                <w:p>
                  <w:pPr>
                    <w:jc w:val="center"/>
                    <w:rPr>
                      <w:rFonts w:hint="eastAsia"/>
                      <w:szCs w:val="21"/>
                    </w:rPr>
                  </w:pPr>
                  <w:r>
                    <w:rPr>
                      <w:rFonts w:hint="eastAsia"/>
                      <w:szCs w:val="21"/>
                    </w:rPr>
                    <w:t>隔油池（1m</w:t>
                  </w:r>
                  <w:r>
                    <w:rPr>
                      <w:szCs w:val="21"/>
                      <w:vertAlign w:val="superscript"/>
                    </w:rPr>
                    <w:t>3</w:t>
                  </w:r>
                  <w:r>
                    <w:rPr>
                      <w:rFonts w:hint="eastAsia"/>
                      <w:szCs w:val="21"/>
                    </w:rPr>
                    <w:t>），3个</w:t>
                  </w:r>
                  <w:r>
                    <w:rPr>
                      <w:szCs w:val="21"/>
                    </w:rPr>
                    <w:t>化粪池</w:t>
                  </w:r>
                  <w:r>
                    <w:rPr>
                      <w:rFonts w:hint="eastAsia"/>
                      <w:szCs w:val="21"/>
                    </w:rPr>
                    <w:t>（总容积</w:t>
                  </w:r>
                  <w:r>
                    <w:rPr>
                      <w:szCs w:val="21"/>
                    </w:rPr>
                    <w:t>60</w:t>
                  </w:r>
                  <w:r>
                    <w:rPr>
                      <w:rFonts w:hint="eastAsia"/>
                      <w:szCs w:val="21"/>
                    </w:rPr>
                    <w:t>m</w:t>
                  </w:r>
                  <w:r>
                    <w:rPr>
                      <w:szCs w:val="21"/>
                      <w:vertAlign w:val="superscript"/>
                    </w:rPr>
                    <w:t>3</w:t>
                  </w:r>
                  <w:r>
                    <w:rPr>
                      <w:rFonts w:hint="eastAsia"/>
                      <w:szCs w:val="21"/>
                    </w:rPr>
                    <w:t>）</w:t>
                  </w:r>
                  <w:r>
                    <w:rPr>
                      <w:szCs w:val="21"/>
                    </w:rPr>
                    <w:t>处理</w:t>
                  </w:r>
                  <w:r>
                    <w:rPr>
                      <w:rFonts w:hint="eastAsia"/>
                      <w:szCs w:val="21"/>
                    </w:rPr>
                    <w:t>，定期清掏作为周围旱地肥料施用</w:t>
                  </w:r>
                </w:p>
              </w:tc>
              <w:tc>
                <w:tcPr>
                  <w:tcW w:w="2272" w:type="dxa"/>
                  <w:noWrap w:val="0"/>
                  <w:vAlign w:val="center"/>
                </w:tcPr>
                <w:p>
                  <w:pPr>
                    <w:jc w:val="center"/>
                    <w:rPr>
                      <w:szCs w:val="21"/>
                    </w:rPr>
                  </w:pPr>
                  <w:r>
                    <w:rPr>
                      <w:szCs w:val="21"/>
                    </w:rPr>
                    <w:t>无废水外排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napToGrid w:val="0"/>
                      <w:kern w:val="0"/>
                      <w:szCs w:val="21"/>
                    </w:rPr>
                  </w:pPr>
                  <w:r>
                    <w:rPr>
                      <w:rFonts w:hint="eastAsia"/>
                      <w:snapToGrid w:val="0"/>
                      <w:kern w:val="0"/>
                      <w:szCs w:val="21"/>
                    </w:rPr>
                    <w:t>初期雨水</w:t>
                  </w:r>
                </w:p>
              </w:tc>
              <w:tc>
                <w:tcPr>
                  <w:tcW w:w="1125" w:type="dxa"/>
                  <w:noWrap w:val="0"/>
                  <w:vAlign w:val="center"/>
                </w:tcPr>
                <w:p>
                  <w:pPr>
                    <w:jc w:val="center"/>
                    <w:rPr>
                      <w:snapToGrid w:val="0"/>
                      <w:kern w:val="0"/>
                      <w:szCs w:val="21"/>
                    </w:rPr>
                  </w:pPr>
                  <w:r>
                    <w:rPr>
                      <w:rFonts w:hint="eastAsia"/>
                      <w:snapToGrid w:val="0"/>
                      <w:kern w:val="0"/>
                      <w:szCs w:val="21"/>
                    </w:rPr>
                    <w:t>S</w:t>
                  </w:r>
                  <w:r>
                    <w:rPr>
                      <w:snapToGrid w:val="0"/>
                      <w:kern w:val="0"/>
                      <w:szCs w:val="21"/>
                    </w:rPr>
                    <w:t>S</w:t>
                  </w:r>
                </w:p>
              </w:tc>
              <w:tc>
                <w:tcPr>
                  <w:tcW w:w="2335" w:type="dxa"/>
                  <w:noWrap w:val="0"/>
                  <w:vAlign w:val="center"/>
                </w:tcPr>
                <w:p>
                  <w:pPr>
                    <w:jc w:val="center"/>
                    <w:rPr>
                      <w:rFonts w:hint="eastAsia"/>
                      <w:szCs w:val="21"/>
                    </w:rPr>
                  </w:pPr>
                  <w:r>
                    <w:rPr>
                      <w:rFonts w:hint="eastAsia"/>
                      <w:szCs w:val="21"/>
                    </w:rPr>
                    <w:t>经项目区1个容积为</w:t>
                  </w:r>
                  <w:r>
                    <w:rPr>
                      <w:szCs w:val="21"/>
                    </w:rPr>
                    <w:t>60</w:t>
                  </w:r>
                  <w:r>
                    <w:rPr>
                      <w:rFonts w:hint="eastAsia"/>
                      <w:szCs w:val="21"/>
                    </w:rPr>
                    <w:t>m</w:t>
                  </w:r>
                  <w:r>
                    <w:rPr>
                      <w:rFonts w:hint="eastAsia"/>
                      <w:szCs w:val="21"/>
                      <w:vertAlign w:val="superscript"/>
                    </w:rPr>
                    <w:t>3</w:t>
                  </w:r>
                  <w:r>
                    <w:rPr>
                      <w:rFonts w:hint="eastAsia"/>
                      <w:szCs w:val="21"/>
                    </w:rPr>
                    <w:t>的初期雨水收集池沉淀处理后回用于生产，不外排</w:t>
                  </w:r>
                </w:p>
              </w:tc>
              <w:tc>
                <w:tcPr>
                  <w:tcW w:w="2272" w:type="dxa"/>
                  <w:noWrap w:val="0"/>
                  <w:vAlign w:val="center"/>
                </w:tcPr>
                <w:p>
                  <w:pPr>
                    <w:jc w:val="center"/>
                    <w:rPr>
                      <w:rFonts w:hint="eastAsia"/>
                      <w:szCs w:val="21"/>
                    </w:rPr>
                  </w:pPr>
                  <w:r>
                    <w:rPr>
                      <w:rFonts w:hint="eastAsia"/>
                      <w:szCs w:val="21"/>
                    </w:rPr>
                    <w:t>处理初期雨水回用于项目区洒水降尘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noWrap w:val="0"/>
                  <w:vAlign w:val="center"/>
                </w:tcPr>
                <w:p>
                  <w:pPr>
                    <w:jc w:val="center"/>
                    <w:rPr>
                      <w:b/>
                      <w:bCs/>
                      <w:szCs w:val="21"/>
                    </w:rPr>
                  </w:pPr>
                  <w:r>
                    <w:rPr>
                      <w:b/>
                      <w:bCs/>
                      <w:szCs w:val="21"/>
                    </w:rPr>
                    <w:t>声环境</w:t>
                  </w:r>
                </w:p>
              </w:tc>
              <w:tc>
                <w:tcPr>
                  <w:tcW w:w="1750" w:type="dxa"/>
                  <w:noWrap w:val="0"/>
                  <w:vAlign w:val="center"/>
                </w:tcPr>
                <w:p>
                  <w:pPr>
                    <w:jc w:val="center"/>
                    <w:rPr>
                      <w:szCs w:val="21"/>
                    </w:rPr>
                  </w:pPr>
                  <w:r>
                    <w:rPr>
                      <w:szCs w:val="21"/>
                    </w:rPr>
                    <w:t>生产设备噪声</w:t>
                  </w:r>
                </w:p>
              </w:tc>
              <w:tc>
                <w:tcPr>
                  <w:tcW w:w="1125" w:type="dxa"/>
                  <w:noWrap w:val="0"/>
                  <w:vAlign w:val="center"/>
                </w:tcPr>
                <w:p>
                  <w:pPr>
                    <w:jc w:val="center"/>
                    <w:rPr>
                      <w:szCs w:val="21"/>
                    </w:rPr>
                  </w:pPr>
                  <w:r>
                    <w:rPr>
                      <w:szCs w:val="21"/>
                    </w:rPr>
                    <w:t>噪声</w:t>
                  </w:r>
                </w:p>
              </w:tc>
              <w:tc>
                <w:tcPr>
                  <w:tcW w:w="2335" w:type="dxa"/>
                  <w:noWrap w:val="0"/>
                  <w:vAlign w:val="center"/>
                </w:tcPr>
                <w:p>
                  <w:pPr>
                    <w:jc w:val="center"/>
                    <w:rPr>
                      <w:szCs w:val="21"/>
                    </w:rPr>
                  </w:pPr>
                  <w:r>
                    <w:rPr>
                      <w:rFonts w:hint="eastAsia"/>
                    </w:rPr>
                    <w:t>安装减震、厂房隔声、距离衰减</w:t>
                  </w:r>
                </w:p>
              </w:tc>
              <w:tc>
                <w:tcPr>
                  <w:tcW w:w="2272" w:type="dxa"/>
                  <w:noWrap w:val="0"/>
                  <w:vAlign w:val="center"/>
                </w:tcPr>
                <w:p>
                  <w:pPr>
                    <w:jc w:val="center"/>
                    <w:rPr>
                      <w:szCs w:val="21"/>
                    </w:rPr>
                  </w:pPr>
                  <w:r>
                    <w:rPr>
                      <w:rFonts w:hint="eastAsia"/>
                    </w:rPr>
                    <w:t>达到《工业企业厂界环境噪声排放标准》（GB12348-2008）2类标准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restart"/>
                  <w:noWrap w:val="0"/>
                  <w:vAlign w:val="center"/>
                </w:tcPr>
                <w:p>
                  <w:pPr>
                    <w:jc w:val="center"/>
                    <w:rPr>
                      <w:b/>
                      <w:bCs/>
                      <w:szCs w:val="21"/>
                    </w:rPr>
                  </w:pPr>
                  <w:r>
                    <w:rPr>
                      <w:b/>
                      <w:bCs/>
                      <w:szCs w:val="21"/>
                    </w:rPr>
                    <w:t>电磁辐射</w:t>
                  </w: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318" w:type="dxa"/>
                  <w:vMerge w:val="continue"/>
                  <w:noWrap w:val="0"/>
                  <w:vAlign w:val="center"/>
                </w:tcPr>
                <w:p>
                  <w:pPr>
                    <w:jc w:val="center"/>
                    <w:rPr>
                      <w:b/>
                      <w:bCs/>
                      <w:szCs w:val="21"/>
                    </w:rPr>
                  </w:pPr>
                </w:p>
              </w:tc>
              <w:tc>
                <w:tcPr>
                  <w:tcW w:w="1750" w:type="dxa"/>
                  <w:noWrap w:val="0"/>
                  <w:vAlign w:val="center"/>
                </w:tcPr>
                <w:p>
                  <w:pPr>
                    <w:jc w:val="center"/>
                    <w:rPr>
                      <w:szCs w:val="21"/>
                    </w:rPr>
                  </w:pPr>
                  <w:r>
                    <w:rPr>
                      <w:szCs w:val="21"/>
                    </w:rPr>
                    <w:t>/</w:t>
                  </w:r>
                </w:p>
              </w:tc>
              <w:tc>
                <w:tcPr>
                  <w:tcW w:w="1125" w:type="dxa"/>
                  <w:noWrap w:val="0"/>
                  <w:vAlign w:val="center"/>
                </w:tcPr>
                <w:p>
                  <w:pPr>
                    <w:jc w:val="center"/>
                    <w:rPr>
                      <w:szCs w:val="21"/>
                    </w:rPr>
                  </w:pPr>
                  <w:r>
                    <w:rPr>
                      <w:szCs w:val="21"/>
                    </w:rPr>
                    <w:t>/</w:t>
                  </w:r>
                </w:p>
              </w:tc>
              <w:tc>
                <w:tcPr>
                  <w:tcW w:w="2335" w:type="dxa"/>
                  <w:noWrap w:val="0"/>
                  <w:vAlign w:val="center"/>
                </w:tcPr>
                <w:p>
                  <w:pPr>
                    <w:jc w:val="center"/>
                    <w:rPr>
                      <w:szCs w:val="21"/>
                    </w:rPr>
                  </w:pPr>
                  <w:r>
                    <w:rPr>
                      <w:szCs w:val="21"/>
                    </w:rPr>
                    <w:t>/</w:t>
                  </w:r>
                </w:p>
              </w:tc>
              <w:tc>
                <w:tcPr>
                  <w:tcW w:w="2272" w:type="dxa"/>
                  <w:noWrap w:val="0"/>
                  <w:vAlign w:val="center"/>
                </w:tcPr>
                <w:p>
                  <w:pPr>
                    <w:jc w:val="center"/>
                    <w:rPr>
                      <w:szCs w:val="21"/>
                    </w:rPr>
                  </w:pPr>
                  <w:r>
                    <w:rPr>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318" w:type="dxa"/>
                  <w:noWrap w:val="0"/>
                  <w:vAlign w:val="center"/>
                </w:tcPr>
                <w:p>
                  <w:pPr>
                    <w:jc w:val="center"/>
                    <w:rPr>
                      <w:b/>
                      <w:bCs/>
                      <w:szCs w:val="21"/>
                    </w:rPr>
                  </w:pPr>
                  <w:r>
                    <w:rPr>
                      <w:b/>
                      <w:bCs/>
                      <w:szCs w:val="21"/>
                    </w:rPr>
                    <w:t>固体废物</w:t>
                  </w:r>
                </w:p>
              </w:tc>
              <w:tc>
                <w:tcPr>
                  <w:tcW w:w="7482" w:type="dxa"/>
                  <w:gridSpan w:val="4"/>
                  <w:noWrap w:val="0"/>
                  <w:vAlign w:val="center"/>
                </w:tcPr>
                <w:p>
                  <w:pPr>
                    <w:pStyle w:val="5"/>
                    <w:adjustRightInd w:val="0"/>
                    <w:spacing w:before="0" w:after="0" w:line="240" w:lineRule="auto"/>
                    <w:ind w:firstLineChars="200"/>
                    <w:rPr>
                      <w:rFonts w:hint="eastAsia"/>
                    </w:rPr>
                  </w:pPr>
                  <w:r>
                    <w:rPr>
                      <w:szCs w:val="21"/>
                    </w:rPr>
                    <w:t>本项目运营期产生的废机油按照相关规定收集、包装、贮存，委托有资质单位进行清运和处置；</w:t>
                  </w:r>
                  <w:r>
                    <w:rPr>
                      <w:rFonts w:hint="eastAsia"/>
                      <w:szCs w:val="21"/>
                    </w:rPr>
                    <w:t>脉冲布袋除尘器收集的粉尘直接送回筒仓内，作为项目生产原料继续使用；搅拌机清洗产生的混凝土和混凝土运输罐车清洗产生的混凝土，均进入砂石分离机处理处理，碎石经分离后作为混凝土骨料回用；检验用混凝土凝固块堆存在项目原料库房砂石料区，定期外运用于高速公路施工路基填料；生产废水沉淀池沉淀泥砂，可定时进行清理后返回生产工序进行生产使用。</w:t>
                  </w:r>
                  <w:r>
                    <w:rPr>
                      <w:szCs w:val="21"/>
                    </w:rPr>
                    <w:t>生活垃圾统一收集后，能回收利用的回收利用，不可回收利用的统一收集后运至</w:t>
                  </w:r>
                  <w:r>
                    <w:rPr>
                      <w:rFonts w:hint="eastAsia"/>
                      <w:szCs w:val="21"/>
                    </w:rPr>
                    <w:t>长冲</w:t>
                  </w:r>
                  <w:r>
                    <w:rPr>
                      <w:szCs w:val="21"/>
                    </w:rPr>
                    <w:t>村农村生活垃圾收集点处置；</w:t>
                  </w:r>
                  <w:r>
                    <w:rPr>
                      <w:bCs/>
                      <w:szCs w:val="21"/>
                    </w:rPr>
                    <w:t>化粪池粪便，</w:t>
                  </w:r>
                  <w:r>
                    <w:rPr>
                      <w:szCs w:val="21"/>
                    </w:rPr>
                    <w:t>定期委托</w:t>
                  </w:r>
                  <w:r>
                    <w:rPr>
                      <w:rFonts w:hint="eastAsia"/>
                      <w:szCs w:val="21"/>
                    </w:rPr>
                    <w:t>环卫部门清运处理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318" w:type="dxa"/>
                  <w:noWrap w:val="0"/>
                  <w:vAlign w:val="center"/>
                </w:tcPr>
                <w:p>
                  <w:pPr>
                    <w:jc w:val="center"/>
                    <w:rPr>
                      <w:b/>
                      <w:bCs/>
                      <w:szCs w:val="21"/>
                    </w:rPr>
                  </w:pPr>
                  <w:r>
                    <w:rPr>
                      <w:b/>
                      <w:bCs/>
                      <w:szCs w:val="21"/>
                    </w:rPr>
                    <w:t>土壤及地下水污染防治措施</w:t>
                  </w:r>
                </w:p>
              </w:tc>
              <w:tc>
                <w:tcPr>
                  <w:tcW w:w="7482" w:type="dxa"/>
                  <w:gridSpan w:val="4"/>
                  <w:noWrap w:val="0"/>
                  <w:vAlign w:val="center"/>
                </w:tcPr>
                <w:p>
                  <w:pPr>
                    <w:ind w:firstLine="420" w:firstLineChars="200"/>
                    <w:jc w:val="left"/>
                    <w:rPr>
                      <w:szCs w:val="21"/>
                    </w:rPr>
                  </w:pPr>
                  <w:r>
                    <w:rPr>
                      <w:szCs w:val="21"/>
                    </w:rPr>
                    <w:t>重点防渗区：</w:t>
                  </w:r>
                  <w:r>
                    <w:rPr>
                      <w:rFonts w:hint="eastAsia"/>
                      <w:szCs w:val="21"/>
                    </w:rPr>
                    <w:t>柴油库、化粪池、危废暂存间</w:t>
                  </w:r>
                  <w:r>
                    <w:rPr>
                      <w:bCs/>
                      <w:szCs w:val="21"/>
                    </w:rPr>
                    <w:t>，渗透系数≤10</w:t>
                  </w:r>
                  <w:r>
                    <w:rPr>
                      <w:bCs/>
                      <w:szCs w:val="21"/>
                      <w:vertAlign w:val="superscript"/>
                    </w:rPr>
                    <w:t>-10</w:t>
                  </w:r>
                  <w:r>
                    <w:rPr>
                      <w:bCs/>
                      <w:szCs w:val="21"/>
                    </w:rPr>
                    <w:t>cm/s（保存影像资料）</w:t>
                  </w:r>
                  <w:r>
                    <w:rPr>
                      <w:szCs w:val="21"/>
                    </w:rPr>
                    <w:t>；</w:t>
                  </w:r>
                </w:p>
                <w:p>
                  <w:pPr>
                    <w:ind w:firstLine="420" w:firstLineChars="200"/>
                    <w:jc w:val="left"/>
                    <w:rPr>
                      <w:rFonts w:hint="eastAsia"/>
                      <w:szCs w:val="21"/>
                    </w:rPr>
                  </w:pPr>
                  <w:r>
                    <w:rPr>
                      <w:szCs w:val="21"/>
                    </w:rPr>
                    <w:t>简单防渗区：</w:t>
                  </w:r>
                  <w:r>
                    <w:rPr>
                      <w:rFonts w:hint="eastAsia"/>
                      <w:szCs w:val="21"/>
                    </w:rPr>
                    <w:t>生产</w:t>
                  </w:r>
                  <w:r>
                    <w:rPr>
                      <w:szCs w:val="21"/>
                    </w:rPr>
                    <w:t>车间</w:t>
                  </w:r>
                  <w:r>
                    <w:rPr>
                      <w:rFonts w:hint="eastAsia"/>
                      <w:szCs w:val="21"/>
                    </w:rPr>
                    <w:t>及其他区域</w:t>
                  </w:r>
                  <w:r>
                    <w:rPr>
                      <w:szCs w:val="21"/>
                    </w:rPr>
                    <w:t>等</w:t>
                  </w: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318" w:type="dxa"/>
                  <w:noWrap w:val="0"/>
                  <w:vAlign w:val="center"/>
                </w:tcPr>
                <w:p>
                  <w:pPr>
                    <w:jc w:val="center"/>
                    <w:rPr>
                      <w:b/>
                      <w:bCs/>
                      <w:szCs w:val="21"/>
                    </w:rPr>
                  </w:pPr>
                  <w:r>
                    <w:rPr>
                      <w:b/>
                      <w:bCs/>
                      <w:szCs w:val="21"/>
                    </w:rPr>
                    <w:t>生态保护措施</w:t>
                  </w:r>
                </w:p>
              </w:tc>
              <w:tc>
                <w:tcPr>
                  <w:tcW w:w="7482" w:type="dxa"/>
                  <w:gridSpan w:val="4"/>
                  <w:noWrap w:val="0"/>
                  <w:vAlign w:val="center"/>
                </w:tcPr>
                <w:p>
                  <w:pPr>
                    <w:jc w:val="center"/>
                    <w:rPr>
                      <w:rFonts w:hint="eastAsia"/>
                      <w:szCs w:val="21"/>
                    </w:rPr>
                  </w:pPr>
                  <w:r>
                    <w:rPr>
                      <w:rFonts w:hint="eastAsia"/>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318" w:type="dxa"/>
                  <w:noWrap w:val="0"/>
                  <w:vAlign w:val="center"/>
                </w:tcPr>
                <w:p>
                  <w:pPr>
                    <w:jc w:val="center"/>
                    <w:rPr>
                      <w:b/>
                      <w:bCs/>
                      <w:spacing w:val="-8"/>
                      <w:szCs w:val="21"/>
                    </w:rPr>
                  </w:pPr>
                  <w:r>
                    <w:rPr>
                      <w:b/>
                      <w:bCs/>
                      <w:spacing w:val="-8"/>
                      <w:szCs w:val="21"/>
                    </w:rPr>
                    <w:t>环境风险</w:t>
                  </w:r>
                </w:p>
                <w:p>
                  <w:pPr>
                    <w:jc w:val="center"/>
                    <w:rPr>
                      <w:b/>
                      <w:bCs/>
                      <w:spacing w:val="-8"/>
                      <w:szCs w:val="21"/>
                    </w:rPr>
                  </w:pPr>
                  <w:r>
                    <w:rPr>
                      <w:b/>
                      <w:bCs/>
                      <w:spacing w:val="-8"/>
                      <w:szCs w:val="21"/>
                    </w:rPr>
                    <w:t>防范措施</w:t>
                  </w:r>
                </w:p>
              </w:tc>
              <w:tc>
                <w:tcPr>
                  <w:tcW w:w="7482" w:type="dxa"/>
                  <w:gridSpan w:val="4"/>
                  <w:noWrap w:val="0"/>
                  <w:vAlign w:val="center"/>
                </w:tcPr>
                <w:p>
                  <w:pPr>
                    <w:pStyle w:val="14"/>
                  </w:pPr>
                  <w:r>
                    <w:rPr>
                      <w:rFonts w:hint="eastAsia"/>
                    </w:rPr>
                    <w:t>①柴油储存间</w:t>
                  </w:r>
                </w:p>
                <w:p>
                  <w:pPr>
                    <w:pStyle w:val="14"/>
                    <w:rPr>
                      <w:rFonts w:hint="eastAsia"/>
                    </w:rPr>
                  </w:pPr>
                  <w:r>
                    <w:t>a</w:t>
                  </w:r>
                  <w:r>
                    <w:rPr>
                      <w:rFonts w:hint="eastAsia"/>
                    </w:rPr>
                    <w:t>、严格执行国家有关安全生产的规定，采取乙类生产、贮存的安全技术措施，遵守乙类工业设计防火规定和规范。</w:t>
                  </w:r>
                </w:p>
                <w:p>
                  <w:pPr>
                    <w:pStyle w:val="14"/>
                    <w:rPr>
                      <w:rFonts w:hint="eastAsia"/>
                    </w:rPr>
                  </w:pPr>
                  <w:r>
                    <w:t>b</w:t>
                  </w:r>
                  <w:r>
                    <w:rPr>
                      <w:rFonts w:hint="eastAsia"/>
                    </w:rPr>
                    <w:t>、建立健全安全生产责任制实行定期性安全检查，定期对油桶进行检修，及时发现事故隐患并迅速给以消除。</w:t>
                  </w:r>
                </w:p>
                <w:p>
                  <w:pPr>
                    <w:pStyle w:val="14"/>
                    <w:rPr>
                      <w:rFonts w:hint="eastAsia"/>
                    </w:rPr>
                  </w:pPr>
                  <w:r>
                    <w:rPr>
                      <w:rFonts w:hint="eastAsia"/>
                    </w:rPr>
                    <w:t>c、增强安全意识，加强安全教育，增强职工安全意识，认真贯彻安全法规和制度，防止人的错误行为，制定相应的应急措施。</w:t>
                  </w:r>
                </w:p>
                <w:p>
                  <w:pPr>
                    <w:pStyle w:val="14"/>
                  </w:pPr>
                  <w:r>
                    <w:rPr>
                      <w:rFonts w:hint="eastAsia"/>
                    </w:rPr>
                    <w:t>d、项目需在储存间柴油桶周围设置围堰对泄漏的柴油进行收集，收集后委托相关部门进行处理。</w:t>
                  </w:r>
                </w:p>
                <w:p>
                  <w:pPr>
                    <w:pStyle w:val="14"/>
                  </w:pPr>
                  <w:r>
                    <w:rPr>
                      <w:rFonts w:hint="eastAsia"/>
                    </w:rPr>
                    <w:t>②危废暂存间</w:t>
                  </w:r>
                </w:p>
                <w:p>
                  <w:pPr>
                    <w:pStyle w:val="14"/>
                    <w:rPr>
                      <w:rFonts w:hint="eastAsia"/>
                    </w:rPr>
                  </w:pPr>
                  <w:r>
                    <w:rPr>
                      <w:rFonts w:hint="eastAsia"/>
                    </w:rPr>
                    <w:t>a、建立健全安全生产责任制实行定期性安全检查，设置专人看守危废暂存间。</w:t>
                  </w:r>
                </w:p>
                <w:p>
                  <w:pPr>
                    <w:pStyle w:val="14"/>
                    <w:rPr>
                      <w:rFonts w:hint="eastAsia"/>
                    </w:rPr>
                  </w:pPr>
                  <w:r>
                    <w:rPr>
                      <w:rFonts w:hint="eastAsia"/>
                    </w:rPr>
                    <w:t>b、增强安全意识，加强安全教育，增强职工安全意识，认真贯彻安全法规和制度，防止人的错误行为，制定相应的应急措施。</w:t>
                  </w:r>
                </w:p>
                <w:p>
                  <w:pPr>
                    <w:jc w:val="left"/>
                    <w:rPr>
                      <w:rFonts w:hint="eastAsia"/>
                      <w:szCs w:val="21"/>
                    </w:rPr>
                  </w:pPr>
                  <w:r>
                    <w:rPr>
                      <w:rFonts w:hint="eastAsia" w:ascii="宋体" w:hAnsi="宋体" w:cs="宋体"/>
                      <w:snapToGrid w:val="0"/>
                      <w:szCs w:val="21"/>
                    </w:rPr>
                    <w:t>c、项目危废暂存间进行防渗，要求基础必须防渗，防渗层与至少2mm厚的其他人工材料，渗透系数≤1×10</w:t>
                  </w:r>
                  <w:r>
                    <w:rPr>
                      <w:rFonts w:hint="eastAsia" w:ascii="宋体" w:hAnsi="宋体" w:cs="宋体"/>
                      <w:snapToGrid w:val="0"/>
                      <w:szCs w:val="21"/>
                      <w:vertAlign w:val="superscript"/>
                    </w:rPr>
                    <w:t>-10</w:t>
                  </w:r>
                  <w:r>
                    <w:rPr>
                      <w:rFonts w:hint="eastAsia" w:ascii="宋体" w:hAnsi="宋体" w:cs="宋体"/>
                      <w:snapToGrid w:val="0"/>
                      <w:szCs w:val="21"/>
                    </w:rPr>
                    <w:t>cm/s，严格执行《危险废物贮存污染控制标准》的要求。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1318" w:type="dxa"/>
                  <w:noWrap w:val="0"/>
                  <w:vAlign w:val="center"/>
                </w:tcPr>
                <w:p>
                  <w:pPr>
                    <w:jc w:val="center"/>
                    <w:rPr>
                      <w:b/>
                      <w:bCs/>
                      <w:spacing w:val="-8"/>
                      <w:szCs w:val="21"/>
                    </w:rPr>
                  </w:pPr>
                  <w:r>
                    <w:rPr>
                      <w:b/>
                      <w:bCs/>
                      <w:spacing w:val="-8"/>
                      <w:szCs w:val="21"/>
                    </w:rPr>
                    <w:t>其他环境</w:t>
                  </w:r>
                </w:p>
                <w:p>
                  <w:pPr>
                    <w:jc w:val="center"/>
                    <w:rPr>
                      <w:b/>
                      <w:bCs/>
                      <w:spacing w:val="-8"/>
                      <w:szCs w:val="21"/>
                    </w:rPr>
                  </w:pPr>
                  <w:r>
                    <w:rPr>
                      <w:b/>
                      <w:bCs/>
                      <w:spacing w:val="-8"/>
                      <w:szCs w:val="21"/>
                    </w:rPr>
                    <w:t>管理要求</w:t>
                  </w:r>
                </w:p>
              </w:tc>
              <w:tc>
                <w:tcPr>
                  <w:tcW w:w="7482" w:type="dxa"/>
                  <w:gridSpan w:val="4"/>
                  <w:noWrap w:val="0"/>
                  <w:vAlign w:val="center"/>
                </w:tcPr>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）项目竣工环境保护验收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根据《建设项目环境保护管理条例》（国务院第682号令）、《建设项目竣工环境保护验收暂行办法》（国环规环评</w:t>
                  </w:r>
                  <w:r>
                    <w:rPr>
                      <w:rFonts w:hint="eastAsia" w:ascii="宋体" w:hAnsi="宋体" w:cs="宋体"/>
                      <w:szCs w:val="21"/>
                    </w:rPr>
                    <w:t>〔2</w:t>
                  </w:r>
                  <w:r>
                    <w:rPr>
                      <w:rFonts w:ascii="宋体" w:hAnsi="宋体" w:cs="宋体"/>
                      <w:szCs w:val="21"/>
                    </w:rPr>
                    <w:t>017</w:t>
                  </w:r>
                  <w:r>
                    <w:rPr>
                      <w:rFonts w:hint="eastAsia" w:ascii="宋体" w:hAnsi="宋体" w:cs="宋体"/>
                      <w:szCs w:val="21"/>
                    </w:rPr>
                    <w:t>〕</w:t>
                  </w:r>
                  <w:r>
                    <w:rPr>
                      <w:rFonts w:ascii="宋体" w:hAnsi="宋体" w:cs="宋体"/>
                      <w:szCs w:val="21"/>
                    </w:rPr>
                    <w:t>4号）的相关要求：项目建成后，应进行竣工环境保护验收，建设项目在试生产期间，建设单位应当依据环评文件及其审批意见，委托第三方机构或自行编制建设项目环境保护设施竣工验收报告，</w:t>
                  </w:r>
                  <w:r>
                    <w:rPr>
                      <w:rFonts w:hint="eastAsia" w:ascii="宋体" w:hAnsi="宋体" w:cs="宋体"/>
                      <w:szCs w:val="21"/>
                    </w:rPr>
                    <w:t>企业自行组织验收，</w:t>
                  </w:r>
                  <w:r>
                    <w:rPr>
                      <w:rFonts w:ascii="宋体" w:hAnsi="宋体" w:cs="宋体"/>
                      <w:szCs w:val="21"/>
                    </w:rPr>
                    <w:t>向社会公开并向环保部门备案。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建设项目需要配套建设的环境保护设施，必须与主体工程同时设计、同时施工、同步投产使用。建设单位应按照环境保护行政主管部门规定的标准和程序，对配套建设的环境保护设施进行验收，编制验收报告。除按照国家规定需要保密的情形外，建设单位应当依法向社会公开验收报告。建设项目配套建设的环境保护设施经验收合格，方可投入生产或者使用；未经验收或者验收不合格的，不得投入生产或者使用</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）排污许可</w:t>
                  </w:r>
                </w:p>
                <w:p>
                  <w:pPr>
                    <w:adjustRightInd w:val="0"/>
                    <w:snapToGrid w:val="0"/>
                    <w:spacing w:line="360" w:lineRule="auto"/>
                    <w:ind w:firstLine="420" w:firstLineChars="200"/>
                    <w:rPr>
                      <w:szCs w:val="21"/>
                    </w:rPr>
                  </w:pPr>
                  <w:r>
                    <w:rPr>
                      <w:szCs w:val="21"/>
                    </w:rPr>
                    <w:t>根据《关于做好环境影响评价制度与排污许可制衔接相关工作的通知》（环办环评〔2017〕84号），建设项目发生实际排污行为之前，排污单位应当按照国家环境保护相关法律法规以及排污许可证申请与核发技术规范要求申请排污许可证，不得无证排污或不按证排污。</w:t>
                  </w:r>
                </w:p>
                <w:p>
                  <w:pPr>
                    <w:adjustRightInd w:val="0"/>
                    <w:snapToGrid w:val="0"/>
                    <w:spacing w:line="360" w:lineRule="auto"/>
                    <w:ind w:firstLine="420" w:firstLineChars="200"/>
                    <w:rPr>
                      <w:szCs w:val="21"/>
                    </w:rPr>
                  </w:pPr>
                  <w:r>
                    <w:rPr>
                      <w:szCs w:val="21"/>
                    </w:rPr>
                    <w:t>根据《固定污染源排污许可分类管理名录（2019年版）》，本项目属于</w:t>
                  </w:r>
                  <w:r>
                    <w:rPr>
                      <w:b/>
                      <w:bCs/>
                      <w:szCs w:val="21"/>
                    </w:rPr>
                    <w:t>“</w:t>
                  </w:r>
                  <w:r>
                    <w:rPr>
                      <w:rFonts w:hint="eastAsia"/>
                      <w:b/>
                      <w:bCs/>
                      <w:szCs w:val="21"/>
                    </w:rPr>
                    <w:t>二十五、非金属矿物制品业 30</w:t>
                  </w:r>
                  <w:r>
                    <w:rPr>
                      <w:b/>
                      <w:bCs/>
                      <w:szCs w:val="21"/>
                    </w:rPr>
                    <w:t>—63</w:t>
                  </w:r>
                  <w:r>
                    <w:rPr>
                      <w:rFonts w:hint="eastAsia"/>
                      <w:b/>
                      <w:bCs/>
                      <w:szCs w:val="21"/>
                    </w:rPr>
                    <w:t>、水泥、石灰和石膏制造 301，石膏、水泥制品及类似制品制造 302</w:t>
                  </w:r>
                  <w:r>
                    <w:rPr>
                      <w:b/>
                      <w:bCs/>
                      <w:szCs w:val="21"/>
                    </w:rPr>
                    <w:t>—</w:t>
                  </w:r>
                  <w:r>
                    <w:rPr>
                      <w:rFonts w:hint="eastAsia"/>
                      <w:b/>
                      <w:bCs/>
                      <w:szCs w:val="21"/>
                    </w:rPr>
                    <w:t>水泥制品制造 3021</w:t>
                  </w:r>
                  <w:r>
                    <w:rPr>
                      <w:b/>
                      <w:bCs/>
                      <w:szCs w:val="21"/>
                    </w:rPr>
                    <w:t>*”</w:t>
                  </w:r>
                  <w:r>
                    <w:rPr>
                      <w:szCs w:val="21"/>
                    </w:rPr>
                    <w:t>，项目属于登记管理的项目。</w:t>
                  </w:r>
                </w:p>
                <w:p>
                  <w:pPr>
                    <w:adjustRightInd w:val="0"/>
                    <w:snapToGrid w:val="0"/>
                    <w:spacing w:line="360" w:lineRule="auto"/>
                    <w:ind w:firstLine="420" w:firstLineChars="200"/>
                    <w:jc w:val="left"/>
                    <w:rPr>
                      <w:rFonts w:ascii="宋体" w:hAnsi="宋体" w:cs="宋体"/>
                      <w:szCs w:val="21"/>
                    </w:rPr>
                  </w:pPr>
                  <w:r>
                    <w:rPr>
                      <w:szCs w:val="21"/>
                    </w:rPr>
                    <w:t>综合分析，项目应当在（http://permit.mee.gov.cn/）全国排污许可证管理信息平台填报排污登记表，登记基本信息、污染物排放去向、执行的污染物排放标准以及采取的污染防治措施等信息</w:t>
                  </w:r>
                  <w:r>
                    <w:rPr>
                      <w:rFonts w:hint="eastAsia" w:ascii="宋体" w:hAnsi="宋体" w:cs="宋体"/>
                      <w:szCs w:val="21"/>
                    </w:rPr>
                    <w:t>。</w:t>
                  </w:r>
                </w:p>
                <w:p>
                  <w:pPr>
                    <w:pStyle w:val="15"/>
                    <w:ind w:firstLine="420"/>
                  </w:pPr>
                </w:p>
                <w:p>
                  <w:pPr>
                    <w:pStyle w:val="15"/>
                    <w:ind w:firstLine="420"/>
                  </w:pPr>
                </w:p>
                <w:p>
                  <w:pPr>
                    <w:pStyle w:val="15"/>
                    <w:ind w:firstLine="420"/>
                  </w:pPr>
                </w:p>
                <w:p>
                  <w:pPr>
                    <w:pStyle w:val="15"/>
                    <w:ind w:firstLine="420"/>
                  </w:pPr>
                </w:p>
                <w:p>
                  <w:pPr>
                    <w:pStyle w:val="15"/>
                    <w:ind w:firstLine="0" w:firstLineChars="0"/>
                    <w:rPr>
                      <w:rFonts w:hint="eastAsia"/>
                    </w:rPr>
                  </w:pP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FED8FB"/>
    <w:multiLevelType w:val="singleLevel"/>
    <w:tmpl w:val="1FFED8FB"/>
    <w:lvl w:ilvl="0" w:tentative="0">
      <w:start w:val="1"/>
      <w:numFmt w:val="bullet"/>
      <w:pStyle w:val="7"/>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666437"/>
    <w:rsid w:val="0989468D"/>
    <w:rsid w:val="0D75484E"/>
    <w:rsid w:val="0E5863A6"/>
    <w:rsid w:val="11484B39"/>
    <w:rsid w:val="14C94390"/>
    <w:rsid w:val="15AF630E"/>
    <w:rsid w:val="176F7B69"/>
    <w:rsid w:val="1C800DED"/>
    <w:rsid w:val="1D827358"/>
    <w:rsid w:val="1DE51BD3"/>
    <w:rsid w:val="1E572C23"/>
    <w:rsid w:val="1F0C1C14"/>
    <w:rsid w:val="22740BEC"/>
    <w:rsid w:val="2582154E"/>
    <w:rsid w:val="2703457D"/>
    <w:rsid w:val="2F360CFB"/>
    <w:rsid w:val="2F4740AB"/>
    <w:rsid w:val="2FC07975"/>
    <w:rsid w:val="326C0058"/>
    <w:rsid w:val="32B17DDB"/>
    <w:rsid w:val="330632BA"/>
    <w:rsid w:val="33CA252A"/>
    <w:rsid w:val="34DB165D"/>
    <w:rsid w:val="36076C9A"/>
    <w:rsid w:val="36326B13"/>
    <w:rsid w:val="38275498"/>
    <w:rsid w:val="3AF44E0C"/>
    <w:rsid w:val="3B834A7C"/>
    <w:rsid w:val="3BB93FFE"/>
    <w:rsid w:val="3D657E62"/>
    <w:rsid w:val="3D81346E"/>
    <w:rsid w:val="40E5693C"/>
    <w:rsid w:val="42B1592A"/>
    <w:rsid w:val="42F65232"/>
    <w:rsid w:val="43B23412"/>
    <w:rsid w:val="472B1A05"/>
    <w:rsid w:val="48873DB8"/>
    <w:rsid w:val="4AAF22C7"/>
    <w:rsid w:val="4DE6289A"/>
    <w:rsid w:val="4FE171BC"/>
    <w:rsid w:val="531743B1"/>
    <w:rsid w:val="533073F3"/>
    <w:rsid w:val="57D5566E"/>
    <w:rsid w:val="594D6B86"/>
    <w:rsid w:val="59B35B52"/>
    <w:rsid w:val="59EC129F"/>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3562A17"/>
    <w:rsid w:val="76FE1467"/>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8607"/>
      </w:tabs>
      <w:ind w:firstLine="420"/>
    </w:pPr>
  </w:style>
  <w:style w:type="paragraph" w:styleId="3">
    <w:name w:val="Body Text Indent"/>
    <w:basedOn w:val="1"/>
    <w:next w:val="4"/>
    <w:qFormat/>
    <w:uiPriority w:val="0"/>
    <w:pPr>
      <w:tabs>
        <w:tab w:val="left" w:pos="8607"/>
      </w:tabs>
      <w:spacing w:line="400" w:lineRule="exact"/>
      <w:ind w:firstLine="556"/>
    </w:pPr>
    <w:rPr>
      <w:sz w:val="28"/>
    </w:rPr>
  </w:style>
  <w:style w:type="paragraph" w:customStyle="1" w:styleId="4">
    <w:name w:val="样式 正文文本缩进 + 行距: 1.5 倍行距"/>
    <w:basedOn w:val="3"/>
    <w:qFormat/>
    <w:uiPriority w:val="0"/>
    <w:pPr>
      <w:spacing w:line="360" w:lineRule="auto"/>
      <w:ind w:left="0" w:leftChars="0" w:firstLine="560" w:firstLineChars="200"/>
    </w:pPr>
    <w:rPr>
      <w:rFonts w:cs="宋体"/>
      <w:b/>
      <w:bCs/>
      <w:sz w:val="28"/>
      <w:szCs w:val="20"/>
    </w:rPr>
  </w:style>
  <w:style w:type="paragraph" w:styleId="5">
    <w:name w:val="Body Text First Indent"/>
    <w:basedOn w:val="6"/>
    <w:next w:val="1"/>
    <w:qFormat/>
    <w:uiPriority w:val="0"/>
    <w:pPr>
      <w:spacing w:after="120" w:line="240" w:lineRule="auto"/>
      <w:ind w:firstLine="420" w:firstLineChars="100"/>
      <w:jc w:val="both"/>
    </w:pPr>
  </w:style>
  <w:style w:type="paragraph" w:styleId="6">
    <w:name w:val="Body Text"/>
    <w:basedOn w:val="1"/>
    <w:next w:val="7"/>
    <w:qFormat/>
    <w:uiPriority w:val="0"/>
    <w:pPr>
      <w:spacing w:line="460" w:lineRule="exact"/>
      <w:jc w:val="center"/>
    </w:pPr>
    <w:rPr>
      <w:color w:val="000000"/>
      <w:w w:val="90"/>
      <w:sz w:val="24"/>
      <w:szCs w:val="20"/>
    </w:rPr>
  </w:style>
  <w:style w:type="paragraph" w:styleId="7">
    <w:name w:val="List Bullet 5"/>
    <w:basedOn w:val="1"/>
    <w:qFormat/>
    <w:uiPriority w:val="0"/>
    <w:pPr>
      <w:numPr>
        <w:ilvl w:val="0"/>
        <w:numId w:val="1"/>
      </w:numPr>
    </w:pPr>
  </w:style>
  <w:style w:type="paragraph" w:styleId="8">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XXXXX"/>
    <w:basedOn w:val="1"/>
    <w:qFormat/>
    <w:uiPriority w:val="0"/>
    <w:pPr>
      <w:spacing w:line="440" w:lineRule="exact"/>
      <w:ind w:firstLine="1526" w:firstLineChars="200"/>
    </w:pPr>
    <w:rPr>
      <w:rFonts w:ascii="Times New Roman" w:hAnsi="Times New Roman" w:eastAsia="宋体"/>
      <w:sz w:val="24"/>
    </w:rPr>
  </w:style>
  <w:style w:type="paragraph" w:customStyle="1" w:styleId="14">
    <w:name w:val="表内容"/>
    <w:basedOn w:val="1"/>
    <w:unhideWhenUsed/>
    <w:qFormat/>
    <w:uiPriority w:val="0"/>
    <w:pPr>
      <w:adjustRightInd w:val="0"/>
      <w:snapToGrid w:val="0"/>
    </w:pPr>
    <w:rPr>
      <w:rFonts w:ascii="宋体" w:hAnsi="宋体" w:cs="宋体"/>
      <w:snapToGrid w:val="0"/>
      <w:szCs w:val="21"/>
    </w:rPr>
  </w:style>
  <w:style w:type="paragraph" w:customStyle="1" w:styleId="15">
    <w:name w:val="标准正文"/>
    <w:basedOn w:val="1"/>
    <w:qFormat/>
    <w:uiPriority w:val="0"/>
    <w:pPr>
      <w:spacing w:line="360" w:lineRule="auto"/>
      <w:ind w:firstLine="480" w:firstLineChars="200"/>
    </w:pPr>
    <w:rPr>
      <w:rFonts w:ascii="Times New Roman"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2022-03-28T07:32:57Z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EEB85C17109F465282E8EB4C3D8B7677</vt:lpwstr>
  </property>
</Properties>
</file>