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highlight w:val="none"/>
          <w:shd w:val="clear" w:color="auto" w:fill="FFFFFF"/>
          <w:lang w:eastAsia="zh-CN"/>
        </w:rPr>
      </w:pPr>
      <w:bookmarkStart w:id="0" w:name="_GoBack"/>
      <w:bookmarkEnd w:id="0"/>
      <w:r>
        <w:rPr>
          <w:rFonts w:hint="eastAsia" w:ascii="Times New Roman" w:hAnsi="Times New Roman" w:eastAsia="方正小标宋_GBK" w:cs="Times New Roman"/>
          <w:spacing w:val="-20"/>
          <w:sz w:val="44"/>
          <w:szCs w:val="44"/>
          <w:highlight w:val="none"/>
          <w:lang w:eastAsia="zh-CN"/>
        </w:rPr>
        <w:t>西畴县预拌干混新型砂浆生产建设项目环境影响评价</w:t>
      </w:r>
      <w:r>
        <w:rPr>
          <w:rFonts w:hint="eastAsia" w:eastAsia="方正小标宋_GBK" w:cs="Times New Roman"/>
          <w:spacing w:val="-20"/>
          <w:sz w:val="44"/>
          <w:szCs w:val="44"/>
          <w:highlight w:val="none"/>
          <w:lang w:eastAsia="zh-CN"/>
        </w:rPr>
        <w:t>拟审批公示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000000"/>
          <w:sz w:val="32"/>
          <w:szCs w:val="32"/>
          <w:highlight w:val="none"/>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highlight w:val="none"/>
          <w:shd w:val="clear" w:color="auto" w:fill="FFFFFF"/>
          <w:lang w:eastAsia="zh-CN"/>
        </w:rPr>
      </w:pPr>
      <w:r>
        <w:rPr>
          <w:rFonts w:hint="eastAsia" w:ascii="仿宋" w:hAnsi="仿宋" w:eastAsia="仿宋" w:cs="方正仿宋简体"/>
          <w:color w:val="000000"/>
          <w:sz w:val="32"/>
          <w:szCs w:val="32"/>
          <w:highlight w:val="none"/>
          <w:shd w:val="clear" w:color="auto" w:fill="FFFFFF"/>
          <w:lang w:eastAsia="zh-CN"/>
        </w:rPr>
        <w:t>我局拟对《西畴县预拌干混新型砂浆生产建设项目环</w:t>
      </w:r>
      <w:r>
        <w:rPr>
          <w:rFonts w:hint="default" w:ascii="仿宋" w:hAnsi="仿宋" w:eastAsia="仿宋" w:cs="方正仿宋简体"/>
          <w:color w:val="000000"/>
          <w:sz w:val="32"/>
          <w:szCs w:val="32"/>
          <w:highlight w:val="none"/>
          <w:shd w:val="clear" w:color="auto" w:fill="FFFFFF"/>
          <w:lang w:eastAsia="zh-CN"/>
        </w:rPr>
        <w:t>境影响</w:t>
      </w:r>
      <w:r>
        <w:rPr>
          <w:rFonts w:hint="eastAsia" w:ascii="仿宋" w:hAnsi="仿宋" w:eastAsia="仿宋" w:cs="方正仿宋简体"/>
          <w:color w:val="000000"/>
          <w:sz w:val="32"/>
          <w:szCs w:val="32"/>
          <w:highlight w:val="none"/>
          <w:shd w:val="clear" w:color="auto" w:fill="FFFFFF"/>
          <w:lang w:eastAsia="zh-CN"/>
        </w:rPr>
        <w:t>报告表》进行审批，现就项目环评相关情况予以公示。如有意见</w:t>
      </w:r>
      <w:r>
        <w:rPr>
          <w:rFonts w:hint="default" w:ascii="Times New Roman" w:hAnsi="Times New Roman" w:eastAsia="仿宋" w:cs="Times New Roman"/>
          <w:color w:val="000000"/>
          <w:sz w:val="32"/>
          <w:szCs w:val="32"/>
          <w:highlight w:val="none"/>
          <w:shd w:val="clear" w:color="auto" w:fill="FFFFFF"/>
          <w:lang w:eastAsia="zh-CN"/>
        </w:rPr>
        <w:t>，请在公示期内向我局来信来电进行反映。</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highlight w:val="none"/>
          <w:shd w:val="clear" w:color="auto" w:fill="FFFFFF"/>
          <w:lang w:eastAsia="zh-CN"/>
        </w:rPr>
      </w:pPr>
      <w:r>
        <w:rPr>
          <w:rFonts w:hint="default" w:ascii="Times New Roman" w:hAnsi="Times New Roman" w:eastAsia="仿宋" w:cs="Times New Roman"/>
          <w:color w:val="000000"/>
          <w:sz w:val="32"/>
          <w:szCs w:val="32"/>
          <w:highlight w:val="none"/>
          <w:shd w:val="clear" w:color="auto" w:fill="FFFFFF"/>
          <w:lang w:eastAsia="zh-CN"/>
        </w:rPr>
        <w:t>公示期：202</w:t>
      </w:r>
      <w:r>
        <w:rPr>
          <w:rFonts w:hint="eastAsia" w:ascii="Times New Roman" w:hAnsi="Times New Roman" w:eastAsia="仿宋" w:cs="Times New Roman"/>
          <w:color w:val="000000"/>
          <w:sz w:val="32"/>
          <w:szCs w:val="32"/>
          <w:highlight w:val="none"/>
          <w:shd w:val="clear" w:color="auto" w:fill="FFFFFF"/>
          <w:lang w:val="en-US" w:eastAsia="zh-CN"/>
        </w:rPr>
        <w:t>2</w:t>
      </w:r>
      <w:r>
        <w:rPr>
          <w:rFonts w:hint="default" w:ascii="Times New Roman" w:hAnsi="Times New Roman" w:eastAsia="仿宋" w:cs="Times New Roman"/>
          <w:color w:val="000000"/>
          <w:sz w:val="32"/>
          <w:szCs w:val="32"/>
          <w:highlight w:val="none"/>
          <w:shd w:val="clear" w:color="auto" w:fill="FFFFFF"/>
          <w:lang w:eastAsia="zh-CN"/>
        </w:rPr>
        <w:t>年</w:t>
      </w:r>
      <w:r>
        <w:rPr>
          <w:rFonts w:hint="eastAsia" w:ascii="Times New Roman" w:hAnsi="Times New Roman" w:eastAsia="仿宋" w:cs="Times New Roman"/>
          <w:color w:val="000000"/>
          <w:sz w:val="32"/>
          <w:szCs w:val="32"/>
          <w:highlight w:val="none"/>
          <w:shd w:val="clear" w:color="auto" w:fill="FFFFFF"/>
          <w:lang w:val="en-US" w:eastAsia="zh-CN"/>
        </w:rPr>
        <w:t>3</w:t>
      </w:r>
      <w:r>
        <w:rPr>
          <w:rFonts w:hint="default" w:ascii="Times New Roman" w:hAnsi="Times New Roman" w:eastAsia="仿宋" w:cs="Times New Roman"/>
          <w:color w:val="000000"/>
          <w:sz w:val="32"/>
          <w:szCs w:val="32"/>
          <w:highlight w:val="none"/>
          <w:shd w:val="clear" w:color="auto" w:fill="FFFFFF"/>
          <w:lang w:eastAsia="zh-CN"/>
        </w:rPr>
        <w:t>月</w:t>
      </w:r>
      <w:r>
        <w:rPr>
          <w:rFonts w:hint="eastAsia" w:ascii="Times New Roman" w:hAnsi="Times New Roman" w:eastAsia="仿宋" w:cs="Times New Roman"/>
          <w:color w:val="000000"/>
          <w:sz w:val="32"/>
          <w:szCs w:val="32"/>
          <w:highlight w:val="none"/>
          <w:shd w:val="clear" w:color="auto" w:fill="FFFFFF"/>
          <w:lang w:val="en-US" w:eastAsia="zh-CN"/>
        </w:rPr>
        <w:t>1</w:t>
      </w:r>
      <w:r>
        <w:rPr>
          <w:rFonts w:hint="default" w:ascii="Times New Roman" w:hAnsi="Times New Roman" w:eastAsia="仿宋" w:cs="Times New Roman"/>
          <w:color w:val="000000"/>
          <w:sz w:val="32"/>
          <w:szCs w:val="32"/>
          <w:highlight w:val="none"/>
          <w:shd w:val="clear" w:color="auto" w:fill="FFFFFF"/>
          <w:lang w:eastAsia="zh-CN"/>
        </w:rPr>
        <w:t>日至20</w:t>
      </w:r>
      <w:r>
        <w:rPr>
          <w:rFonts w:hint="eastAsia" w:ascii="Times New Roman" w:hAnsi="Times New Roman" w:eastAsia="仿宋" w:cs="Times New Roman"/>
          <w:color w:val="000000"/>
          <w:sz w:val="32"/>
          <w:szCs w:val="32"/>
          <w:highlight w:val="none"/>
          <w:shd w:val="clear" w:color="auto" w:fill="FFFFFF"/>
          <w:lang w:val="en-US" w:eastAsia="zh-CN"/>
        </w:rPr>
        <w:t>22</w:t>
      </w:r>
      <w:r>
        <w:rPr>
          <w:rFonts w:hint="default" w:ascii="Times New Roman" w:hAnsi="Times New Roman" w:eastAsia="仿宋" w:cs="Times New Roman"/>
          <w:color w:val="000000"/>
          <w:sz w:val="32"/>
          <w:szCs w:val="32"/>
          <w:highlight w:val="none"/>
          <w:shd w:val="clear" w:color="auto" w:fill="FFFFFF"/>
          <w:lang w:eastAsia="zh-CN"/>
        </w:rPr>
        <w:t>年</w:t>
      </w:r>
      <w:r>
        <w:rPr>
          <w:rFonts w:hint="eastAsia" w:ascii="Times New Roman" w:hAnsi="Times New Roman" w:eastAsia="仿宋" w:cs="Times New Roman"/>
          <w:color w:val="000000"/>
          <w:sz w:val="32"/>
          <w:szCs w:val="32"/>
          <w:highlight w:val="none"/>
          <w:shd w:val="clear" w:color="auto" w:fill="FFFFFF"/>
          <w:lang w:val="en-US" w:eastAsia="zh-CN"/>
        </w:rPr>
        <w:t>3</w:t>
      </w:r>
      <w:r>
        <w:rPr>
          <w:rFonts w:hint="default" w:ascii="Times New Roman" w:hAnsi="Times New Roman" w:eastAsia="仿宋" w:cs="Times New Roman"/>
          <w:color w:val="000000"/>
          <w:sz w:val="32"/>
          <w:szCs w:val="32"/>
          <w:highlight w:val="none"/>
          <w:shd w:val="clear" w:color="auto" w:fill="FFFFFF"/>
          <w:lang w:eastAsia="zh-CN"/>
        </w:rPr>
        <w:t>月</w:t>
      </w:r>
      <w:r>
        <w:rPr>
          <w:rFonts w:hint="eastAsia" w:ascii="Times New Roman" w:hAnsi="Times New Roman" w:eastAsia="仿宋" w:cs="Times New Roman"/>
          <w:color w:val="000000"/>
          <w:sz w:val="32"/>
          <w:szCs w:val="32"/>
          <w:highlight w:val="none"/>
          <w:shd w:val="clear" w:color="auto" w:fill="FFFFFF"/>
          <w:lang w:val="en-US" w:eastAsia="zh-CN"/>
        </w:rPr>
        <w:t>7</w:t>
      </w:r>
      <w:r>
        <w:rPr>
          <w:rFonts w:hint="default" w:ascii="Times New Roman" w:hAnsi="Times New Roman" w:eastAsia="仿宋" w:cs="Times New Roman"/>
          <w:color w:val="000000"/>
          <w:sz w:val="32"/>
          <w:szCs w:val="32"/>
          <w:highlight w:val="none"/>
          <w:shd w:val="clear" w:color="auto" w:fill="FFFFFF"/>
          <w:lang w:eastAsia="zh-CN"/>
        </w:rPr>
        <w:t>日</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highlight w:val="none"/>
          <w:shd w:val="clear" w:color="auto" w:fill="FFFFFF"/>
          <w:lang w:eastAsia="zh-CN"/>
        </w:rPr>
      </w:pPr>
      <w:r>
        <w:rPr>
          <w:rFonts w:hint="default" w:ascii="Times New Roman" w:hAnsi="Times New Roman" w:eastAsia="仿宋" w:cs="Times New Roman"/>
          <w:color w:val="000000"/>
          <w:sz w:val="32"/>
          <w:szCs w:val="32"/>
          <w:highlight w:val="none"/>
          <w:shd w:val="clear" w:color="auto" w:fill="FFFFFF"/>
          <w:lang w:eastAsia="zh-CN"/>
        </w:rPr>
        <w:t>联系地址：文山州生态环境局西畴分局法规与行政审批股</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highlight w:val="none"/>
          <w:shd w:val="clear" w:color="auto" w:fill="FFFFFF"/>
          <w:lang w:eastAsia="zh-CN"/>
        </w:rPr>
      </w:pPr>
      <w:r>
        <w:rPr>
          <w:rFonts w:hint="default" w:ascii="Times New Roman" w:hAnsi="Times New Roman" w:eastAsia="仿宋" w:cs="Times New Roman"/>
          <w:color w:val="000000"/>
          <w:sz w:val="32"/>
          <w:szCs w:val="32"/>
          <w:highlight w:val="none"/>
          <w:shd w:val="clear" w:color="auto" w:fill="FFFFFF"/>
          <w:lang w:eastAsia="zh-CN"/>
        </w:rPr>
        <w:t>联系电话：0876-3032248</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highlight w:val="none"/>
          <w:shd w:val="clear" w:color="auto" w:fill="FFFFFF"/>
          <w:lang w:eastAsia="zh-CN"/>
        </w:rPr>
      </w:pPr>
      <w:r>
        <w:rPr>
          <w:rFonts w:hint="default" w:ascii="Times New Roman" w:hAnsi="Times New Roman" w:eastAsia="仿宋" w:cs="Times New Roman"/>
          <w:color w:val="000000"/>
          <w:sz w:val="32"/>
          <w:szCs w:val="32"/>
          <w:highlight w:val="none"/>
          <w:shd w:val="clear" w:color="auto" w:fill="FFFFFF"/>
          <w:lang w:eastAsia="zh-CN"/>
        </w:rPr>
        <w:t>听证告知：依据《中华人民共和国行政许可法》，自公示之日起五个工作日内申请人、利害关系人可对以下拟作出的建设项目环境影响评价文件批复决定提出听证申请。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highlight w:val="none"/>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文山州生态环境局西畴分局</w:t>
      </w:r>
    </w:p>
    <w:p>
      <w:pPr>
        <w:keepNext w:val="0"/>
        <w:keepLines w:val="0"/>
        <w:pageBreakBefore w:val="0"/>
        <w:widowControl w:val="0"/>
        <w:kinsoku/>
        <w:wordWrap w:val="0"/>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bCs/>
          <w:sz w:val="32"/>
          <w:szCs w:val="32"/>
          <w:highlight w:val="none"/>
        </w:rPr>
        <w:t>20</w:t>
      </w:r>
      <w:r>
        <w:rPr>
          <w:rFonts w:hint="eastAsia" w:ascii="Times New Roman" w:hAnsi="Times New Roman" w:eastAsia="方正仿宋_GBK" w:cs="Times New Roman"/>
          <w:bCs/>
          <w:sz w:val="32"/>
          <w:szCs w:val="32"/>
          <w:highlight w:val="none"/>
          <w:lang w:val="en-US" w:eastAsia="zh-CN"/>
        </w:rPr>
        <w:t>22</w:t>
      </w:r>
      <w:r>
        <w:rPr>
          <w:rFonts w:hint="default" w:ascii="Times New Roman" w:hAnsi="Times New Roman" w:eastAsia="方正仿宋_GBK" w:cs="Times New Roman"/>
          <w:bCs/>
          <w:sz w:val="32"/>
          <w:szCs w:val="32"/>
          <w:highlight w:val="none"/>
        </w:rPr>
        <w:t>年</w:t>
      </w:r>
      <w:r>
        <w:rPr>
          <w:rFonts w:hint="eastAsia" w:ascii="Times New Roman" w:hAnsi="Times New Roman" w:eastAsia="方正仿宋_GBK" w:cs="Times New Roman"/>
          <w:bCs/>
          <w:sz w:val="32"/>
          <w:szCs w:val="32"/>
          <w:highlight w:val="none"/>
          <w:lang w:val="en-US" w:eastAsia="zh-CN"/>
        </w:rPr>
        <w:t>3</w:t>
      </w:r>
      <w:r>
        <w:rPr>
          <w:rFonts w:hint="default" w:ascii="Times New Roman" w:hAnsi="Times New Roman" w:eastAsia="方正仿宋_GBK" w:cs="Times New Roman"/>
          <w:bCs/>
          <w:sz w:val="32"/>
          <w:szCs w:val="32"/>
          <w:highlight w:val="none"/>
        </w:rPr>
        <w:t>月</w:t>
      </w:r>
      <w:r>
        <w:rPr>
          <w:rFonts w:hint="eastAsia" w:ascii="Times New Roman" w:hAnsi="Times New Roman" w:eastAsia="方正仿宋_GBK" w:cs="Times New Roman"/>
          <w:bCs/>
          <w:sz w:val="32"/>
          <w:szCs w:val="32"/>
          <w:highlight w:val="none"/>
          <w:lang w:val="en-US" w:eastAsia="zh-CN"/>
        </w:rPr>
        <w:t>1</w:t>
      </w:r>
      <w:r>
        <w:rPr>
          <w:rFonts w:hint="default" w:ascii="Times New Roman" w:hAnsi="Times New Roman" w:eastAsia="方正仿宋_GBK" w:cs="Times New Roman"/>
          <w:bCs/>
          <w:sz w:val="32"/>
          <w:szCs w:val="32"/>
          <w:highlight w:val="none"/>
        </w:rPr>
        <w:t>日</w:t>
      </w:r>
      <w:r>
        <w:rPr>
          <w:rFonts w:hint="eastAsia" w:ascii="Times New Roman" w:hAnsi="Times New Roman" w:eastAsia="方正仿宋_GBK" w:cs="Times New Roman"/>
          <w:bCs/>
          <w:sz w:val="32"/>
          <w:szCs w:val="32"/>
          <w:highlight w:val="none"/>
          <w:lang w:val="en-US" w:eastAsia="zh-CN"/>
        </w:rPr>
        <w:t xml:space="preserve">   </w:t>
      </w:r>
    </w:p>
    <w:p>
      <w:pPr>
        <w:rPr>
          <w:rFonts w:hint="eastAsia"/>
          <w:highlight w:val="none"/>
        </w:rPr>
      </w:pPr>
    </w:p>
    <w:p>
      <w:pPr>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br w:type="page"/>
      </w:r>
    </w:p>
    <w:tbl>
      <w:tblPr>
        <w:tblStyle w:val="10"/>
        <w:tblW w:w="1027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952"/>
        <w:gridCol w:w="9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046" w:hRule="atLeast"/>
        </w:trPr>
        <w:tc>
          <w:tcPr>
            <w:tcW w:w="952"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建设地点</w:t>
            </w:r>
          </w:p>
        </w:tc>
        <w:tc>
          <w:tcPr>
            <w:tcW w:w="9327"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b/>
                <w:bCs/>
                <w:color w:val="000000"/>
                <w:sz w:val="24"/>
                <w:szCs w:val="24"/>
                <w:highlight w:val="none"/>
                <w:shd w:val="clear" w:color="auto" w:fill="FFFFFF"/>
                <w:lang w:eastAsia="zh-CN"/>
              </w:rPr>
            </w:pPr>
            <w:r>
              <w:rPr>
                <w:rFonts w:hint="eastAsia" w:ascii="Times New Roman" w:hAnsi="Times New Roman" w:eastAsia="方正仿宋_GBK" w:cs="Times New Roman"/>
                <w:b/>
                <w:bCs/>
                <w:color w:val="000000"/>
                <w:sz w:val="24"/>
                <w:szCs w:val="24"/>
                <w:highlight w:val="none"/>
                <w:shd w:val="clear" w:color="auto" w:fill="FFFFFF"/>
                <w:lang w:eastAsia="zh-CN"/>
              </w:rPr>
              <w:t>云南省文山州西畴县兴街镇乡兴街出口贸易加工区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752" w:hRule="atLeast"/>
        </w:trPr>
        <w:tc>
          <w:tcPr>
            <w:tcW w:w="952"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建设单位</w:t>
            </w:r>
          </w:p>
        </w:tc>
        <w:tc>
          <w:tcPr>
            <w:tcW w:w="9327"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eastAsia="zh-CN"/>
              </w:rPr>
              <w:t>云南奥斯迪易新型建材有限公司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918" w:hRule="atLeast"/>
        </w:trPr>
        <w:tc>
          <w:tcPr>
            <w:tcW w:w="952"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环境影响评价机构</w:t>
            </w:r>
          </w:p>
        </w:tc>
        <w:tc>
          <w:tcPr>
            <w:tcW w:w="9327"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sz w:val="24"/>
                <w:szCs w:val="24"/>
                <w:highlight w:val="none"/>
                <w:shd w:val="clear" w:color="auto" w:fill="FFFFFF"/>
                <w:lang w:val="en-US" w:eastAsia="zh-CN"/>
              </w:rPr>
            </w:pPr>
            <w:r>
              <w:rPr>
                <w:rFonts w:hint="eastAsia" w:ascii="Times New Roman" w:hAnsi="Times New Roman" w:eastAsia="方正仿宋_GBK" w:cs="Times New Roman"/>
                <w:color w:val="000000"/>
                <w:sz w:val="24"/>
                <w:szCs w:val="24"/>
                <w:highlight w:val="none"/>
                <w:shd w:val="clear" w:color="auto" w:fill="FFFFFF"/>
                <w:lang w:val="en-US" w:eastAsia="zh-CN"/>
              </w:rPr>
              <w:t>丽江智德环境咨询有限公司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0545" w:hRule="atLeast"/>
        </w:trPr>
        <w:tc>
          <w:tcPr>
            <w:tcW w:w="952"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default" w:ascii="Times New Roman" w:hAnsi="Times New Roman" w:eastAsia="方正仿宋_GBK" w:cs="Times New Roman"/>
                <w:color w:val="000000"/>
                <w:sz w:val="24"/>
                <w:szCs w:val="24"/>
                <w:highlight w:val="none"/>
                <w:shd w:val="clear" w:color="auto" w:fill="FFFFFF"/>
                <w:lang w:eastAsia="zh-CN"/>
              </w:rPr>
              <w:t>项目概况</w:t>
            </w:r>
          </w:p>
        </w:tc>
        <w:tc>
          <w:tcPr>
            <w:tcW w:w="9327" w:type="dxa"/>
            <w:shd w:val="clear" w:color="auto" w:fill="FFFFFF"/>
            <w:tcMar>
              <w:top w:w="0" w:type="dxa"/>
              <w:left w:w="108" w:type="dxa"/>
              <w:bottom w:w="0" w:type="dxa"/>
              <w:right w:w="108" w:type="dxa"/>
            </w:tcMar>
            <w:vAlign w:val="top"/>
          </w:tcPr>
          <w:p>
            <w:pPr>
              <w:pStyle w:val="14"/>
              <w:bidi w:val="0"/>
              <w:ind w:left="0" w:leftChars="0" w:firstLine="480" w:firstLineChars="200"/>
              <w:jc w:val="lef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cs="Times New Roman"/>
                <w:kern w:val="2"/>
                <w:sz w:val="24"/>
                <w:szCs w:val="24"/>
                <w:highlight w:val="none"/>
                <w:lang w:val="en-US" w:eastAsia="zh-CN" w:bidi="ar-SA"/>
              </w:rPr>
              <w:t>西畴县预拌干混新型砂浆生产建设项目，</w:t>
            </w:r>
            <w:r>
              <w:rPr>
                <w:rFonts w:hint="default" w:ascii="Times New Roman" w:hAnsi="Times New Roman" w:eastAsia="方正仿宋_GBK" w:cs="Times New Roman"/>
                <w:kern w:val="2"/>
                <w:sz w:val="24"/>
                <w:szCs w:val="24"/>
                <w:highlight w:val="none"/>
                <w:lang w:val="en-US" w:eastAsia="zh-CN" w:bidi="ar-SA"/>
              </w:rPr>
              <w:t>建设性质：新建，建设地点</w:t>
            </w:r>
            <w:r>
              <w:rPr>
                <w:rFonts w:hint="eastAsia" w:eastAsia="方正仿宋_GBK" w:cs="Times New Roman"/>
                <w:kern w:val="2"/>
                <w:sz w:val="24"/>
                <w:szCs w:val="24"/>
                <w:highlight w:val="none"/>
                <w:lang w:val="en-US" w:eastAsia="zh-CN" w:bidi="ar-SA"/>
              </w:rPr>
              <w:t>，</w:t>
            </w:r>
            <w:r>
              <w:rPr>
                <w:rFonts w:hint="default" w:ascii="Times New Roman" w:hAnsi="Times New Roman" w:eastAsia="方正仿宋_GBK" w:cs="Times New Roman"/>
                <w:kern w:val="2"/>
                <w:sz w:val="24"/>
                <w:szCs w:val="24"/>
                <w:highlight w:val="none"/>
                <w:lang w:val="en-US" w:eastAsia="zh-CN" w:bidi="ar-SA"/>
              </w:rPr>
              <w:t>本项目位于</w:t>
            </w:r>
            <w:r>
              <w:rPr>
                <w:rFonts w:hint="eastAsia" w:ascii="Times New Roman" w:hAnsi="Times New Roman" w:eastAsia="方正仿宋_GBK" w:cs="Times New Roman"/>
                <w:kern w:val="2"/>
                <w:sz w:val="24"/>
                <w:szCs w:val="24"/>
                <w:highlight w:val="none"/>
                <w:lang w:val="en-US" w:eastAsia="zh-CN" w:bidi="ar-SA"/>
              </w:rPr>
              <w:t>西畴县兴街镇</w:t>
            </w:r>
            <w:r>
              <w:rPr>
                <w:rFonts w:hint="default" w:ascii="Times New Roman" w:hAnsi="Times New Roman" w:eastAsia="方正仿宋_GBK" w:cs="Times New Roman"/>
                <w:kern w:val="2"/>
                <w:sz w:val="24"/>
                <w:szCs w:val="24"/>
                <w:highlight w:val="none"/>
                <w:lang w:val="en-US" w:eastAsia="zh-CN" w:bidi="ar-SA"/>
              </w:rPr>
              <w:t>兴街出口贸易加工区</w:t>
            </w:r>
            <w:r>
              <w:rPr>
                <w:rFonts w:hint="eastAsia" w:ascii="Times New Roman" w:hAnsi="Times New Roman" w:eastAsia="方正仿宋_GBK" w:cs="Times New Roman"/>
                <w:kern w:val="2"/>
                <w:sz w:val="24"/>
                <w:szCs w:val="24"/>
                <w:highlight w:val="none"/>
                <w:lang w:val="en-US" w:eastAsia="zh-CN" w:bidi="ar-SA"/>
              </w:rPr>
              <w:t>鑫潮石材文化产业园内</w:t>
            </w:r>
            <w:r>
              <w:rPr>
                <w:rFonts w:hint="eastAsia" w:eastAsia="方正仿宋_GBK" w:cs="Times New Roman"/>
                <w:kern w:val="2"/>
                <w:sz w:val="24"/>
                <w:szCs w:val="24"/>
                <w:highlight w:val="none"/>
                <w:lang w:val="en-US" w:eastAsia="zh-CN" w:bidi="ar-SA"/>
              </w:rPr>
              <w:t>，</w:t>
            </w:r>
            <w:r>
              <w:rPr>
                <w:rFonts w:hint="eastAsia" w:ascii="Times New Roman" w:hAnsi="Times New Roman" w:eastAsia="方正仿宋_GBK" w:cs="Times New Roman"/>
                <w:kern w:val="2"/>
                <w:sz w:val="24"/>
                <w:szCs w:val="24"/>
                <w:highlight w:val="none"/>
                <w:lang w:val="en-US" w:eastAsia="zh-CN" w:bidi="ar-SA"/>
              </w:rPr>
              <w:t>为租用鑫潮石材文化产业园标准厂房进行生产，不新征土地</w:t>
            </w:r>
            <w:r>
              <w:rPr>
                <w:rFonts w:hint="default" w:ascii="Times New Roman" w:hAnsi="Times New Roman" w:eastAsia="方正仿宋_GBK" w:cs="Times New Roman"/>
                <w:kern w:val="2"/>
                <w:sz w:val="24"/>
                <w:szCs w:val="24"/>
                <w:highlight w:val="none"/>
                <w:lang w:val="en-US" w:eastAsia="zh-CN" w:bidi="ar-SA"/>
              </w:rPr>
              <w:t>，</w:t>
            </w:r>
            <w:r>
              <w:rPr>
                <w:rFonts w:hint="eastAsia" w:ascii="Times New Roman" w:hAnsi="Times New Roman" w:eastAsia="方正仿宋_GBK" w:cs="Times New Roman"/>
                <w:kern w:val="2"/>
                <w:sz w:val="24"/>
                <w:szCs w:val="24"/>
                <w:highlight w:val="none"/>
                <w:lang w:val="en-US" w:eastAsia="zh-CN" w:bidi="ar-SA"/>
              </w:rPr>
              <w:t>本项目位于东部加工核心区，用地属工业用地，</w:t>
            </w:r>
            <w:r>
              <w:rPr>
                <w:rFonts w:hint="default" w:ascii="Times New Roman" w:hAnsi="Times New Roman" w:eastAsia="方正仿宋_GBK" w:cs="Times New Roman"/>
                <w:kern w:val="2"/>
                <w:sz w:val="24"/>
                <w:szCs w:val="24"/>
                <w:highlight w:val="none"/>
                <w:lang w:val="en-US" w:eastAsia="zh-CN" w:bidi="ar-SA"/>
              </w:rPr>
              <w:t>项目占地面积为</w:t>
            </w:r>
            <w:r>
              <w:rPr>
                <w:rFonts w:hint="eastAsia" w:ascii="Times New Roman" w:hAnsi="Times New Roman" w:eastAsia="方正仿宋_GBK" w:cs="Times New Roman"/>
                <w:kern w:val="2"/>
                <w:sz w:val="24"/>
                <w:szCs w:val="24"/>
                <w:highlight w:val="none"/>
                <w:lang w:val="en-US" w:eastAsia="zh-CN" w:bidi="ar-SA"/>
              </w:rPr>
              <w:t>22000</w:t>
            </w:r>
            <w:r>
              <w:rPr>
                <w:rFonts w:hint="eastAsia" w:eastAsia="方正仿宋_GBK" w:cs="Times New Roman"/>
                <w:kern w:val="2"/>
                <w:sz w:val="24"/>
                <w:szCs w:val="24"/>
                <w:highlight w:val="none"/>
                <w:lang w:val="en-US" w:eastAsia="zh-CN" w:bidi="ar-SA"/>
              </w:rPr>
              <w:t>㎡</w:t>
            </w:r>
            <w:r>
              <w:rPr>
                <w:rFonts w:hint="default" w:ascii="Times New Roman" w:hAnsi="Times New Roman" w:eastAsia="方正仿宋_GBK" w:cs="Times New Roman"/>
                <w:kern w:val="2"/>
                <w:sz w:val="24"/>
                <w:szCs w:val="24"/>
                <w:highlight w:val="none"/>
                <w:lang w:val="en-US" w:eastAsia="zh-CN" w:bidi="ar-SA"/>
              </w:rPr>
              <w:t>，</w:t>
            </w:r>
            <w:r>
              <w:rPr>
                <w:rFonts w:hint="eastAsia" w:ascii="Times New Roman" w:hAnsi="Times New Roman" w:eastAsia="方正仿宋_GBK" w:cs="Times New Roman"/>
                <w:kern w:val="2"/>
                <w:sz w:val="24"/>
                <w:szCs w:val="24"/>
                <w:highlight w:val="none"/>
                <w:lang w:val="en-US" w:eastAsia="zh-CN" w:bidi="ar-SA"/>
              </w:rPr>
              <w:t>主要</w:t>
            </w:r>
            <w:r>
              <w:rPr>
                <w:rFonts w:hint="default" w:ascii="Times New Roman" w:hAnsi="Times New Roman" w:eastAsia="方正仿宋_GBK" w:cs="Times New Roman"/>
                <w:kern w:val="2"/>
                <w:sz w:val="24"/>
                <w:szCs w:val="24"/>
                <w:highlight w:val="none"/>
                <w:lang w:val="en-US" w:eastAsia="zh-CN" w:bidi="ar-SA"/>
              </w:rPr>
              <w:t>产品为</w:t>
            </w:r>
            <w:r>
              <w:rPr>
                <w:rFonts w:hint="eastAsia" w:ascii="Times New Roman" w:hAnsi="Times New Roman" w:eastAsia="方正仿宋_GBK" w:cs="Times New Roman"/>
                <w:kern w:val="2"/>
                <w:sz w:val="24"/>
                <w:szCs w:val="24"/>
                <w:highlight w:val="none"/>
                <w:lang w:val="en-US" w:eastAsia="zh-CN" w:bidi="ar-SA"/>
              </w:rPr>
              <w:t>预拌干混新型砂浆，副产品为重钙粉、氢氧化钙、彩砂，项目干混新型砂浆使用原辅材料主要为白水泥、灰水泥、重钙粉、氢氧化钙、彩砂、石膏、添加剂等，其中重钙粉、彩砂、氢氧化钙建设单位自主生产，其余原料均外购，不涉及原料开采，所用原材料中无危险化学品。</w:t>
            </w:r>
          </w:p>
          <w:p>
            <w:pPr>
              <w:pStyle w:val="14"/>
              <w:bidi w:val="0"/>
              <w:ind w:left="0" w:leftChars="0" w:firstLine="480" w:firstLineChars="200"/>
              <w:jc w:val="left"/>
              <w:rPr>
                <w:rFonts w:hint="default" w:ascii="Times New Roman" w:hAnsi="Times New Roman" w:eastAsia="方正仿宋_GBK" w:cs="Times New Roman"/>
                <w:kern w:val="2"/>
                <w:sz w:val="24"/>
                <w:szCs w:val="24"/>
                <w:highlight w:val="none"/>
                <w:lang w:val="en-US" w:eastAsia="zh-CN" w:bidi="ar-SA"/>
              </w:rPr>
            </w:pPr>
            <w:r>
              <w:rPr>
                <w:rFonts w:hint="default" w:ascii="Times New Roman" w:hAnsi="Times New Roman" w:eastAsia="方正仿宋_GBK" w:cs="Times New Roman"/>
                <w:kern w:val="2"/>
                <w:sz w:val="24"/>
                <w:szCs w:val="24"/>
                <w:highlight w:val="none"/>
                <w:lang w:val="en-US" w:eastAsia="zh-CN" w:bidi="ar-SA"/>
              </w:rPr>
              <w:t>本项目建设包括主体工程、</w:t>
            </w:r>
            <w:r>
              <w:rPr>
                <w:rFonts w:hint="eastAsia" w:ascii="Times New Roman" w:hAnsi="Times New Roman" w:eastAsia="方正仿宋_GBK" w:cs="Times New Roman"/>
                <w:kern w:val="2"/>
                <w:sz w:val="24"/>
                <w:szCs w:val="24"/>
                <w:highlight w:val="none"/>
                <w:lang w:val="en-US" w:eastAsia="zh-CN" w:bidi="ar-SA"/>
              </w:rPr>
              <w:t>储运工程</w:t>
            </w:r>
            <w:r>
              <w:rPr>
                <w:rFonts w:hint="default" w:ascii="Times New Roman" w:hAnsi="Times New Roman" w:eastAsia="方正仿宋_GBK" w:cs="Times New Roman"/>
                <w:kern w:val="2"/>
                <w:sz w:val="24"/>
                <w:szCs w:val="24"/>
                <w:highlight w:val="none"/>
                <w:lang w:val="en-US" w:eastAsia="zh-CN" w:bidi="ar-SA"/>
              </w:rPr>
              <w:t>、</w:t>
            </w:r>
            <w:r>
              <w:rPr>
                <w:rFonts w:hint="eastAsia" w:ascii="Times New Roman" w:hAnsi="Times New Roman" w:eastAsia="方正仿宋_GBK" w:cs="Times New Roman"/>
                <w:kern w:val="2"/>
                <w:sz w:val="24"/>
                <w:szCs w:val="24"/>
                <w:highlight w:val="none"/>
                <w:lang w:val="en-US" w:eastAsia="zh-CN" w:bidi="ar-SA"/>
              </w:rPr>
              <w:t>公辅工程、</w:t>
            </w:r>
            <w:r>
              <w:rPr>
                <w:rFonts w:hint="default" w:ascii="Times New Roman" w:hAnsi="Times New Roman" w:eastAsia="方正仿宋_GBK" w:cs="Times New Roman"/>
                <w:kern w:val="2"/>
                <w:sz w:val="24"/>
                <w:szCs w:val="24"/>
                <w:highlight w:val="none"/>
                <w:lang w:val="en-US" w:eastAsia="zh-CN" w:bidi="ar-SA"/>
              </w:rPr>
              <w:t>环保工程</w:t>
            </w:r>
            <w:r>
              <w:rPr>
                <w:rFonts w:hint="eastAsia" w:ascii="Times New Roman" w:hAnsi="Times New Roman" w:eastAsia="方正仿宋_GBK" w:cs="Times New Roman"/>
                <w:kern w:val="2"/>
                <w:sz w:val="24"/>
                <w:szCs w:val="24"/>
                <w:highlight w:val="none"/>
                <w:lang w:val="en-US" w:eastAsia="zh-CN" w:bidi="ar-SA"/>
              </w:rPr>
              <w:t>等，项目建成后，设年产量20万吨重钙粉生产线两条、年产量10万吨氢氧化钙生产线一条、年产量10万吨彩砂生产线五条，年产量30万吨预拌干混新型砂浆生产线两条</w:t>
            </w:r>
            <w:r>
              <w:rPr>
                <w:rFonts w:hint="default" w:ascii="Times New Roman" w:hAnsi="Times New Roman" w:eastAsia="方正仿宋_GBK" w:cs="Times New Roman"/>
                <w:kern w:val="2"/>
                <w:sz w:val="24"/>
                <w:szCs w:val="24"/>
                <w:highlight w:val="none"/>
                <w:lang w:val="en-US" w:eastAsia="zh-CN" w:bidi="ar-SA"/>
              </w:rPr>
              <w:t>。</w:t>
            </w:r>
          </w:p>
          <w:p>
            <w:pPr>
              <w:pStyle w:val="14"/>
              <w:bidi w:val="0"/>
              <w:ind w:left="0" w:leftChars="0" w:firstLine="480" w:firstLineChars="200"/>
              <w:jc w:val="left"/>
              <w:rPr>
                <w:rFonts w:hint="eastAsia" w:ascii="Times New Roman" w:hAnsi="Times New Roman" w:eastAsia="方正仿宋_GBK" w:cs="Times New Roman"/>
                <w:kern w:val="2"/>
                <w:sz w:val="24"/>
                <w:szCs w:val="24"/>
                <w:highlight w:val="none"/>
                <w:lang w:val="en-US" w:eastAsia="zh-CN" w:bidi="ar-SA"/>
              </w:rPr>
            </w:pPr>
            <w:r>
              <w:rPr>
                <w:rFonts w:hint="eastAsia" w:ascii="Times New Roman" w:hAnsi="Times New Roman" w:eastAsia="方正仿宋_GBK" w:cs="Times New Roman"/>
                <w:kern w:val="2"/>
                <w:sz w:val="24"/>
                <w:szCs w:val="24"/>
                <w:highlight w:val="none"/>
                <w:lang w:val="en-US" w:eastAsia="zh-CN" w:bidi="ar-SA"/>
              </w:rPr>
              <w:t>项目区布置有生产区、办公生活区。其中生产区设有原料堆场、氢氧化钙生产区、彩砂生产区、重钙生产区、预拌干混砂浆搅拌区、成品堆放区、接待区及化验室等各区置于一个大型厂房里，各区按照生产工序排列，便于产品加工与运输。同时各功能区布置考虑到了生产噪声和粉尘的污染，厂区内基本做到了功能区分明确，雨污分流相隔有序。</w:t>
            </w:r>
          </w:p>
          <w:p>
            <w:pPr>
              <w:pStyle w:val="14"/>
              <w:bidi w:val="0"/>
              <w:ind w:left="0" w:leftChars="0" w:firstLine="480" w:firstLineChars="200"/>
              <w:jc w:val="left"/>
              <w:rPr>
                <w:rFonts w:hint="default" w:ascii="Times New Roman" w:hAnsi="Times New Roman" w:eastAsia="方正仿宋_GBK" w:cs="Times New Roman"/>
                <w:kern w:val="2"/>
                <w:sz w:val="24"/>
                <w:szCs w:val="24"/>
                <w:highlight w:val="none"/>
                <w:lang w:val="en-US" w:eastAsia="zh-CN" w:bidi="ar-SA"/>
              </w:rPr>
            </w:pPr>
            <w:r>
              <w:rPr>
                <w:rFonts w:hint="default" w:ascii="Times New Roman" w:hAnsi="Times New Roman" w:eastAsia="方正仿宋_GBK" w:cs="Times New Roman"/>
                <w:kern w:val="2"/>
                <w:sz w:val="24"/>
                <w:szCs w:val="24"/>
                <w:highlight w:val="none"/>
                <w:lang w:val="en-US" w:eastAsia="zh-CN" w:bidi="ar-SA"/>
              </w:rPr>
              <w:t>项目不占用生态保护范围，符合“三线一单”的相关要求，项目选址合理可行。</w:t>
            </w:r>
            <w:r>
              <w:rPr>
                <w:rFonts w:hint="eastAsia" w:ascii="Times New Roman" w:hAnsi="Times New Roman" w:eastAsia="方正仿宋_GBK" w:cs="Times New Roman"/>
                <w:kern w:val="2"/>
                <w:sz w:val="24"/>
                <w:szCs w:val="24"/>
                <w:highlight w:val="none"/>
                <w:lang w:val="en-US" w:eastAsia="zh-CN" w:bidi="ar-SA"/>
              </w:rPr>
              <w:t>项目总投资40000万元，其中环保投资68.8万元，占总投资比例为0.17%。</w:t>
            </w:r>
          </w:p>
          <w:p>
            <w:pPr>
              <w:pStyle w:val="5"/>
              <w:jc w:val="left"/>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3513" w:hRule="atLeast"/>
        </w:trPr>
        <w:tc>
          <w:tcPr>
            <w:tcW w:w="952"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00" w:lineRule="exact"/>
              <w:textAlignment w:val="auto"/>
              <w:rPr>
                <w:rFonts w:hint="eastAsia" w:ascii="方正仿宋_GBK" w:hAnsi="方正仿宋_GBK" w:eastAsia="方正仿宋_GBK" w:cs="方正仿宋_GBK"/>
                <w:color w:val="000000"/>
                <w:sz w:val="24"/>
                <w:szCs w:val="24"/>
                <w:highlight w:val="none"/>
                <w:shd w:val="clear" w:color="auto" w:fill="FFFFFF"/>
                <w:lang w:eastAsia="zh-CN"/>
              </w:rPr>
            </w:pPr>
            <w:r>
              <w:rPr>
                <w:rFonts w:hint="eastAsia" w:ascii="方正仿宋_GBK" w:hAnsi="方正仿宋_GBK" w:eastAsia="方正仿宋_GBK" w:cs="方正仿宋_GBK"/>
                <w:color w:val="000000"/>
                <w:sz w:val="24"/>
                <w:szCs w:val="24"/>
                <w:highlight w:val="none"/>
                <w:shd w:val="clear" w:color="auto" w:fill="FFFFFF"/>
                <w:lang w:eastAsia="zh-CN"/>
              </w:rPr>
              <w:t>主要环境影响及预防或者减轻不良环境影响的对策和措施</w:t>
            </w:r>
          </w:p>
        </w:tc>
        <w:tc>
          <w:tcPr>
            <w:tcW w:w="9327" w:type="dxa"/>
            <w:shd w:val="clear" w:color="auto" w:fill="FFFFFF"/>
            <w:tcMar>
              <w:top w:w="0" w:type="dxa"/>
              <w:left w:w="108" w:type="dxa"/>
              <w:bottom w:w="0" w:type="dxa"/>
              <w:right w:w="108" w:type="dxa"/>
            </w:tcMar>
          </w:tcPr>
          <w:tbl>
            <w:tblPr>
              <w:tblStyle w:val="10"/>
              <w:tblW w:w="9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56"/>
              <w:gridCol w:w="696"/>
              <w:gridCol w:w="1915"/>
              <w:gridCol w:w="4702"/>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876" w:type="dxa"/>
                  <w:tcBorders>
                    <w:tl2br w:val="single" w:color="auto" w:sz="6"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内容          类型</w:t>
                  </w:r>
                </w:p>
              </w:tc>
              <w:tc>
                <w:tcPr>
                  <w:tcW w:w="1152" w:type="dxa"/>
                  <w:gridSpan w:val="2"/>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排放源</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污染物名称</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防治措施</w:t>
                  </w: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87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大</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气</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污</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染</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物</w:t>
                  </w: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施工期</w:t>
                  </w:r>
                </w:p>
              </w:tc>
              <w:tc>
                <w:tcPr>
                  <w:tcW w:w="69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土石方开挖、施工机械和运输车辆</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施工粉尘、焊接烟尘、施工机械及车辆燃油废气等。</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 xml:space="preserve"> ①施工场地定期洒水，以有效防止扬尘，在风速大于四级风速气象条件下加 大洒水量及洒水频次； ②施工建筑材料定点堆放，用蓬布遮盖建筑材料，尽量按量购进建筑材料，避免在场内长时间堆放； ③加强施工现场运输车辆管理，运输车辆必须车身整洁，装载车厢完好、严 密，装载货物堆码整齐，避免在装运过程中出现沿途抛、洒、滴、漏等现象；④在施工中合理组织施工，缩短施工时间，尽量减少施工污染。⑤ 施工场地清理阶段做到先洒水，后清扫，施工后期建筑垃圾及时清理；⑥运输车辆及机械驶出施工场地前应尽可能清除表面粘附的泥土等； </w:t>
                  </w: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对环境影响较小</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87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运营期</w:t>
                  </w:r>
                </w:p>
              </w:tc>
              <w:tc>
                <w:tcPr>
                  <w:tcW w:w="69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施工作业</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物料堆场粉尘</w:t>
                  </w:r>
                </w:p>
              </w:tc>
              <w:tc>
                <w:tcPr>
                  <w:tcW w:w="4702" w:type="dxa"/>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auto"/>
                    <w:rPr>
                      <w:rFonts w:hint="default"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厂房封闭处理，自然沉降</w:t>
                  </w: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7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装卸粉尘</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装卸过程在封闭厂房内进行，扬尘通过车间的阻隔和重力沉降，排放量可削减80%</w:t>
                  </w: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7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物料混合过程产生的粉尘</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设两个出风口经引风管道分别引入2台脉冲除尘器处理后引至排放口DA002排放。</w:t>
                  </w: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default" w:ascii="方正仿宋_GBK" w:hAnsi="方正仿宋_GBK" w:eastAsia="方正仿宋_GBK" w:cs="方正仿宋_GBK"/>
                      <w:color w:val="000000"/>
                      <w:kern w:val="2"/>
                      <w:sz w:val="24"/>
                      <w:szCs w:val="24"/>
                      <w:highlight w:val="none"/>
                      <w:shd w:val="clear" w:color="auto" w:fill="FFFFFF"/>
                      <w:lang w:val="en-US" w:eastAsia="zh-CN" w:bidi="ar-SA"/>
                    </w:rPr>
                    <w:t>制氢氧化钙生产线</w:t>
                  </w: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产生的粉尘</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进料口上端设1个集气罩（集气效率85%）及1个脉冲除尘器（风量2000m3/h，除尘效率99%）、氧化过程采用1台水膜除尘器、磨粉工序设引风管道引至布袋除尘器收集处理后引至排放口DA001达标排放（15m高排气筒）。</w:t>
                  </w:r>
                </w:p>
              </w:tc>
              <w:tc>
                <w:tcPr>
                  <w:tcW w:w="45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制彩砂生产线产生的粉尘</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①进料口设置1台集气罩及1个脉冲除尘器；②破碎机上端设置1个集气罩及1台脉冲除尘器；③制砂和筛分过程设引风管道对粉尘集中收集后引入1台脉冲除尘器（除尘效率99%）达标排放（15m高排气筒，排放口DA005）。</w:t>
                  </w: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制重钙生产线产生的粉尘</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进料斗设集气罩收集至末端脉冲除尘器、雷蒙磨出风孔设置引风管连接末端脉冲除尘器（风量2000m3/h，除尘效率99%）一同处理引至排放口DA002排放。</w:t>
                  </w: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筒仓呼吸粉尘</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9个筒仓（1个回收料仓、2个彩砂仓、1个氢氧化钙粉仓、3个重钙粉仓、1个灰水泥仓、1个白水泥仓、1个原料仓）均在仓顶设脉冲除尘器,均能达标排放。</w:t>
                  </w: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车辆运输废气</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①定期对场内运输道路进行洒水降尘，保持路面清洁，并加强道路维护；②车辆减速行驶。</w:t>
                  </w: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8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食堂油烟</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通过油烟净化设施收集处理后由高于所在屋顶1.5m排放口排放</w:t>
                  </w: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87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水</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污</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染</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物</w:t>
                  </w: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zh-CN" w:eastAsia="zh-CN" w:bidi="ar-SA"/>
                    </w:rPr>
                  </w:pPr>
                  <w:r>
                    <w:rPr>
                      <w:rFonts w:hint="eastAsia" w:ascii="方正仿宋_GBK" w:hAnsi="方正仿宋_GBK" w:eastAsia="方正仿宋_GBK" w:cs="方正仿宋_GBK"/>
                      <w:color w:val="000000"/>
                      <w:kern w:val="2"/>
                      <w:sz w:val="24"/>
                      <w:szCs w:val="24"/>
                      <w:highlight w:val="none"/>
                      <w:shd w:val="clear" w:color="auto" w:fill="FFFFFF"/>
                      <w:lang w:val="zh-CN" w:eastAsia="zh-CN" w:bidi="ar-SA"/>
                    </w:rPr>
                    <w:t>施工期</w:t>
                  </w:r>
                </w:p>
              </w:tc>
              <w:tc>
                <w:tcPr>
                  <w:tcW w:w="69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zh-CN"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施工废水和施工人员生活污水</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COD、SS、氨氮、BOD5</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①设置临时沉淀池，将施工废水收集于临时沉淀池中，经沉淀处理后回用作场地洒水降尘、施工环节或施工机械冲洗，不外排；②在施工场地内设置旱厕，施工人员生活污水经旱厕收集后清掏用作农肥，不外排。</w:t>
                  </w:r>
                </w:p>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textAlignment w:val="auto"/>
                    <w:rPr>
                      <w:rFonts w:hint="eastAsia" w:ascii="方正仿宋_GBK" w:hAnsi="方正仿宋_GBK" w:eastAsia="方正仿宋_GBK" w:cs="方正仿宋_GBK"/>
                      <w:color w:val="000000"/>
                      <w:kern w:val="2"/>
                      <w:sz w:val="24"/>
                      <w:szCs w:val="24"/>
                      <w:highlight w:val="none"/>
                      <w:shd w:val="clear" w:color="auto" w:fill="FFFFFF"/>
                      <w:lang w:val="zh-CN" w:eastAsia="zh-CN" w:bidi="ar-SA"/>
                    </w:rPr>
                  </w:pP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zh-CN"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87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zh-CN" w:eastAsia="zh-CN" w:bidi="ar-SA"/>
                    </w:rPr>
                  </w:pPr>
                  <w:r>
                    <w:rPr>
                      <w:rFonts w:hint="eastAsia" w:ascii="方正仿宋_GBK" w:hAnsi="方正仿宋_GBK" w:eastAsia="方正仿宋_GBK" w:cs="方正仿宋_GBK"/>
                      <w:color w:val="000000"/>
                      <w:kern w:val="2"/>
                      <w:sz w:val="24"/>
                      <w:szCs w:val="24"/>
                      <w:highlight w:val="none"/>
                      <w:shd w:val="clear" w:color="auto" w:fill="FFFFFF"/>
                      <w:lang w:val="zh-CN" w:eastAsia="zh-CN" w:bidi="ar-SA"/>
                    </w:rPr>
                    <w:t>运营期</w:t>
                  </w:r>
                </w:p>
              </w:tc>
              <w:tc>
                <w:tcPr>
                  <w:tcW w:w="69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生活污水</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zh-CN"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COD、BOD5、氨氮、SS、TP、粪大肠菌群</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zh-CN"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食堂废水经油污分离器预处理后与生活污水一同排入化粪池处理，后流入园区市政管网内，最终进入兴街镇污水处理厂处理。</w:t>
                  </w:r>
                </w:p>
              </w:tc>
              <w:tc>
                <w:tcPr>
                  <w:tcW w:w="45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zh-CN"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7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生产废水</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制氢氧化钙反应用水</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702" w:type="dxa"/>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default" w:ascii="方正仿宋_GBK" w:hAnsi="方正仿宋_GBK" w:eastAsia="方正仿宋_GBK" w:cs="方正仿宋_GBK"/>
                      <w:color w:val="000000"/>
                      <w:kern w:val="2"/>
                      <w:sz w:val="24"/>
                      <w:szCs w:val="24"/>
                      <w:highlight w:val="none"/>
                      <w:shd w:val="clear" w:color="auto" w:fill="FFFFFF"/>
                      <w:lang w:val="en-US" w:eastAsia="zh-CN" w:bidi="ar-SA"/>
                    </w:rPr>
                    <w:t>制氢氧化钙过程中，生石灰加水进行氧化，反应完成后产生热量，无生产废水产生。</w:t>
                  </w:r>
                </w:p>
              </w:tc>
              <w:tc>
                <w:tcPr>
                  <w:tcW w:w="45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highlight w:val="none"/>
                    </w:rPr>
                  </w:pP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highlight w:val="none"/>
                    </w:rPr>
                  </w:pPr>
                </w:p>
              </w:tc>
              <w:tc>
                <w:tcPr>
                  <w:tcW w:w="69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highlight w:val="none"/>
                    </w:rPr>
                  </w:pP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化验室废水</w:t>
                  </w:r>
                </w:p>
              </w:tc>
              <w:tc>
                <w:tcPr>
                  <w:tcW w:w="470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主要为实验人员洗手用水及实验器具清洗用水。主要污染物为SS，经污水管道排入化粪池收集，预处理达标后排入园区市政管网，最终进入兴街镇污水处理厂处理。</w:t>
                  </w: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石料冲洗废水</w:t>
                  </w:r>
                </w:p>
              </w:tc>
              <w:tc>
                <w:tcPr>
                  <w:tcW w:w="470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冲洗废水进入沉淀池沉淀后循环使用</w:t>
                  </w: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8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绿化用水</w:t>
                  </w:r>
                </w:p>
              </w:tc>
              <w:tc>
                <w:tcPr>
                  <w:tcW w:w="470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绿化用水全部被植物吸收或蒸发，不产生废水</w:t>
                  </w: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87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噪</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声</w:t>
                  </w:r>
                </w:p>
              </w:tc>
              <w:tc>
                <w:tcPr>
                  <w:tcW w:w="45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施工期</w:t>
                  </w:r>
                </w:p>
              </w:tc>
              <w:tc>
                <w:tcPr>
                  <w:tcW w:w="69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设备噪声</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切割机、折弯机等机械设备</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702" w:type="dxa"/>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①尽量选用先进的低噪声施工设备；②合理安排施工工地布置，将高噪声设备布置于远离声环境敏感点一侧；③加强机械设备的维护和检修；④合理安排施工计划，避免高噪声设备同时施工；⑤合理安排施工时间，施工作业应避开人群休息时间（即12:00~14:00和22:00~次日6:00），若因特殊施工工序需要连续施工作业，应提前报至园区管委会，并在合适的地方设置公告牌，以便于周边民众知晓施工时间；⑥对进出项目区车辆作出减速慢行、禁止鸣笛等要求，物料运输车辆运输时间应避开交通高峰期。</w:t>
                  </w:r>
                </w:p>
              </w:tc>
              <w:tc>
                <w:tcPr>
                  <w:tcW w:w="45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87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施工车辆</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交通噪声</w:t>
                  </w:r>
                </w:p>
              </w:tc>
              <w:tc>
                <w:tcPr>
                  <w:tcW w:w="4702"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7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社会生活</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生活噪声</w:t>
                  </w:r>
                </w:p>
              </w:tc>
              <w:tc>
                <w:tcPr>
                  <w:tcW w:w="4702"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5" w:hRule="atLeast"/>
                <w:jc w:val="center"/>
              </w:trPr>
              <w:tc>
                <w:tcPr>
                  <w:tcW w:w="87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运营期</w:t>
                  </w:r>
                </w:p>
              </w:tc>
              <w:tc>
                <w:tcPr>
                  <w:tcW w:w="69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工作噪声</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default" w:ascii="方正仿宋_GBK" w:hAnsi="方正仿宋_GBK" w:eastAsia="方正仿宋_GBK" w:cs="方正仿宋_GBK"/>
                      <w:color w:val="000000"/>
                      <w:kern w:val="2"/>
                      <w:sz w:val="24"/>
                      <w:szCs w:val="24"/>
                      <w:highlight w:val="none"/>
                      <w:shd w:val="clear" w:color="auto" w:fill="FFFFFF"/>
                      <w:lang w:val="en-US" w:eastAsia="zh-CN" w:bidi="ar-SA"/>
                    </w:rPr>
                    <w:t>生产机械设备运行产生的机械设备噪声，运输车辆产生的交通噪声</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highlight w:val="none"/>
                      <w:shd w:val="clear" w:color="auto" w:fill="FFFFFF"/>
                      <w:lang w:val="en-US" w:eastAsia="zh-CN" w:bidi="ar-SA"/>
                    </w:rPr>
                  </w:pPr>
                  <w:r>
                    <w:rPr>
                      <w:rFonts w:hint="default" w:ascii="方正仿宋_GBK" w:hAnsi="方正仿宋_GBK" w:eastAsia="方正仿宋_GBK" w:cs="方正仿宋_GBK"/>
                      <w:color w:val="000000"/>
                      <w:kern w:val="2"/>
                      <w:sz w:val="24"/>
                      <w:szCs w:val="24"/>
                      <w:highlight w:val="none"/>
                      <w:shd w:val="clear" w:color="auto" w:fill="FFFFFF"/>
                      <w:lang w:val="en-US" w:eastAsia="zh-CN" w:bidi="ar-SA"/>
                    </w:rPr>
                    <w:t>①尽量选用低噪声设备，对大噪声设备添加隔声减振垫，设备合理布置于封闭或半封闭的厂房内隔声；</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highlight w:val="none"/>
                      <w:shd w:val="clear" w:color="auto" w:fill="FFFFFF"/>
                      <w:lang w:val="en-US" w:eastAsia="zh-CN" w:bidi="ar-SA"/>
                    </w:rPr>
                  </w:pPr>
                  <w:r>
                    <w:rPr>
                      <w:rFonts w:hint="default" w:ascii="方正仿宋_GBK" w:hAnsi="方正仿宋_GBK" w:eastAsia="方正仿宋_GBK" w:cs="方正仿宋_GBK"/>
                      <w:color w:val="000000"/>
                      <w:kern w:val="2"/>
                      <w:sz w:val="24"/>
                      <w:szCs w:val="24"/>
                      <w:highlight w:val="none"/>
                      <w:shd w:val="clear" w:color="auto" w:fill="FFFFFF"/>
                      <w:lang w:val="en-US" w:eastAsia="zh-CN" w:bidi="ar-SA"/>
                    </w:rPr>
                    <w:t>②加强生产机械的日常维护，注意润滑，并对老化和性能降低的旧设备进行及时更换，以此降低磨擦，减小噪声强度；</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highlight w:val="none"/>
                      <w:shd w:val="clear" w:color="auto" w:fill="FFFFFF"/>
                      <w:lang w:val="en-US" w:eastAsia="zh-CN" w:bidi="ar-SA"/>
                    </w:rPr>
                  </w:pPr>
                  <w:r>
                    <w:rPr>
                      <w:rFonts w:hint="default" w:ascii="方正仿宋_GBK" w:hAnsi="方正仿宋_GBK" w:eastAsia="方正仿宋_GBK" w:cs="方正仿宋_GBK"/>
                      <w:color w:val="000000"/>
                      <w:kern w:val="2"/>
                      <w:sz w:val="24"/>
                      <w:szCs w:val="24"/>
                      <w:highlight w:val="none"/>
                      <w:shd w:val="clear" w:color="auto" w:fill="FFFFFF"/>
                      <w:lang w:val="en-US" w:eastAsia="zh-CN" w:bidi="ar-SA"/>
                    </w:rPr>
                    <w:t>③给生产员工佩带耳塞，加强劳动保护，并且适当减少劳动时间和增加岗位轮换；</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highlight w:val="none"/>
                      <w:shd w:val="clear" w:color="auto" w:fill="FFFFFF"/>
                      <w:lang w:val="en-US" w:eastAsia="zh-CN" w:bidi="ar-SA"/>
                    </w:rPr>
                  </w:pPr>
                  <w:r>
                    <w:rPr>
                      <w:rFonts w:hint="default" w:ascii="方正仿宋_GBK" w:hAnsi="方正仿宋_GBK" w:eastAsia="方正仿宋_GBK" w:cs="方正仿宋_GBK"/>
                      <w:color w:val="000000"/>
                      <w:kern w:val="2"/>
                      <w:sz w:val="24"/>
                      <w:szCs w:val="24"/>
                      <w:highlight w:val="none"/>
                      <w:shd w:val="clear" w:color="auto" w:fill="FFFFFF"/>
                      <w:lang w:val="en-US" w:eastAsia="zh-CN" w:bidi="ar-SA"/>
                    </w:rPr>
                    <w:t>④运输车辆途径周边村民住户时减速慢行，禁止鸣笛，合理安排运输时间，尽量避开休息时间；</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highlight w:val="none"/>
                      <w:shd w:val="clear" w:color="auto" w:fill="FFFFFF"/>
                      <w:lang w:val="en-US" w:eastAsia="zh-CN" w:bidi="ar-SA"/>
                    </w:rPr>
                  </w:pPr>
                  <w:r>
                    <w:rPr>
                      <w:rFonts w:hint="default" w:ascii="方正仿宋_GBK" w:hAnsi="方正仿宋_GBK" w:eastAsia="方正仿宋_GBK" w:cs="方正仿宋_GBK"/>
                      <w:color w:val="000000"/>
                      <w:kern w:val="2"/>
                      <w:sz w:val="24"/>
                      <w:szCs w:val="24"/>
                      <w:highlight w:val="none"/>
                      <w:shd w:val="clear" w:color="auto" w:fill="FFFFFF"/>
                      <w:lang w:val="en-US" w:eastAsia="zh-CN" w:bidi="ar-SA"/>
                    </w:rPr>
                    <w:t>⑤项目生产区厂界尽量种植绿化隔声降噪。</w:t>
                  </w: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jc w:val="center"/>
              </w:trPr>
              <w:tc>
                <w:tcPr>
                  <w:tcW w:w="87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固</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体</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废</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物</w:t>
                  </w:r>
                </w:p>
              </w:tc>
              <w:tc>
                <w:tcPr>
                  <w:tcW w:w="45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施工期</w:t>
                  </w:r>
                </w:p>
              </w:tc>
              <w:tc>
                <w:tcPr>
                  <w:tcW w:w="69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一般工业固体废物</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建筑垃圾</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分类收集，可回收利用的集中收集后出售给废品回收商，不可回收部分统一收集后，按照园区管委会要求进行处置。</w:t>
                  </w: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7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社会生活</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生活垃圾</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生活垃圾集中收集后，定期运至指定垃圾堆放点，由环卫部门清运处理。</w:t>
                  </w: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7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运营期</w:t>
                  </w:r>
                </w:p>
              </w:tc>
              <w:tc>
                <w:tcPr>
                  <w:tcW w:w="69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一般固体废物</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生活垃圾、食堂泔水及化粪池污泥</w:t>
                  </w:r>
                </w:p>
              </w:tc>
              <w:tc>
                <w:tcPr>
                  <w:tcW w:w="4702" w:type="dxa"/>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①生活垃圾经统一收集后委托环卫部门清运处置；②化粪池、隔油池委托环卫部门和有资质单位清掏处置；三食堂泔水收集于泔水收集桶内，委托有资质单位定期清运处理。</w:t>
                  </w: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87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除尘设备收集的粉尘</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直接送回筒仓或搅拌楼内，作为原辅料继续使用，不外排。</w:t>
                  </w:r>
                </w:p>
              </w:tc>
              <w:tc>
                <w:tcPr>
                  <w:tcW w:w="45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7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沉淀池沉渣</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定期委托当地环卫部门清运处置。</w:t>
                  </w:r>
                </w:p>
              </w:tc>
              <w:tc>
                <w:tcPr>
                  <w:tcW w:w="4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jc w:val="center"/>
              </w:trPr>
              <w:tc>
                <w:tcPr>
                  <w:tcW w:w="87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69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危险废物</w:t>
                  </w:r>
                </w:p>
              </w:tc>
              <w:tc>
                <w:tcPr>
                  <w:tcW w:w="191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废机油</w:t>
                  </w:r>
                </w:p>
              </w:tc>
              <w:tc>
                <w:tcPr>
                  <w:tcW w:w="4702"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采用专用容器收集后暂存于危废间内，定期委托有资质单位清运处置。</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p>
              </w:tc>
              <w:tc>
                <w:tcPr>
                  <w:tcW w:w="45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对环境影响轻微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1332" w:type="dxa"/>
                  <w:gridSpan w:val="2"/>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其它</w:t>
                  </w:r>
                </w:p>
              </w:tc>
              <w:tc>
                <w:tcPr>
                  <w:tcW w:w="7769" w:type="dxa"/>
                  <w:gridSpan w:val="4"/>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highlight w:val="none"/>
                      <w:lang w:val="en-US" w:eastAsia="zh-CN"/>
                    </w:rPr>
                  </w:pPr>
                  <w:r>
                    <w:rPr>
                      <w:rFonts w:hint="eastAsia"/>
                      <w:highlight w:val="none"/>
                      <w:lang w:val="en-US" w:eastAsia="zh-CN"/>
                    </w:rPr>
                    <w:t>项目运营期间环境风险主要为粉尘超标排放和废机油泄漏，待投入生产后开展突发环境事件应急预案编制工作，积极响应园区预案，加强项目设备管理，防范环境风险。</w:t>
                  </w:r>
                </w:p>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highlight w:val="none"/>
                      <w:lang w:val="en-US" w:eastAsia="zh-CN"/>
                    </w:rPr>
                  </w:pPr>
                  <w:r>
                    <w:rPr>
                      <w:rFonts w:hint="eastAsia"/>
                      <w:highlight w:val="none"/>
                      <w:lang w:val="en-US" w:eastAsia="zh-CN"/>
                    </w:rPr>
                    <w:t>①设置1间专用危废废物暂存间暂存，使用专用桶收集后存放；</w:t>
                  </w:r>
                </w:p>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highlight w:val="none"/>
                      <w:lang w:val="en-US" w:eastAsia="zh-CN"/>
                    </w:rPr>
                  </w:pPr>
                  <w:r>
                    <w:rPr>
                      <w:rFonts w:hint="eastAsia"/>
                      <w:highlight w:val="none"/>
                      <w:lang w:val="en-US" w:eastAsia="zh-CN"/>
                    </w:rPr>
                    <w:t>②危废间内地面采取重点防渗措施（</w:t>
                  </w:r>
                  <w:r>
                    <w:rPr>
                      <w:rFonts w:hint="eastAsia"/>
                      <w:highlight w:val="none"/>
                      <w:lang w:val="zh-CN" w:eastAsia="zh-CN"/>
                    </w:rPr>
                    <w:t>采用水泥+2mm厚HDPE+环氧树脂</w:t>
                  </w:r>
                  <w:r>
                    <w:rPr>
                      <w:rFonts w:hint="eastAsia"/>
                      <w:highlight w:val="none"/>
                      <w:lang w:val="en-US" w:eastAsia="zh-CN"/>
                    </w:rPr>
                    <w:t>，渗透系数≤10-10cm/s），废机油存放区域设置围堰，设置环保标识牌；</w:t>
                  </w:r>
                </w:p>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highlight w:val="none"/>
                      <w:lang w:val="en-US" w:eastAsia="zh-CN"/>
                    </w:rPr>
                  </w:pPr>
                  <w:r>
                    <w:rPr>
                      <w:rFonts w:hint="eastAsia"/>
                      <w:highlight w:val="none"/>
                      <w:lang w:val="en-US" w:eastAsia="zh-CN"/>
                    </w:rPr>
                    <w:t>③在危废间内合理设置备用收集桶、消防沙、灭火器等设施；</w:t>
                  </w:r>
                </w:p>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highlight w:val="none"/>
                      <w:lang w:val="en-US" w:eastAsia="zh-CN"/>
                    </w:rPr>
                  </w:pPr>
                  <w:r>
                    <w:rPr>
                      <w:rFonts w:hint="eastAsia"/>
                      <w:highlight w:val="none"/>
                      <w:lang w:val="en-US" w:eastAsia="zh-CN"/>
                    </w:rPr>
                    <w:t>④针对项目可能发生的突发事故，为了将风险事故率降低到最小，企业应编制突发环境事件应急预案并报西畴县生态环境保护主管部门备案。建设单位应严格按照《企业突发环境事件风险分级方法》(HJ 941-2018)、《企业突发环境事件应急预案编制指南》等文件要求开展应急预案的编制工作。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jc w:val="center"/>
              </w:trPr>
              <w:tc>
                <w:tcPr>
                  <w:tcW w:w="9101" w:type="dxa"/>
                  <w:gridSpan w:val="6"/>
                  <w:noWrap w:val="0"/>
                  <w:vAlign w:val="top"/>
                </w:tcPr>
                <w:p>
                  <w:pPr>
                    <w:keepNext w:val="0"/>
                    <w:keepLines w:val="0"/>
                    <w:pageBreakBefore w:val="0"/>
                    <w:kinsoku/>
                    <w:wordWrap/>
                    <w:overflowPunct/>
                    <w:topLinePunct w:val="0"/>
                    <w:autoSpaceDE/>
                    <w:autoSpaceDN/>
                    <w:bidi w:val="0"/>
                    <w:spacing w:line="300" w:lineRule="exact"/>
                    <w:jc w:val="both"/>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ascii="方正仿宋_GBK" w:hAnsi="方正仿宋_GBK" w:eastAsia="方正仿宋_GBK" w:cs="方正仿宋_GBK"/>
                      <w:color w:val="000000"/>
                      <w:kern w:val="2"/>
                      <w:sz w:val="24"/>
                      <w:szCs w:val="24"/>
                      <w:highlight w:val="none"/>
                      <w:shd w:val="clear" w:color="auto" w:fill="FFFFFF"/>
                      <w:lang w:val="en-US" w:eastAsia="zh-CN" w:bidi="ar-SA"/>
                    </w:rPr>
                    <w:t>生态保护措施及预期效果：</w:t>
                  </w:r>
                </w:p>
                <w:p>
                  <w:pPr>
                    <w:keepNext w:val="0"/>
                    <w:keepLines w:val="0"/>
                    <w:pageBreakBefore w:val="0"/>
                    <w:kinsoku/>
                    <w:wordWrap/>
                    <w:overflowPunct/>
                    <w:topLinePunct w:val="0"/>
                    <w:autoSpaceDE/>
                    <w:autoSpaceDN/>
                    <w:bidi w:val="0"/>
                    <w:spacing w:line="300" w:lineRule="exact"/>
                    <w:ind w:firstLine="420" w:firstLineChars="200"/>
                    <w:jc w:val="left"/>
                    <w:textAlignment w:val="auto"/>
                    <w:rPr>
                      <w:rFonts w:hint="eastAsia" w:ascii="方正仿宋_GBK" w:hAnsi="方正仿宋_GBK" w:eastAsia="方正仿宋_GBK" w:cs="方正仿宋_GBK"/>
                      <w:color w:val="000000"/>
                      <w:kern w:val="2"/>
                      <w:sz w:val="24"/>
                      <w:szCs w:val="24"/>
                      <w:highlight w:val="none"/>
                      <w:shd w:val="clear" w:color="auto" w:fill="FFFFFF"/>
                      <w:lang w:val="en-US" w:eastAsia="zh-CN" w:bidi="ar-SA"/>
                    </w:rPr>
                  </w:pPr>
                  <w:r>
                    <w:rPr>
                      <w:rFonts w:hint="eastAsia"/>
                      <w:highlight w:val="none"/>
                      <w:lang w:val="en-US" w:eastAsia="zh-CN"/>
                    </w:rPr>
                    <w:t>本项目位于西畴县兴街出口贸易加工区，项目用地性质属工业用地，项目区域受人类活动影响较大，已无原生生态植被，项目建设完成后厂区恢复一定的绿化，种植相应的植被，对项目区域生态环境起到一定的恢复。</w:t>
                  </w:r>
                </w:p>
              </w:tc>
            </w:tr>
          </w:tbl>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highlight w:val="none"/>
                <w:shd w:val="clear" w:color="auto" w:fill="FFFFFF"/>
                <w:lang w:val="en-US" w:eastAsia="zh-CN" w:bidi="ar-SA"/>
              </w:rPr>
            </w:pP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D8FB"/>
    <w:multiLevelType w:val="singleLevel"/>
    <w:tmpl w:val="1FFED8FB"/>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7C524B8"/>
    <w:rsid w:val="07EB133A"/>
    <w:rsid w:val="08666437"/>
    <w:rsid w:val="0989468D"/>
    <w:rsid w:val="0C801CEB"/>
    <w:rsid w:val="0D75484E"/>
    <w:rsid w:val="0E5863A6"/>
    <w:rsid w:val="11484B39"/>
    <w:rsid w:val="14C94390"/>
    <w:rsid w:val="15AF630E"/>
    <w:rsid w:val="176F7B69"/>
    <w:rsid w:val="1B927D57"/>
    <w:rsid w:val="1C800DED"/>
    <w:rsid w:val="1D827358"/>
    <w:rsid w:val="1DE51BD3"/>
    <w:rsid w:val="1E572C23"/>
    <w:rsid w:val="1F0C1C14"/>
    <w:rsid w:val="22740BEC"/>
    <w:rsid w:val="2582154E"/>
    <w:rsid w:val="2703457D"/>
    <w:rsid w:val="2F360CFB"/>
    <w:rsid w:val="2F4740AB"/>
    <w:rsid w:val="2FC07975"/>
    <w:rsid w:val="326C0058"/>
    <w:rsid w:val="32B17DDB"/>
    <w:rsid w:val="330632BA"/>
    <w:rsid w:val="33CA252A"/>
    <w:rsid w:val="34DB165D"/>
    <w:rsid w:val="36076C9A"/>
    <w:rsid w:val="36326B13"/>
    <w:rsid w:val="38275498"/>
    <w:rsid w:val="3A7578A7"/>
    <w:rsid w:val="3B834A7C"/>
    <w:rsid w:val="3BB93FFE"/>
    <w:rsid w:val="3D657E62"/>
    <w:rsid w:val="3D81346E"/>
    <w:rsid w:val="40E5693C"/>
    <w:rsid w:val="41FF46E9"/>
    <w:rsid w:val="42F65232"/>
    <w:rsid w:val="43B23412"/>
    <w:rsid w:val="472B1A05"/>
    <w:rsid w:val="48873DB8"/>
    <w:rsid w:val="4AAF22C7"/>
    <w:rsid w:val="4DE6289A"/>
    <w:rsid w:val="4FE171BC"/>
    <w:rsid w:val="531743B1"/>
    <w:rsid w:val="533073F3"/>
    <w:rsid w:val="57D5566E"/>
    <w:rsid w:val="594D6B86"/>
    <w:rsid w:val="59B35B52"/>
    <w:rsid w:val="59EC129F"/>
    <w:rsid w:val="5C061416"/>
    <w:rsid w:val="5CB23CB1"/>
    <w:rsid w:val="5EF65A05"/>
    <w:rsid w:val="61422A43"/>
    <w:rsid w:val="61881095"/>
    <w:rsid w:val="65455AFC"/>
    <w:rsid w:val="672E7FAC"/>
    <w:rsid w:val="672F0288"/>
    <w:rsid w:val="683B1B4D"/>
    <w:rsid w:val="690134C0"/>
    <w:rsid w:val="6970566E"/>
    <w:rsid w:val="6ABF7E9B"/>
    <w:rsid w:val="6AD51D8B"/>
    <w:rsid w:val="6C5A2033"/>
    <w:rsid w:val="6DD27AA9"/>
    <w:rsid w:val="6F64016F"/>
    <w:rsid w:val="71482403"/>
    <w:rsid w:val="72197B59"/>
    <w:rsid w:val="76FE1467"/>
    <w:rsid w:val="7B4D0851"/>
    <w:rsid w:val="7D103A42"/>
    <w:rsid w:val="7D2128F9"/>
    <w:rsid w:val="7DDF4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5"/>
    <w:qFormat/>
    <w:uiPriority w:val="0"/>
    <w:pPr>
      <w:tabs>
        <w:tab w:val="left" w:pos="8607"/>
      </w:tabs>
      <w:ind w:firstLine="420"/>
    </w:pPr>
  </w:style>
  <w:style w:type="paragraph" w:styleId="3">
    <w:name w:val="Body Text Indent"/>
    <w:basedOn w:val="1"/>
    <w:next w:val="4"/>
    <w:qFormat/>
    <w:uiPriority w:val="0"/>
    <w:pPr>
      <w:tabs>
        <w:tab w:val="left" w:pos="8607"/>
      </w:tabs>
      <w:spacing w:line="400" w:lineRule="exact"/>
      <w:ind w:firstLine="556"/>
    </w:pPr>
    <w:rPr>
      <w:sz w:val="28"/>
    </w:rPr>
  </w:style>
  <w:style w:type="paragraph" w:customStyle="1" w:styleId="4">
    <w:name w:val="样式 正文文本缩进 + 行距: 1.5 倍行距"/>
    <w:basedOn w:val="3"/>
    <w:qFormat/>
    <w:uiPriority w:val="0"/>
    <w:pPr>
      <w:spacing w:line="360" w:lineRule="auto"/>
      <w:ind w:left="0" w:leftChars="0" w:firstLine="560" w:firstLineChars="200"/>
    </w:pPr>
    <w:rPr>
      <w:rFonts w:cs="宋体"/>
      <w:b/>
      <w:bCs/>
      <w:sz w:val="28"/>
      <w:szCs w:val="20"/>
    </w:rPr>
  </w:style>
  <w:style w:type="paragraph" w:styleId="5">
    <w:name w:val="Body Text First Indent"/>
    <w:basedOn w:val="6"/>
    <w:next w:val="1"/>
    <w:qFormat/>
    <w:uiPriority w:val="0"/>
    <w:pPr>
      <w:spacing w:after="120" w:line="240" w:lineRule="auto"/>
      <w:ind w:firstLine="420" w:firstLineChars="100"/>
      <w:jc w:val="both"/>
    </w:pPr>
  </w:style>
  <w:style w:type="paragraph" w:styleId="6">
    <w:name w:val="Body Text"/>
    <w:basedOn w:val="1"/>
    <w:next w:val="7"/>
    <w:qFormat/>
    <w:uiPriority w:val="0"/>
    <w:pPr>
      <w:spacing w:line="460" w:lineRule="exact"/>
      <w:jc w:val="center"/>
    </w:pPr>
    <w:rPr>
      <w:color w:val="000000"/>
      <w:w w:val="90"/>
      <w:sz w:val="24"/>
      <w:szCs w:val="20"/>
    </w:rPr>
  </w:style>
  <w:style w:type="paragraph" w:styleId="7">
    <w:name w:val="List Bullet 5"/>
    <w:basedOn w:val="1"/>
    <w:qFormat/>
    <w:uiPriority w:val="0"/>
    <w:pPr>
      <w:numPr>
        <w:ilvl w:val="0"/>
        <w:numId w:val="1"/>
      </w:numPr>
    </w:pPr>
  </w:style>
  <w:style w:type="paragraph" w:styleId="8">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rPr>
      <w:sz w:val="24"/>
    </w:rPr>
  </w:style>
  <w:style w:type="paragraph" w:customStyle="1" w:styleId="12">
    <w:name w:val="Table Paragraph"/>
    <w:basedOn w:val="1"/>
    <w:qFormat/>
    <w:uiPriority w:val="1"/>
    <w:rPr>
      <w:rFonts w:ascii="宋体" w:hAnsi="宋体" w:eastAsia="宋体" w:cs="宋体"/>
      <w:lang w:val="zh-CN" w:eastAsia="zh-CN" w:bidi="zh-CN"/>
    </w:rPr>
  </w:style>
  <w:style w:type="paragraph" w:customStyle="1" w:styleId="13">
    <w:name w:val="XXXXX"/>
    <w:basedOn w:val="1"/>
    <w:qFormat/>
    <w:uiPriority w:val="0"/>
    <w:pPr>
      <w:spacing w:line="440" w:lineRule="exact"/>
      <w:ind w:firstLine="1526" w:firstLineChars="200"/>
    </w:pPr>
    <w:rPr>
      <w:rFonts w:ascii="Times New Roman" w:hAnsi="Times New Roman" w:eastAsia="宋体"/>
      <w:sz w:val="24"/>
    </w:rPr>
  </w:style>
  <w:style w:type="paragraph" w:customStyle="1" w:styleId="14">
    <w:name w:val="新正文"/>
    <w:basedOn w:val="1"/>
    <w:link w:val="15"/>
    <w:qFormat/>
    <w:uiPriority w:val="0"/>
    <w:pPr>
      <w:adjustRightInd w:val="0"/>
      <w:snapToGrid w:val="0"/>
      <w:spacing w:line="360" w:lineRule="auto"/>
      <w:ind w:firstLine="720" w:firstLineChars="200"/>
    </w:pPr>
    <w:rPr>
      <w:rFonts w:ascii="Times New Roman" w:hAnsi="Times New Roman" w:eastAsia="宋体"/>
      <w:sz w:val="24"/>
    </w:rPr>
  </w:style>
  <w:style w:type="character" w:customStyle="1" w:styleId="15">
    <w:name w:val="新正文 Char"/>
    <w:link w:val="14"/>
    <w:qFormat/>
    <w:uiPriority w:val="0"/>
    <w:rPr>
      <w:rFonts w:ascii="Times New Roman" w:hAnsi="Times New Roman" w:eastAsia="宋体"/>
      <w:sz w:val="24"/>
    </w:rPr>
  </w:style>
  <w:style w:type="paragraph" w:customStyle="1" w:styleId="16">
    <w:name w:val="标准正文"/>
    <w:basedOn w:val="1"/>
    <w:qFormat/>
    <w:uiPriority w:val="0"/>
    <w:pPr>
      <w:widowControl/>
      <w:spacing w:line="360" w:lineRule="auto"/>
      <w:ind w:firstLine="480" w:firstLineChars="200"/>
      <w:jc w:val="left"/>
    </w:pPr>
    <w:rPr>
      <w:rFonts w:hAnsi="宋体"/>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Administrator</cp:lastModifiedBy>
  <dcterms:modified xsi:type="dcterms:W3CDTF">2022-03-01T08:41:24Z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8681F8C87715465780150235C0B38E60</vt:lpwstr>
  </property>
</Properties>
</file>