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sz w:val="44"/>
          <w:szCs w:val="44"/>
          <w:shd w:val="clear" w:color="auto" w:fill="FFFFFF"/>
          <w:lang w:eastAsia="zh-CN"/>
        </w:rPr>
      </w:pPr>
      <w:bookmarkStart w:id="0" w:name="_GoBack"/>
      <w:bookmarkEnd w:id="0"/>
      <w:r>
        <w:rPr>
          <w:rFonts w:hint="eastAsia" w:ascii="Times New Roman" w:hAnsi="Times New Roman" w:eastAsia="方正小标宋_GBK" w:cs="Times New Roman"/>
          <w:spacing w:val="-20"/>
          <w:sz w:val="44"/>
          <w:szCs w:val="44"/>
          <w:lang w:eastAsia="zh-CN"/>
        </w:rPr>
        <w:t>西畴县柏林乡马蹄寨张家石旮旯石灰石矿山建设项目环境影响评价</w:t>
      </w:r>
      <w:r>
        <w:rPr>
          <w:rFonts w:hint="eastAsia" w:eastAsia="方正小标宋_GBK" w:cs="Times New Roman"/>
          <w:spacing w:val="-20"/>
          <w:sz w:val="44"/>
          <w:szCs w:val="44"/>
          <w:lang w:eastAsia="zh-CN"/>
        </w:rPr>
        <w:t>拟审批公示</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Times New Roman"/>
          <w:color w:val="000000"/>
          <w:sz w:val="32"/>
          <w:szCs w:val="32"/>
          <w:shd w:val="clear" w:color="auto" w:fill="FFFFFF"/>
          <w:lang w:eastAsia="zh-CN"/>
        </w:rPr>
      </w:pP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000000"/>
          <w:sz w:val="32"/>
          <w:szCs w:val="32"/>
          <w:shd w:val="clear" w:color="auto" w:fill="FFFFFF"/>
          <w:lang w:eastAsia="zh-CN"/>
        </w:rPr>
      </w:pPr>
      <w:r>
        <w:rPr>
          <w:rFonts w:hint="eastAsia" w:ascii="仿宋" w:hAnsi="仿宋" w:eastAsia="仿宋" w:cs="方正仿宋简体"/>
          <w:color w:val="000000"/>
          <w:sz w:val="32"/>
          <w:szCs w:val="32"/>
          <w:shd w:val="clear" w:color="auto" w:fill="FFFFFF"/>
          <w:lang w:eastAsia="zh-CN"/>
        </w:rPr>
        <w:t>我局拟对《西畴县柏林乡马蹄寨张家石旮旯石灰石矿山建设项目环</w:t>
      </w:r>
      <w:r>
        <w:rPr>
          <w:rFonts w:hint="default" w:ascii="仿宋" w:hAnsi="仿宋" w:eastAsia="仿宋" w:cs="方正仿宋简体"/>
          <w:color w:val="000000"/>
          <w:sz w:val="32"/>
          <w:szCs w:val="32"/>
          <w:shd w:val="clear" w:color="auto" w:fill="FFFFFF"/>
          <w:lang w:eastAsia="zh-CN"/>
        </w:rPr>
        <w:t>境影响</w:t>
      </w:r>
      <w:r>
        <w:rPr>
          <w:rFonts w:hint="eastAsia" w:ascii="仿宋" w:hAnsi="仿宋" w:eastAsia="仿宋" w:cs="方正仿宋简体"/>
          <w:color w:val="000000"/>
          <w:sz w:val="32"/>
          <w:szCs w:val="32"/>
          <w:shd w:val="clear" w:color="auto" w:fill="FFFFFF"/>
          <w:lang w:eastAsia="zh-CN"/>
        </w:rPr>
        <w:t>报告表》进行审批，现就项目环评相关情况予以公示。如有意见</w:t>
      </w:r>
      <w:r>
        <w:rPr>
          <w:rFonts w:hint="default" w:ascii="Times New Roman" w:hAnsi="Times New Roman" w:eastAsia="仿宋" w:cs="Times New Roman"/>
          <w:color w:val="000000"/>
          <w:sz w:val="32"/>
          <w:szCs w:val="32"/>
          <w:shd w:val="clear" w:color="auto" w:fill="FFFFFF"/>
          <w:lang w:eastAsia="zh-CN"/>
        </w:rPr>
        <w:t>，请在公示期内向我局来信来电进行反映。</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 w:cs="Times New Roman"/>
          <w:color w:val="000000"/>
          <w:sz w:val="32"/>
          <w:szCs w:val="32"/>
          <w:shd w:val="clear" w:color="auto" w:fill="FFFFFF"/>
          <w:lang w:eastAsia="zh-CN"/>
        </w:rPr>
      </w:pPr>
      <w:r>
        <w:rPr>
          <w:rFonts w:hint="default" w:ascii="Times New Roman" w:hAnsi="Times New Roman" w:eastAsia="仿宋" w:cs="Times New Roman"/>
          <w:color w:val="000000"/>
          <w:sz w:val="32"/>
          <w:szCs w:val="32"/>
          <w:shd w:val="clear" w:color="auto" w:fill="FFFFFF"/>
          <w:lang w:eastAsia="zh-CN"/>
        </w:rPr>
        <w:t>公示期：202</w:t>
      </w:r>
      <w:r>
        <w:rPr>
          <w:rFonts w:hint="eastAsia" w:ascii="Times New Roman" w:hAnsi="Times New Roman" w:eastAsia="仿宋" w:cs="Times New Roman"/>
          <w:color w:val="000000"/>
          <w:sz w:val="32"/>
          <w:szCs w:val="32"/>
          <w:shd w:val="clear" w:color="auto" w:fill="FFFFFF"/>
          <w:lang w:val="en-US" w:eastAsia="zh-CN"/>
        </w:rPr>
        <w:t>1</w:t>
      </w:r>
      <w:r>
        <w:rPr>
          <w:rFonts w:hint="default" w:ascii="Times New Roman" w:hAnsi="Times New Roman" w:eastAsia="仿宋" w:cs="Times New Roman"/>
          <w:color w:val="000000"/>
          <w:sz w:val="32"/>
          <w:szCs w:val="32"/>
          <w:shd w:val="clear" w:color="auto" w:fill="FFFFFF"/>
          <w:lang w:eastAsia="zh-CN"/>
        </w:rPr>
        <w:t>年</w:t>
      </w:r>
      <w:r>
        <w:rPr>
          <w:rFonts w:hint="eastAsia" w:ascii="Times New Roman" w:hAnsi="Times New Roman" w:eastAsia="仿宋" w:cs="Times New Roman"/>
          <w:color w:val="000000"/>
          <w:sz w:val="32"/>
          <w:szCs w:val="32"/>
          <w:shd w:val="clear" w:color="auto" w:fill="FFFFFF"/>
          <w:lang w:val="en-US" w:eastAsia="zh-CN"/>
        </w:rPr>
        <w:t>10</w:t>
      </w:r>
      <w:r>
        <w:rPr>
          <w:rFonts w:hint="default" w:ascii="Times New Roman" w:hAnsi="Times New Roman" w:eastAsia="仿宋" w:cs="Times New Roman"/>
          <w:color w:val="000000"/>
          <w:sz w:val="32"/>
          <w:szCs w:val="32"/>
          <w:shd w:val="clear" w:color="auto" w:fill="FFFFFF"/>
          <w:lang w:eastAsia="zh-CN"/>
        </w:rPr>
        <w:t>月</w:t>
      </w:r>
      <w:r>
        <w:rPr>
          <w:rFonts w:hint="eastAsia" w:ascii="Times New Roman" w:hAnsi="Times New Roman" w:eastAsia="仿宋" w:cs="Times New Roman"/>
          <w:color w:val="000000"/>
          <w:sz w:val="32"/>
          <w:szCs w:val="32"/>
          <w:shd w:val="clear" w:color="auto" w:fill="FFFFFF"/>
          <w:lang w:val="en-US" w:eastAsia="zh-CN"/>
        </w:rPr>
        <w:t>13</w:t>
      </w:r>
      <w:r>
        <w:rPr>
          <w:rFonts w:hint="default" w:ascii="Times New Roman" w:hAnsi="Times New Roman" w:eastAsia="仿宋" w:cs="Times New Roman"/>
          <w:color w:val="000000"/>
          <w:sz w:val="32"/>
          <w:szCs w:val="32"/>
          <w:shd w:val="clear" w:color="auto" w:fill="FFFFFF"/>
          <w:lang w:eastAsia="zh-CN"/>
        </w:rPr>
        <w:t>日至20</w:t>
      </w:r>
      <w:r>
        <w:rPr>
          <w:rFonts w:hint="eastAsia" w:ascii="Times New Roman" w:hAnsi="Times New Roman" w:eastAsia="仿宋" w:cs="Times New Roman"/>
          <w:color w:val="000000"/>
          <w:sz w:val="32"/>
          <w:szCs w:val="32"/>
          <w:shd w:val="clear" w:color="auto" w:fill="FFFFFF"/>
          <w:lang w:val="en-US" w:eastAsia="zh-CN"/>
        </w:rPr>
        <w:t>21</w:t>
      </w:r>
      <w:r>
        <w:rPr>
          <w:rFonts w:hint="default" w:ascii="Times New Roman" w:hAnsi="Times New Roman" w:eastAsia="仿宋" w:cs="Times New Roman"/>
          <w:color w:val="000000"/>
          <w:sz w:val="32"/>
          <w:szCs w:val="32"/>
          <w:shd w:val="clear" w:color="auto" w:fill="FFFFFF"/>
          <w:lang w:eastAsia="zh-CN"/>
        </w:rPr>
        <w:t>年</w:t>
      </w:r>
      <w:r>
        <w:rPr>
          <w:rFonts w:hint="eastAsia" w:ascii="Times New Roman" w:hAnsi="Times New Roman" w:eastAsia="仿宋" w:cs="Times New Roman"/>
          <w:color w:val="000000"/>
          <w:sz w:val="32"/>
          <w:szCs w:val="32"/>
          <w:shd w:val="clear" w:color="auto" w:fill="FFFFFF"/>
          <w:lang w:val="en-US" w:eastAsia="zh-CN"/>
        </w:rPr>
        <w:t>10</w:t>
      </w:r>
      <w:r>
        <w:rPr>
          <w:rFonts w:hint="default" w:ascii="Times New Roman" w:hAnsi="Times New Roman" w:eastAsia="仿宋" w:cs="Times New Roman"/>
          <w:color w:val="000000"/>
          <w:sz w:val="32"/>
          <w:szCs w:val="32"/>
          <w:shd w:val="clear" w:color="auto" w:fill="FFFFFF"/>
          <w:lang w:eastAsia="zh-CN"/>
        </w:rPr>
        <w:t>月</w:t>
      </w:r>
      <w:r>
        <w:rPr>
          <w:rFonts w:hint="eastAsia" w:ascii="Times New Roman" w:hAnsi="Times New Roman" w:eastAsia="仿宋" w:cs="Times New Roman"/>
          <w:color w:val="000000"/>
          <w:sz w:val="32"/>
          <w:szCs w:val="32"/>
          <w:shd w:val="clear" w:color="auto" w:fill="FFFFFF"/>
          <w:lang w:val="en-US" w:eastAsia="zh-CN"/>
        </w:rPr>
        <w:t>19</w:t>
      </w:r>
      <w:r>
        <w:rPr>
          <w:rFonts w:hint="default" w:ascii="Times New Roman" w:hAnsi="Times New Roman" w:eastAsia="仿宋" w:cs="Times New Roman"/>
          <w:color w:val="000000"/>
          <w:sz w:val="32"/>
          <w:szCs w:val="32"/>
          <w:shd w:val="clear" w:color="auto" w:fill="FFFFFF"/>
          <w:lang w:eastAsia="zh-CN"/>
        </w:rPr>
        <w:t>日</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 w:cs="Times New Roman"/>
          <w:color w:val="000000"/>
          <w:sz w:val="32"/>
          <w:szCs w:val="32"/>
          <w:shd w:val="clear" w:color="auto" w:fill="FFFFFF"/>
          <w:lang w:eastAsia="zh-CN"/>
        </w:rPr>
      </w:pPr>
      <w:r>
        <w:rPr>
          <w:rFonts w:hint="default" w:ascii="Times New Roman" w:hAnsi="Times New Roman" w:eastAsia="仿宋" w:cs="Times New Roman"/>
          <w:color w:val="000000"/>
          <w:sz w:val="32"/>
          <w:szCs w:val="32"/>
          <w:shd w:val="clear" w:color="auto" w:fill="FFFFFF"/>
          <w:lang w:eastAsia="zh-CN"/>
        </w:rPr>
        <w:t>联系地址：文山州生态环境局西畴分局法规与行政审批股</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 w:cs="Times New Roman"/>
          <w:color w:val="000000"/>
          <w:sz w:val="32"/>
          <w:szCs w:val="32"/>
          <w:shd w:val="clear" w:color="auto" w:fill="FFFFFF"/>
          <w:lang w:eastAsia="zh-CN"/>
        </w:rPr>
      </w:pPr>
      <w:r>
        <w:rPr>
          <w:rFonts w:hint="default" w:ascii="Times New Roman" w:hAnsi="Times New Roman" w:eastAsia="仿宋" w:cs="Times New Roman"/>
          <w:color w:val="000000"/>
          <w:sz w:val="32"/>
          <w:szCs w:val="32"/>
          <w:shd w:val="clear" w:color="auto" w:fill="FFFFFF"/>
          <w:lang w:eastAsia="zh-CN"/>
        </w:rPr>
        <w:t>联系电话：0876-3032248</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 w:cs="Times New Roman"/>
          <w:color w:val="000000"/>
          <w:sz w:val="32"/>
          <w:szCs w:val="32"/>
          <w:shd w:val="clear" w:color="auto" w:fill="FFFFFF"/>
          <w:lang w:eastAsia="zh-CN"/>
        </w:rPr>
      </w:pPr>
      <w:r>
        <w:rPr>
          <w:rFonts w:hint="default" w:ascii="Times New Roman" w:hAnsi="Times New Roman" w:eastAsia="仿宋" w:cs="Times New Roman"/>
          <w:color w:val="000000"/>
          <w:sz w:val="32"/>
          <w:szCs w:val="32"/>
          <w:shd w:val="clear" w:color="auto" w:fill="FFFFFF"/>
          <w:lang w:eastAsia="zh-CN"/>
        </w:rPr>
        <w:t>听证告知：依据《中华人民共和国行政许可法》，自公示之日起五个工作日内申请人、利害关系人可对以下拟作出的建设项目环境影响评价文件批复决定提出听证申请。</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 w:cs="Times New Roman"/>
          <w:color w:val="000000"/>
          <w:sz w:val="32"/>
          <w:szCs w:val="32"/>
          <w:shd w:val="clear" w:color="auto" w:fill="FFFFFF"/>
          <w:lang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 w:cs="Times New Roman"/>
          <w:color w:val="000000"/>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840" w:rightChars="400"/>
        <w:jc w:val="right"/>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文山州生态环境局西畴分局</w:t>
      </w:r>
    </w:p>
    <w:p>
      <w:pPr>
        <w:keepNext w:val="0"/>
        <w:keepLines w:val="0"/>
        <w:pageBreakBefore w:val="0"/>
        <w:widowControl w:val="0"/>
        <w:kinsoku/>
        <w:wordWrap w:val="0"/>
        <w:overflowPunct/>
        <w:topLinePunct w:val="0"/>
        <w:autoSpaceDE/>
        <w:autoSpaceDN/>
        <w:bidi w:val="0"/>
        <w:adjustRightInd/>
        <w:snapToGrid/>
        <w:spacing w:line="560" w:lineRule="exact"/>
        <w:ind w:right="840" w:rightChars="400"/>
        <w:jc w:val="right"/>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rPr>
        <w:t>20</w:t>
      </w:r>
      <w:r>
        <w:rPr>
          <w:rFonts w:hint="eastAsia" w:ascii="Times New Roman" w:hAnsi="Times New Roman" w:eastAsia="方正仿宋_GBK" w:cs="Times New Roman"/>
          <w:bCs/>
          <w:sz w:val="32"/>
          <w:szCs w:val="32"/>
          <w:lang w:val="en-US" w:eastAsia="zh-CN"/>
        </w:rPr>
        <w:t>21</w:t>
      </w:r>
      <w:r>
        <w:rPr>
          <w:rFonts w:hint="default" w:ascii="Times New Roman" w:hAnsi="Times New Roman" w:eastAsia="方正仿宋_GBK" w:cs="Times New Roman"/>
          <w:bCs/>
          <w:sz w:val="32"/>
          <w:szCs w:val="32"/>
        </w:rPr>
        <w:t>年</w:t>
      </w:r>
      <w:r>
        <w:rPr>
          <w:rFonts w:hint="eastAsia" w:ascii="Times New Roman" w:hAnsi="Times New Roman" w:eastAsia="方正仿宋_GBK" w:cs="Times New Roman"/>
          <w:bCs/>
          <w:sz w:val="32"/>
          <w:szCs w:val="32"/>
          <w:lang w:val="en-US" w:eastAsia="zh-CN"/>
        </w:rPr>
        <w:t>10</w:t>
      </w:r>
      <w:r>
        <w:rPr>
          <w:rFonts w:hint="default" w:ascii="Times New Roman" w:hAnsi="Times New Roman" w:eastAsia="方正仿宋_GBK" w:cs="Times New Roman"/>
          <w:bCs/>
          <w:sz w:val="32"/>
          <w:szCs w:val="32"/>
        </w:rPr>
        <w:t>月</w:t>
      </w:r>
      <w:r>
        <w:rPr>
          <w:rFonts w:hint="eastAsia" w:ascii="Times New Roman" w:hAnsi="Times New Roman" w:eastAsia="方正仿宋_GBK" w:cs="Times New Roman"/>
          <w:bCs/>
          <w:sz w:val="32"/>
          <w:szCs w:val="32"/>
          <w:lang w:val="en-US" w:eastAsia="zh-CN"/>
        </w:rPr>
        <w:t>13</w:t>
      </w:r>
      <w:r>
        <w:rPr>
          <w:rFonts w:hint="default" w:ascii="Times New Roman" w:hAnsi="Times New Roman" w:eastAsia="方正仿宋_GBK" w:cs="Times New Roman"/>
          <w:bCs/>
          <w:sz w:val="32"/>
          <w:szCs w:val="32"/>
        </w:rPr>
        <w:t>日</w:t>
      </w:r>
      <w:r>
        <w:rPr>
          <w:rFonts w:hint="eastAsia" w:ascii="Times New Roman" w:hAnsi="Times New Roman" w:eastAsia="方正仿宋_GBK" w:cs="Times New Roman"/>
          <w:bCs/>
          <w:sz w:val="32"/>
          <w:szCs w:val="32"/>
          <w:lang w:val="en-US" w:eastAsia="zh-CN"/>
        </w:rPr>
        <w:t xml:space="preserve">   </w:t>
      </w:r>
    </w:p>
    <w:p>
      <w:pPr>
        <w:rPr>
          <w:rFonts w:hint="eastAsia"/>
        </w:rPr>
      </w:pPr>
    </w:p>
    <w:p>
      <w:pP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br w:type="page"/>
      </w:r>
    </w:p>
    <w:tbl>
      <w:tblPr>
        <w:tblStyle w:val="10"/>
        <w:tblW w:w="10279" w:type="dxa"/>
        <w:tblInd w:w="-6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1356"/>
        <w:gridCol w:w="8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824" w:hRule="atLeast"/>
        </w:trPr>
        <w:tc>
          <w:tcPr>
            <w:tcW w:w="1356" w:type="dxa"/>
            <w:shd w:val="clear" w:color="auto" w:fill="FFFFFF"/>
            <w:tcMar>
              <w:top w:w="0" w:type="dxa"/>
              <w:left w:w="108" w:type="dxa"/>
              <w:bottom w:w="0" w:type="dxa"/>
              <w:right w:w="108" w:type="dxa"/>
            </w:tcMar>
            <w:vAlign w:val="center"/>
          </w:tcPr>
          <w:p>
            <w:pPr>
              <w:pStyle w:val="7"/>
              <w:keepNext w:val="0"/>
              <w:keepLines w:val="0"/>
              <w:pageBreakBefore w:val="0"/>
              <w:widowControl/>
              <w:shd w:val="clear" w:color="auto" w:fill="FFFFFF"/>
              <w:kinsoku/>
              <w:wordWrap/>
              <w:overflowPunct/>
              <w:topLinePunct w:val="0"/>
              <w:autoSpaceDE/>
              <w:autoSpaceDN/>
              <w:bidi w:val="0"/>
              <w:spacing w:line="240" w:lineRule="auto"/>
              <w:ind w:firstLine="0" w:firstLineChars="0"/>
              <w:textAlignment w:val="auto"/>
              <w:rPr>
                <w:rFonts w:hint="default" w:ascii="Times New Roman" w:hAnsi="Times New Roman" w:eastAsia="方正仿宋_GBK" w:cs="Times New Roman"/>
                <w:color w:val="000000"/>
                <w:sz w:val="24"/>
                <w:szCs w:val="24"/>
                <w:shd w:val="clear" w:color="auto" w:fill="FFFFFF"/>
                <w:lang w:eastAsia="zh-CN"/>
              </w:rPr>
            </w:pPr>
            <w:r>
              <w:rPr>
                <w:rFonts w:hint="default" w:ascii="Times New Roman" w:hAnsi="Times New Roman" w:eastAsia="方正仿宋_GBK" w:cs="Times New Roman"/>
                <w:color w:val="000000"/>
                <w:sz w:val="24"/>
                <w:szCs w:val="24"/>
                <w:shd w:val="clear" w:color="auto" w:fill="FFFFFF"/>
                <w:lang w:eastAsia="zh-CN"/>
              </w:rPr>
              <w:t>建设地点</w:t>
            </w:r>
          </w:p>
        </w:tc>
        <w:tc>
          <w:tcPr>
            <w:tcW w:w="8923" w:type="dxa"/>
            <w:shd w:val="clear" w:color="auto" w:fill="FFFFFF"/>
            <w:tcMar>
              <w:top w:w="0" w:type="dxa"/>
              <w:left w:w="108" w:type="dxa"/>
              <w:bottom w:w="0" w:type="dxa"/>
              <w:right w:w="108" w:type="dxa"/>
            </w:tcMar>
            <w:vAlign w:val="center"/>
          </w:tcPr>
          <w:p>
            <w:pPr>
              <w:pStyle w:val="7"/>
              <w:keepNext w:val="0"/>
              <w:keepLines w:val="0"/>
              <w:pageBreakBefore w:val="0"/>
              <w:widowControl/>
              <w:shd w:val="clear" w:color="auto" w:fill="FFFFFF"/>
              <w:kinsoku/>
              <w:wordWrap/>
              <w:overflowPunct/>
              <w:topLinePunct w:val="0"/>
              <w:autoSpaceDE/>
              <w:autoSpaceDN/>
              <w:bidi w:val="0"/>
              <w:spacing w:line="240" w:lineRule="auto"/>
              <w:ind w:firstLine="0" w:firstLineChars="0"/>
              <w:textAlignment w:val="auto"/>
              <w:rPr>
                <w:rFonts w:hint="eastAsia" w:ascii="Times New Roman" w:hAnsi="Times New Roman" w:eastAsia="方正仿宋_GBK" w:cs="Times New Roman"/>
                <w:b/>
                <w:bCs/>
                <w:color w:val="000000"/>
                <w:sz w:val="24"/>
                <w:szCs w:val="24"/>
                <w:shd w:val="clear" w:color="auto" w:fill="FFFFFF"/>
                <w:lang w:eastAsia="zh-CN"/>
              </w:rPr>
            </w:pPr>
            <w:r>
              <w:rPr>
                <w:rFonts w:hint="eastAsia" w:ascii="Times New Roman" w:hAnsi="Times New Roman" w:eastAsia="方正仿宋_GBK" w:cs="Times New Roman"/>
                <w:color w:val="000000"/>
                <w:kern w:val="2"/>
                <w:sz w:val="24"/>
                <w:szCs w:val="24"/>
                <w:shd w:val="clear" w:color="auto" w:fill="FFFFFF"/>
                <w:lang w:val="en-US" w:eastAsia="zh-CN" w:bidi="ar-SA"/>
              </w:rPr>
              <w:t>云南省文山州西畴县柏林乡马蹄寨村民委马蹄寨村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752" w:hRule="atLeast"/>
        </w:trPr>
        <w:tc>
          <w:tcPr>
            <w:tcW w:w="1356" w:type="dxa"/>
            <w:shd w:val="clear" w:color="auto" w:fill="FFFFFF"/>
            <w:tcMar>
              <w:top w:w="0" w:type="dxa"/>
              <w:left w:w="108" w:type="dxa"/>
              <w:bottom w:w="0" w:type="dxa"/>
              <w:right w:w="108" w:type="dxa"/>
            </w:tcMar>
            <w:vAlign w:val="center"/>
          </w:tcPr>
          <w:p>
            <w:pPr>
              <w:pStyle w:val="7"/>
              <w:keepNext w:val="0"/>
              <w:keepLines w:val="0"/>
              <w:pageBreakBefore w:val="0"/>
              <w:widowControl/>
              <w:shd w:val="clear" w:color="auto" w:fill="FFFFFF"/>
              <w:kinsoku/>
              <w:wordWrap/>
              <w:overflowPunct/>
              <w:topLinePunct w:val="0"/>
              <w:autoSpaceDE/>
              <w:autoSpaceDN/>
              <w:bidi w:val="0"/>
              <w:spacing w:line="240" w:lineRule="auto"/>
              <w:ind w:firstLine="0" w:firstLineChars="0"/>
              <w:textAlignment w:val="auto"/>
              <w:rPr>
                <w:rFonts w:hint="default" w:ascii="Times New Roman" w:hAnsi="Times New Roman" w:eastAsia="方正仿宋_GBK" w:cs="Times New Roman"/>
                <w:color w:val="000000"/>
                <w:sz w:val="24"/>
                <w:szCs w:val="24"/>
                <w:shd w:val="clear" w:color="auto" w:fill="FFFFFF"/>
                <w:lang w:eastAsia="zh-CN"/>
              </w:rPr>
            </w:pPr>
            <w:r>
              <w:rPr>
                <w:rFonts w:hint="default" w:ascii="Times New Roman" w:hAnsi="Times New Roman" w:eastAsia="方正仿宋_GBK" w:cs="Times New Roman"/>
                <w:color w:val="000000"/>
                <w:sz w:val="24"/>
                <w:szCs w:val="24"/>
                <w:shd w:val="clear" w:color="auto" w:fill="FFFFFF"/>
                <w:lang w:eastAsia="zh-CN"/>
              </w:rPr>
              <w:t>建设单位</w:t>
            </w:r>
          </w:p>
        </w:tc>
        <w:tc>
          <w:tcPr>
            <w:tcW w:w="8923" w:type="dxa"/>
            <w:shd w:val="clear" w:color="auto" w:fill="FFFFFF"/>
            <w:tcMar>
              <w:top w:w="0" w:type="dxa"/>
              <w:left w:w="108" w:type="dxa"/>
              <w:bottom w:w="0" w:type="dxa"/>
              <w:right w:w="108" w:type="dxa"/>
            </w:tcMar>
            <w:vAlign w:val="center"/>
          </w:tcPr>
          <w:p>
            <w:pPr>
              <w:pStyle w:val="7"/>
              <w:keepNext w:val="0"/>
              <w:keepLines w:val="0"/>
              <w:pageBreakBefore w:val="0"/>
              <w:widowControl/>
              <w:shd w:val="clear" w:color="auto" w:fill="FFFFFF"/>
              <w:kinsoku/>
              <w:wordWrap/>
              <w:overflowPunct/>
              <w:topLinePunct w:val="0"/>
              <w:autoSpaceDE/>
              <w:autoSpaceDN/>
              <w:bidi w:val="0"/>
              <w:spacing w:line="240" w:lineRule="auto"/>
              <w:ind w:firstLine="0" w:firstLineChars="0"/>
              <w:textAlignment w:val="auto"/>
              <w:rPr>
                <w:rFonts w:hint="default" w:ascii="Times New Roman" w:hAnsi="Times New Roman" w:eastAsia="方正仿宋_GBK" w:cs="Times New Roman"/>
                <w:color w:val="000000"/>
                <w:sz w:val="24"/>
                <w:szCs w:val="24"/>
                <w:shd w:val="clear" w:color="auto" w:fill="FFFFFF"/>
                <w:lang w:eastAsia="zh-CN"/>
              </w:rPr>
            </w:pPr>
            <w:r>
              <w:rPr>
                <w:rFonts w:hint="eastAsia" w:ascii="Times New Roman" w:hAnsi="Times New Roman" w:eastAsia="方正仿宋_GBK" w:cs="Times New Roman"/>
                <w:color w:val="000000"/>
                <w:sz w:val="24"/>
                <w:szCs w:val="24"/>
                <w:shd w:val="clear" w:color="auto" w:fill="FFFFFF"/>
                <w:lang w:val="en-US" w:eastAsia="zh-CN"/>
              </w:rPr>
              <w:t>西畴县柏林马蹄寨采石场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1033" w:hRule="atLeast"/>
        </w:trPr>
        <w:tc>
          <w:tcPr>
            <w:tcW w:w="1356" w:type="dxa"/>
            <w:shd w:val="clear" w:color="auto" w:fill="FFFFFF"/>
            <w:tcMar>
              <w:top w:w="0" w:type="dxa"/>
              <w:left w:w="108" w:type="dxa"/>
              <w:bottom w:w="0" w:type="dxa"/>
              <w:right w:w="108" w:type="dxa"/>
            </w:tcMar>
          </w:tcPr>
          <w:p>
            <w:pPr>
              <w:pStyle w:val="7"/>
              <w:keepNext w:val="0"/>
              <w:keepLines w:val="0"/>
              <w:pageBreakBefore w:val="0"/>
              <w:widowControl/>
              <w:shd w:val="clear" w:color="auto" w:fill="FFFFFF"/>
              <w:kinsoku/>
              <w:wordWrap/>
              <w:overflowPunct/>
              <w:topLinePunct w:val="0"/>
              <w:autoSpaceDE/>
              <w:autoSpaceDN/>
              <w:bidi w:val="0"/>
              <w:spacing w:line="240" w:lineRule="auto"/>
              <w:ind w:firstLine="0" w:firstLineChars="0"/>
              <w:textAlignment w:val="auto"/>
              <w:rPr>
                <w:rFonts w:hint="default" w:ascii="Times New Roman" w:hAnsi="Times New Roman" w:eastAsia="方正仿宋_GBK" w:cs="Times New Roman"/>
                <w:color w:val="000000"/>
                <w:sz w:val="24"/>
                <w:szCs w:val="24"/>
                <w:shd w:val="clear" w:color="auto" w:fill="FFFFFF"/>
                <w:lang w:eastAsia="zh-CN"/>
              </w:rPr>
            </w:pPr>
            <w:r>
              <w:rPr>
                <w:rFonts w:hint="default" w:ascii="Times New Roman" w:hAnsi="Times New Roman" w:eastAsia="方正仿宋_GBK" w:cs="Times New Roman"/>
                <w:color w:val="000000"/>
                <w:sz w:val="24"/>
                <w:szCs w:val="24"/>
                <w:shd w:val="clear" w:color="auto" w:fill="FFFFFF"/>
                <w:lang w:eastAsia="zh-CN"/>
              </w:rPr>
              <w:t>环境影响评价机构</w:t>
            </w:r>
          </w:p>
        </w:tc>
        <w:tc>
          <w:tcPr>
            <w:tcW w:w="8923" w:type="dxa"/>
            <w:shd w:val="clear" w:color="auto" w:fill="FFFFFF"/>
            <w:tcMar>
              <w:top w:w="0" w:type="dxa"/>
              <w:left w:w="108" w:type="dxa"/>
              <w:bottom w:w="0" w:type="dxa"/>
              <w:right w:w="108" w:type="dxa"/>
            </w:tcMar>
            <w:vAlign w:val="center"/>
          </w:tcPr>
          <w:p>
            <w:pPr>
              <w:pStyle w:val="7"/>
              <w:keepNext w:val="0"/>
              <w:keepLines w:val="0"/>
              <w:pageBreakBefore w:val="0"/>
              <w:widowControl/>
              <w:shd w:val="clear" w:color="auto" w:fill="FFFFFF"/>
              <w:kinsoku/>
              <w:wordWrap/>
              <w:overflowPunct/>
              <w:topLinePunct w:val="0"/>
              <w:autoSpaceDE/>
              <w:autoSpaceDN/>
              <w:bidi w:val="0"/>
              <w:spacing w:line="240" w:lineRule="auto"/>
              <w:ind w:firstLine="0" w:firstLineChars="0"/>
              <w:textAlignment w:val="auto"/>
              <w:rPr>
                <w:rFonts w:hint="eastAsia" w:ascii="Times New Roman" w:hAnsi="Times New Roman" w:eastAsia="方正仿宋_GBK" w:cs="Times New Roman"/>
                <w:color w:val="000000"/>
                <w:sz w:val="24"/>
                <w:szCs w:val="24"/>
                <w:shd w:val="clear" w:color="auto" w:fill="FFFFFF"/>
                <w:lang w:val="en-US" w:eastAsia="zh-CN"/>
              </w:rPr>
            </w:pPr>
            <w:r>
              <w:rPr>
                <w:rFonts w:hint="eastAsia" w:ascii="Times New Roman" w:hAnsi="Times New Roman" w:eastAsia="方正仿宋_GBK" w:cs="Times New Roman"/>
                <w:color w:val="000000"/>
                <w:sz w:val="24"/>
                <w:szCs w:val="24"/>
                <w:shd w:val="clear" w:color="auto" w:fill="FFFFFF"/>
                <w:lang w:val="en-US" w:eastAsia="zh-CN"/>
              </w:rPr>
              <w:t>云南浅蓝环保科技有限公司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10545" w:hRule="atLeast"/>
        </w:trPr>
        <w:tc>
          <w:tcPr>
            <w:tcW w:w="1356" w:type="dxa"/>
            <w:shd w:val="clear" w:color="auto" w:fill="FFFFFF"/>
            <w:tcMar>
              <w:top w:w="0" w:type="dxa"/>
              <w:left w:w="108" w:type="dxa"/>
              <w:bottom w:w="0" w:type="dxa"/>
              <w:right w:w="108" w:type="dxa"/>
            </w:tcMar>
          </w:tcPr>
          <w:p>
            <w:pPr>
              <w:pStyle w:val="7"/>
              <w:keepNext w:val="0"/>
              <w:keepLines w:val="0"/>
              <w:pageBreakBefore w:val="0"/>
              <w:widowControl/>
              <w:shd w:val="clear" w:color="auto" w:fill="FFFFFF"/>
              <w:kinsoku/>
              <w:wordWrap/>
              <w:overflowPunct/>
              <w:topLinePunct w:val="0"/>
              <w:autoSpaceDE/>
              <w:autoSpaceDN/>
              <w:bidi w:val="0"/>
              <w:spacing w:line="240" w:lineRule="auto"/>
              <w:ind w:firstLine="0" w:firstLineChars="0"/>
              <w:textAlignment w:val="auto"/>
              <w:rPr>
                <w:rFonts w:hint="default" w:ascii="Times New Roman" w:hAnsi="Times New Roman" w:eastAsia="方正仿宋_GBK" w:cs="Times New Roman"/>
                <w:color w:val="000000"/>
                <w:sz w:val="24"/>
                <w:szCs w:val="24"/>
                <w:shd w:val="clear" w:color="auto" w:fill="FFFFFF"/>
                <w:lang w:eastAsia="zh-CN"/>
              </w:rPr>
            </w:pPr>
            <w:r>
              <w:rPr>
                <w:rFonts w:hint="default" w:ascii="Times New Roman" w:hAnsi="Times New Roman" w:eastAsia="方正仿宋_GBK" w:cs="Times New Roman"/>
                <w:color w:val="000000"/>
                <w:sz w:val="24"/>
                <w:szCs w:val="24"/>
                <w:shd w:val="clear" w:color="auto" w:fill="FFFFFF"/>
                <w:lang w:eastAsia="zh-CN"/>
              </w:rPr>
              <w:t>项目概况</w:t>
            </w:r>
          </w:p>
        </w:tc>
        <w:tc>
          <w:tcPr>
            <w:tcW w:w="8923" w:type="dxa"/>
            <w:shd w:val="clear" w:color="auto" w:fill="FFFFFF"/>
            <w:tcMar>
              <w:top w:w="0" w:type="dxa"/>
              <w:left w:w="108" w:type="dxa"/>
              <w:bottom w:w="0" w:type="dxa"/>
              <w:right w:w="108" w:type="dxa"/>
            </w:tcMar>
          </w:tcPr>
          <w:p>
            <w:pPr>
              <w:pStyle w:val="12"/>
              <w:spacing w:line="364" w:lineRule="auto"/>
              <w:ind w:left="112" w:right="92" w:firstLine="480"/>
              <w:jc w:val="both"/>
              <w:rPr>
                <w:rFonts w:hint="default" w:ascii="方正仿宋_GBK" w:hAnsi="方正仿宋_GBK" w:eastAsia="方正仿宋_GBK" w:cs="方正仿宋_GBK"/>
                <w:kern w:val="2"/>
                <w:sz w:val="24"/>
                <w:szCs w:val="24"/>
                <w:highlight w:val="none"/>
                <w:lang w:val="en-US" w:eastAsia="zh-CN" w:bidi="ar-SA"/>
              </w:rPr>
            </w:pPr>
            <w:r>
              <w:rPr>
                <w:rFonts w:hint="eastAsia" w:ascii="方正仿宋_GBK" w:hAnsi="方正仿宋_GBK" w:eastAsia="方正仿宋_GBK" w:cs="方正仿宋_GBK"/>
                <w:kern w:val="2"/>
                <w:sz w:val="24"/>
                <w:szCs w:val="24"/>
                <w:highlight w:val="none"/>
                <w:lang w:val="en-US" w:eastAsia="zh-CN" w:bidi="ar-SA"/>
              </w:rPr>
              <w:t>项目名称：西畴县柏林乡马蹄寨张家石旮旯石灰石矿山，建设性质：改扩建，建设地点：云南省文山州西畴县柏林乡马蹄寨村民委马蹄寨村，生产规模：30 万吨/年，服务年限：生产服务年限为 11.2 年，矿区位于西畴县城 170°方向，直距 25 公里，行政区划隶属于西畴县柏林乡境内。地理极值坐标（国家 2000 大地坐标系）：东经 104°43′08″—104°43′24″，北纬 23°12′52″—23°13′07″。矿区至柏林乡 7 公里， 为乡村公路，至文山（州、市政府驻地）公路里程 90 公里，至西畴县城 55 公里。</w:t>
            </w:r>
          </w:p>
          <w:p>
            <w:pPr>
              <w:pStyle w:val="12"/>
              <w:spacing w:line="364" w:lineRule="auto"/>
              <w:ind w:left="112" w:right="92" w:firstLine="480"/>
              <w:jc w:val="both"/>
              <w:rPr>
                <w:rFonts w:hint="eastAsia" w:ascii="方正仿宋_GBK" w:hAnsi="方正仿宋_GBK" w:eastAsia="宋体" w:cs="方正仿宋_GBK"/>
                <w:kern w:val="2"/>
                <w:sz w:val="24"/>
                <w:szCs w:val="24"/>
                <w:highlight w:val="none"/>
                <w:lang w:val="en-US" w:eastAsia="zh-CN" w:bidi="ar-SA"/>
              </w:rPr>
            </w:pPr>
            <w:r>
              <w:rPr>
                <w:rFonts w:hint="eastAsia" w:ascii="方正仿宋_GBK" w:hAnsi="方正仿宋_GBK" w:eastAsia="方正仿宋_GBK" w:cs="方正仿宋_GBK"/>
                <w:kern w:val="2"/>
                <w:sz w:val="24"/>
                <w:szCs w:val="24"/>
                <w:highlight w:val="none"/>
                <w:lang w:val="en-US" w:eastAsia="zh-CN" w:bidi="ar-SA"/>
              </w:rPr>
              <w:t>西畴县柏林乡马蹄寨张家石旮旯石灰石矿山原有建设有破碎区、办公及生活场地、成品堆场等，在原有基础上进行改扩建，主要设置办公生活区、堆料场、生产区等，并配套设置储水池、配电室等附属设施。项目矿体位于矿区西北部，办公生活区位于采矿区东南侧，办公生活区距离爆破区大于 100 米，且不在爆破面山一侧，在安全范围之内。项目在采矿区东南侧设置一个破碎站及堆场，在生活区南侧设置机修场。原采空区设置排土场，用于堆放矿山剥离的废土、石、弃渣等。主要出入口设置于矿区东南侧。矿山原矿石经过破碎后作为普通建筑材料用中粗砂、细砂、粉砂、公分石、块石出售。本次利用资源量为变更矿区范围内保有控制资源量 272.60 万m</w:t>
            </w:r>
            <w:r>
              <w:rPr>
                <w:rFonts w:hint="eastAsia" w:ascii="方正仿宋_GBK" w:hAnsi="方正仿宋_GBK" w:eastAsia="方正仿宋_GBK" w:cs="方正仿宋_GBK"/>
                <w:kern w:val="2"/>
                <w:sz w:val="24"/>
                <w:szCs w:val="24"/>
                <w:highlight w:val="none"/>
                <w:vertAlign w:val="superscript"/>
                <w:lang w:val="en-US" w:eastAsia="zh-CN" w:bidi="ar-SA"/>
              </w:rPr>
              <w:t>3</w:t>
            </w:r>
            <w:r>
              <w:rPr>
                <w:rFonts w:hint="eastAsia" w:ascii="方正仿宋_GBK" w:hAnsi="方正仿宋_GBK" w:eastAsia="方正仿宋_GBK" w:cs="方正仿宋_GBK"/>
                <w:kern w:val="2"/>
                <w:sz w:val="24"/>
                <w:szCs w:val="24"/>
                <w:highlight w:val="none"/>
                <w:lang w:val="en-US" w:eastAsia="zh-CN" w:bidi="ar-SA"/>
              </w:rPr>
              <w:t>（686.94万吨）。矿山服务年限＝预可采资源储量÷年生产规模＝336.41 万 t÷30 万 t／年＝11.2 年。矿区开采方式为露天开采，开采规模为 30 万 t/年，矿区占地面积 0.0977km</w:t>
            </w:r>
            <w:r>
              <w:rPr>
                <w:rFonts w:hint="eastAsia" w:ascii="方正仿宋_GBK" w:hAnsi="方正仿宋_GBK" w:eastAsia="方正仿宋_GBK" w:cs="方正仿宋_GBK"/>
                <w:kern w:val="2"/>
                <w:sz w:val="24"/>
                <w:szCs w:val="24"/>
                <w:highlight w:val="none"/>
                <w:vertAlign w:val="superscript"/>
                <w:lang w:val="en-US" w:eastAsia="zh-CN" w:bidi="ar-SA"/>
              </w:rPr>
              <w:t>2</w:t>
            </w:r>
            <w:r>
              <w:rPr>
                <w:rFonts w:hint="eastAsia" w:ascii="方正仿宋_GBK" w:hAnsi="方正仿宋_GBK" w:eastAsia="方正仿宋_GBK" w:cs="方正仿宋_GBK"/>
                <w:kern w:val="2"/>
                <w:sz w:val="24"/>
                <w:szCs w:val="24"/>
                <w:highlight w:val="none"/>
                <w:lang w:val="en-US" w:eastAsia="zh-CN" w:bidi="ar-SA"/>
              </w:rPr>
              <w:t>， 设计开采标高为 1591m~1470m，设计开采矿体均位于矿权范围内。不再存在交叉、压覆（重叠）关系，由 17 个拐点圈闭，爆破任务由专业的有资质的爆破单位不定期的进行，项目内不设炸药储存库，不占用生态保护范围，不占用基本农田。项目总投资 150 万元，环保投资 56.8 万元，占总投资比例为 37.87%。计划 2021 年 8 月开工建设，2022 年 11 月建设完成。共计 13 个月。</w:t>
            </w:r>
          </w:p>
          <w:p>
            <w:pPr>
              <w:pStyle w:val="9"/>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13513" w:hRule="atLeast"/>
        </w:trPr>
        <w:tc>
          <w:tcPr>
            <w:tcW w:w="1356" w:type="dxa"/>
            <w:shd w:val="clear" w:color="auto" w:fill="FFFFFF"/>
            <w:tcMar>
              <w:top w:w="0" w:type="dxa"/>
              <w:left w:w="108" w:type="dxa"/>
              <w:bottom w:w="0" w:type="dxa"/>
              <w:right w:w="108" w:type="dxa"/>
            </w:tcMar>
          </w:tcPr>
          <w:p>
            <w:pPr>
              <w:pStyle w:val="7"/>
              <w:keepNext w:val="0"/>
              <w:keepLines w:val="0"/>
              <w:pageBreakBefore w:val="0"/>
              <w:widowControl/>
              <w:shd w:val="clear" w:color="auto" w:fill="FFFFFF"/>
              <w:kinsoku/>
              <w:wordWrap/>
              <w:overflowPunct/>
              <w:topLinePunct w:val="0"/>
              <w:autoSpaceDE/>
              <w:autoSpaceDN/>
              <w:bidi w:val="0"/>
              <w:spacing w:line="360" w:lineRule="auto"/>
              <w:textAlignment w:val="auto"/>
              <w:rPr>
                <w:rFonts w:hint="eastAsia" w:ascii="方正仿宋_GBK" w:hAnsi="方正仿宋_GBK" w:eastAsia="方正仿宋_GBK" w:cs="方正仿宋_GBK"/>
                <w:color w:val="000000"/>
                <w:sz w:val="24"/>
                <w:szCs w:val="24"/>
                <w:shd w:val="clear" w:color="auto" w:fill="FFFFFF"/>
                <w:lang w:eastAsia="zh-CN"/>
              </w:rPr>
            </w:pPr>
            <w:r>
              <w:rPr>
                <w:rFonts w:hint="eastAsia" w:ascii="方正仿宋_GBK" w:hAnsi="方正仿宋_GBK" w:eastAsia="方正仿宋_GBK" w:cs="方正仿宋_GBK"/>
                <w:color w:val="000000"/>
                <w:sz w:val="24"/>
                <w:szCs w:val="24"/>
                <w:shd w:val="clear" w:color="auto" w:fill="FFFFFF"/>
                <w:lang w:eastAsia="zh-CN"/>
              </w:rPr>
              <w:t>主要环境影响及预防或者减轻不良环境影响的对策和措施</w:t>
            </w:r>
          </w:p>
        </w:tc>
        <w:tc>
          <w:tcPr>
            <w:tcW w:w="8923" w:type="dxa"/>
            <w:shd w:val="clear" w:color="auto" w:fill="FFFFFF"/>
            <w:tcMar>
              <w:top w:w="0" w:type="dxa"/>
              <w:left w:w="108" w:type="dxa"/>
              <w:bottom w:w="0" w:type="dxa"/>
              <w:right w:w="108" w:type="dxa"/>
            </w:tcMar>
          </w:tcPr>
          <w:tbl>
            <w:tblPr>
              <w:tblStyle w:val="10"/>
              <w:tblW w:w="86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466"/>
              <w:gridCol w:w="1265"/>
              <w:gridCol w:w="629"/>
              <w:gridCol w:w="629"/>
              <w:gridCol w:w="3264"/>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jc w:val="center"/>
              </w:trPr>
              <w:tc>
                <w:tcPr>
                  <w:tcW w:w="508" w:type="dxa"/>
                  <w:tcBorders>
                    <w:tl2br w:val="single" w:color="auto" w:sz="6" w:space="0"/>
                  </w:tcBorders>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内容          类型</w:t>
                  </w:r>
                </w:p>
              </w:tc>
              <w:tc>
                <w:tcPr>
                  <w:tcW w:w="1731" w:type="dxa"/>
                  <w:gridSpan w:val="2"/>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排放源</w:t>
                  </w: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污染物名称</w:t>
                  </w:r>
                </w:p>
              </w:tc>
              <w:tc>
                <w:tcPr>
                  <w:tcW w:w="3264"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防治措施</w:t>
                  </w:r>
                </w:p>
              </w:tc>
              <w:tc>
                <w:tcPr>
                  <w:tcW w:w="1876" w:type="dxa"/>
                  <w:noWrap w:val="0"/>
                  <w:vAlign w:val="center"/>
                </w:tcPr>
                <w:p>
                  <w:pPr>
                    <w:numPr>
                      <w:ilvl w:val="0"/>
                      <w:numId w:val="0"/>
                    </w:numPr>
                    <w:adjustRightInd w:val="0"/>
                    <w:snapToGrid w:val="0"/>
                    <w:ind w:firstLine="420" w:firstLineChars="20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预期治</w:t>
                  </w:r>
                </w:p>
                <w:p>
                  <w:pPr>
                    <w:numPr>
                      <w:ilvl w:val="0"/>
                      <w:numId w:val="0"/>
                    </w:numPr>
                    <w:adjustRightInd w:val="0"/>
                    <w:snapToGrid w:val="0"/>
                    <w:ind w:firstLine="420" w:firstLineChars="20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jc w:val="center"/>
              </w:trPr>
              <w:tc>
                <w:tcPr>
                  <w:tcW w:w="508" w:type="dxa"/>
                  <w:vMerge w:val="restart"/>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大</w:t>
                  </w:r>
                </w:p>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气</w:t>
                  </w:r>
                </w:p>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污</w:t>
                  </w:r>
                </w:p>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染</w:t>
                  </w:r>
                </w:p>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物</w:t>
                  </w:r>
                </w:p>
              </w:tc>
              <w:tc>
                <w:tcPr>
                  <w:tcW w:w="466" w:type="dxa"/>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施</w:t>
                  </w:r>
                  <w:r>
                    <w:rPr>
                      <w:rFonts w:hint="eastAsia" w:asciiTheme="minorEastAsia" w:hAnsiTheme="minorEastAsia" w:cstheme="minorEastAsia"/>
                      <w:sz w:val="21"/>
                      <w:szCs w:val="21"/>
                      <w:highlight w:val="none"/>
                      <w:lang w:val="en-US" w:eastAsia="zh-CN"/>
                    </w:rPr>
                    <w:t>施</w:t>
                  </w:r>
                  <w:r>
                    <w:rPr>
                      <w:rFonts w:hint="eastAsia" w:asciiTheme="minorEastAsia" w:hAnsiTheme="minorEastAsia" w:eastAsiaTheme="minorEastAsia" w:cstheme="minorEastAsia"/>
                      <w:sz w:val="21"/>
                      <w:szCs w:val="21"/>
                      <w:highlight w:val="none"/>
                      <w:lang w:val="en-US" w:eastAsia="zh-CN"/>
                    </w:rPr>
                    <w:t>工期</w:t>
                  </w:r>
                </w:p>
              </w:tc>
              <w:tc>
                <w:tcPr>
                  <w:tcW w:w="1265"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土石方开挖、施工机械和运输车辆</w:t>
                  </w: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施工扬尘</w:t>
                  </w:r>
                  <w:r>
                    <w:rPr>
                      <w:rFonts w:hint="eastAsia" w:asciiTheme="minorEastAsia" w:hAnsiTheme="minorEastAsia" w:cstheme="minorEastAsia"/>
                      <w:sz w:val="21"/>
                      <w:szCs w:val="21"/>
                      <w:highlight w:val="none"/>
                      <w:lang w:val="en-US" w:eastAsia="zh-CN"/>
                    </w:rPr>
                    <w:t>、</w:t>
                  </w:r>
                  <w:r>
                    <w:rPr>
                      <w:spacing w:val="-4"/>
                      <w:sz w:val="24"/>
                      <w:highlight w:val="none"/>
                    </w:rPr>
                    <w:t xml:space="preserve"> </w:t>
                  </w:r>
                  <w:r>
                    <w:rPr>
                      <w:rFonts w:hint="eastAsia" w:asciiTheme="minorEastAsia" w:hAnsiTheme="minorEastAsia" w:eastAsiaTheme="minorEastAsia" w:cstheme="minorEastAsia"/>
                      <w:sz w:val="21"/>
                      <w:szCs w:val="21"/>
                      <w:highlight w:val="none"/>
                      <w:lang w:val="en-US" w:eastAsia="zh-CN"/>
                    </w:rPr>
                    <w:t>CO、烃类等</w:t>
                  </w:r>
                </w:p>
              </w:tc>
              <w:tc>
                <w:tcPr>
                  <w:tcW w:w="3264"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①严格管理，文明施工；②施工场地实时洒水抑尘，大风天气增加洒水次数；③车辆进入施工场地限速行驶，采用封闭车斗，车斗应用棚布遮盖严实，减少扬尘产生量；④规范车辆装载方式，</w:t>
                  </w:r>
                  <w:r>
                    <w:rPr>
                      <w:rFonts w:hint="eastAsia" w:asciiTheme="minorEastAsia" w:hAnsiTheme="minorEastAsia" w:cstheme="minorEastAsia"/>
                      <w:sz w:val="21"/>
                      <w:szCs w:val="21"/>
                      <w:highlight w:val="none"/>
                      <w:lang w:val="en-US" w:eastAsia="zh-CN"/>
                    </w:rPr>
                    <w:t>车辆定期保养，减少燃油废气的污染物排放</w:t>
                  </w:r>
                  <w:r>
                    <w:rPr>
                      <w:rFonts w:hint="eastAsia" w:asciiTheme="minorEastAsia" w:hAnsiTheme="minorEastAsia" w:eastAsiaTheme="minorEastAsia" w:cstheme="minorEastAsia"/>
                      <w:sz w:val="21"/>
                      <w:szCs w:val="21"/>
                      <w:highlight w:val="none"/>
                      <w:lang w:val="en-US" w:eastAsia="zh-CN"/>
                    </w:rPr>
                    <w:t>；⑤合理安排施工期，避开大风天，完工后及时清场，加强管理。</w:t>
                  </w:r>
                </w:p>
              </w:tc>
              <w:tc>
                <w:tcPr>
                  <w:tcW w:w="1876" w:type="dxa"/>
                  <w:noWrap w:val="0"/>
                  <w:vAlign w:val="center"/>
                </w:tcPr>
                <w:p>
                  <w:pPr>
                    <w:numPr>
                      <w:ilvl w:val="0"/>
                      <w:numId w:val="0"/>
                    </w:numPr>
                    <w:adjustRightInd w:val="0"/>
                    <w:snapToGrid w:val="0"/>
                    <w:jc w:val="both"/>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对环境影响较小</w:t>
                  </w:r>
                </w:p>
                <w:p>
                  <w:pPr>
                    <w:numPr>
                      <w:ilvl w:val="0"/>
                      <w:numId w:val="0"/>
                    </w:numPr>
                    <w:adjustRightInd w:val="0"/>
                    <w:snapToGrid w:val="0"/>
                    <w:ind w:firstLine="420" w:firstLineChars="200"/>
                    <w:jc w:val="both"/>
                    <w:rPr>
                      <w:rFonts w:hint="eastAsia" w:asciiTheme="minorEastAsia" w:hAnsiTheme="minorEastAsia" w:eastAsiaTheme="minorEastAsia" w:cstheme="minorEastAsia"/>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508"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466" w:type="dxa"/>
                  <w:vMerge w:val="restart"/>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运</w:t>
                  </w:r>
                  <w:r>
                    <w:rPr>
                      <w:rFonts w:hint="eastAsia" w:asciiTheme="minorEastAsia" w:hAnsiTheme="minorEastAsia" w:cstheme="minorEastAsia"/>
                      <w:sz w:val="21"/>
                      <w:szCs w:val="21"/>
                      <w:highlight w:val="none"/>
                      <w:lang w:val="en-US" w:eastAsia="zh-CN"/>
                    </w:rPr>
                    <w:t>运</w:t>
                  </w:r>
                  <w:r>
                    <w:rPr>
                      <w:rFonts w:hint="eastAsia" w:asciiTheme="minorEastAsia" w:hAnsiTheme="minorEastAsia" w:eastAsiaTheme="minorEastAsia" w:cstheme="minorEastAsia"/>
                      <w:sz w:val="21"/>
                      <w:szCs w:val="21"/>
                      <w:highlight w:val="none"/>
                      <w:lang w:val="en-US" w:eastAsia="zh-CN"/>
                    </w:rPr>
                    <w:t>营期</w:t>
                  </w:r>
                </w:p>
              </w:tc>
              <w:tc>
                <w:tcPr>
                  <w:tcW w:w="1265" w:type="dxa"/>
                  <w:vMerge w:val="restart"/>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施工作业</w:t>
                  </w:r>
                </w:p>
              </w:tc>
              <w:tc>
                <w:tcPr>
                  <w:tcW w:w="629" w:type="dxa"/>
                  <w:vMerge w:val="restart"/>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工业场地粉尘</w:t>
                  </w:r>
                </w:p>
              </w:tc>
              <w:tc>
                <w:tcPr>
                  <w:tcW w:w="629"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原料堆场</w:t>
                  </w:r>
                </w:p>
              </w:tc>
              <w:tc>
                <w:tcPr>
                  <w:tcW w:w="3264" w:type="dxa"/>
                  <w:noWrap w:val="0"/>
                  <w:vAlign w:val="center"/>
                </w:tcPr>
                <w:p>
                  <w:pPr>
                    <w:numPr>
                      <w:ilvl w:val="0"/>
                      <w:numId w:val="0"/>
                    </w:numPr>
                    <w:adjustRightInd w:val="0"/>
                    <w:snapToGrid w:val="0"/>
                    <w:jc w:val="left"/>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设置顶棚和三面围挡，定期</w:t>
                  </w:r>
                </w:p>
                <w:p>
                  <w:pPr>
                    <w:numPr>
                      <w:ilvl w:val="0"/>
                      <w:numId w:val="0"/>
                    </w:numPr>
                    <w:adjustRightInd w:val="0"/>
                    <w:snapToGrid w:val="0"/>
                    <w:jc w:val="left"/>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洒水降尘。</w:t>
                  </w:r>
                </w:p>
              </w:tc>
              <w:tc>
                <w:tcPr>
                  <w:tcW w:w="1876" w:type="dxa"/>
                  <w:vMerge w:val="restart"/>
                  <w:noWrap w:val="0"/>
                  <w:vAlign w:val="center"/>
                </w:tcPr>
                <w:p>
                  <w:pPr>
                    <w:numPr>
                      <w:ilvl w:val="0"/>
                      <w:numId w:val="0"/>
                    </w:numPr>
                    <w:adjustRightInd w:val="0"/>
                    <w:snapToGrid w:val="0"/>
                    <w:jc w:val="both"/>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508"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466"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1265"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629"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629"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破碎及</w:t>
                  </w:r>
                  <w:r>
                    <w:rPr>
                      <w:rFonts w:hint="eastAsia" w:asciiTheme="minorEastAsia" w:hAnsiTheme="minorEastAsia" w:cstheme="minorEastAsia"/>
                      <w:sz w:val="21"/>
                      <w:szCs w:val="21"/>
                      <w:highlight w:val="none"/>
                      <w:lang w:val="en-US" w:eastAsia="zh-CN"/>
                    </w:rPr>
                    <w:t>筛</w:t>
                  </w:r>
                  <w:r>
                    <w:rPr>
                      <w:rFonts w:hint="eastAsia" w:asciiTheme="minorEastAsia" w:hAnsiTheme="minorEastAsia" w:eastAsiaTheme="minorEastAsia" w:cstheme="minorEastAsia"/>
                      <w:sz w:val="21"/>
                      <w:szCs w:val="21"/>
                      <w:highlight w:val="none"/>
                      <w:lang w:val="en-US" w:eastAsia="zh-CN"/>
                    </w:rPr>
                    <w:t>分</w:t>
                  </w:r>
                </w:p>
              </w:tc>
              <w:tc>
                <w:tcPr>
                  <w:tcW w:w="3264"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破碎车间为密闭厂房，进行有组织收尘处置，粗碎及筛分和细碎及筛分分别设置1套布袋除尘器，经布袋除尘器处理后的废气由1根15m高排气筒排放。</w:t>
                  </w:r>
                </w:p>
              </w:tc>
              <w:tc>
                <w:tcPr>
                  <w:tcW w:w="1876" w:type="dxa"/>
                  <w:vMerge w:val="continue"/>
                  <w:noWrap w:val="0"/>
                  <w:vAlign w:val="center"/>
                </w:tcPr>
                <w:p>
                  <w:pPr>
                    <w:numPr>
                      <w:ilvl w:val="0"/>
                      <w:numId w:val="0"/>
                    </w:numPr>
                    <w:adjustRightInd w:val="0"/>
                    <w:snapToGrid w:val="0"/>
                    <w:ind w:firstLine="420" w:firstLineChars="200"/>
                    <w:jc w:val="both"/>
                    <w:rPr>
                      <w:rFonts w:hint="eastAsia" w:asciiTheme="minorEastAsia" w:hAnsiTheme="minorEastAsia" w:eastAsiaTheme="minorEastAsia" w:cstheme="minorEastAsia"/>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508"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466"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1265"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629"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629"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皮带运输</w:t>
                  </w:r>
                </w:p>
              </w:tc>
              <w:tc>
                <w:tcPr>
                  <w:tcW w:w="3264"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运输皮带落料口设置</w:t>
                  </w:r>
                  <w:r>
                    <w:rPr>
                      <w:rFonts w:hint="eastAsia" w:asciiTheme="minorEastAsia" w:hAnsiTheme="minorEastAsia" w:cstheme="minorEastAsia"/>
                      <w:sz w:val="21"/>
                      <w:szCs w:val="21"/>
                      <w:highlight w:val="none"/>
                      <w:lang w:val="en-US" w:eastAsia="zh-CN"/>
                    </w:rPr>
                    <w:t>溜</w:t>
                  </w:r>
                  <w:r>
                    <w:rPr>
                      <w:rFonts w:hint="eastAsia" w:asciiTheme="minorEastAsia" w:hAnsiTheme="minorEastAsia" w:eastAsiaTheme="minorEastAsia" w:cstheme="minorEastAsia"/>
                      <w:sz w:val="21"/>
                      <w:szCs w:val="21"/>
                      <w:highlight w:val="none"/>
                      <w:lang w:val="en-US" w:eastAsia="zh-CN"/>
                    </w:rPr>
                    <w:t>槽、洒水降尘、输送带进行封闭覆盖</w:t>
                  </w:r>
                  <w:r>
                    <w:rPr>
                      <w:rFonts w:hint="eastAsia" w:asciiTheme="minorEastAsia" w:hAnsiTheme="minorEastAsia" w:cstheme="minorEastAsia"/>
                      <w:sz w:val="21"/>
                      <w:szCs w:val="21"/>
                      <w:highlight w:val="none"/>
                      <w:lang w:val="en-US" w:eastAsia="zh-CN"/>
                    </w:rPr>
                    <w:t>。</w:t>
                  </w:r>
                </w:p>
              </w:tc>
              <w:tc>
                <w:tcPr>
                  <w:tcW w:w="1876" w:type="dxa"/>
                  <w:vMerge w:val="continue"/>
                  <w:noWrap w:val="0"/>
                  <w:vAlign w:val="center"/>
                </w:tcPr>
                <w:p>
                  <w:pPr>
                    <w:numPr>
                      <w:ilvl w:val="0"/>
                      <w:numId w:val="0"/>
                    </w:numPr>
                    <w:adjustRightInd w:val="0"/>
                    <w:snapToGrid w:val="0"/>
                    <w:ind w:firstLine="420" w:firstLineChars="200"/>
                    <w:jc w:val="both"/>
                    <w:rPr>
                      <w:rFonts w:hint="eastAsia" w:asciiTheme="minorEastAsia" w:hAnsiTheme="minorEastAsia" w:eastAsiaTheme="minorEastAsia" w:cstheme="minorEastAsia"/>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508"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466"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1265"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运输扬尘</w:t>
                  </w:r>
                </w:p>
              </w:tc>
              <w:tc>
                <w:tcPr>
                  <w:tcW w:w="3264"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洒水车；限速行驶；汽车加盖篷布，运输道路水泥硬化</w:t>
                  </w:r>
                  <w:r>
                    <w:rPr>
                      <w:rFonts w:hint="eastAsia" w:asciiTheme="minorEastAsia" w:hAnsiTheme="minorEastAsia" w:cstheme="minorEastAsia"/>
                      <w:sz w:val="21"/>
                      <w:szCs w:val="21"/>
                      <w:highlight w:val="none"/>
                      <w:lang w:val="en-US" w:eastAsia="zh-CN"/>
                    </w:rPr>
                    <w:t>。</w:t>
                  </w:r>
                </w:p>
              </w:tc>
              <w:tc>
                <w:tcPr>
                  <w:tcW w:w="1876" w:type="dxa"/>
                  <w:noWrap w:val="0"/>
                  <w:vAlign w:val="center"/>
                </w:tcPr>
                <w:p>
                  <w:pPr>
                    <w:numPr>
                      <w:ilvl w:val="0"/>
                      <w:numId w:val="0"/>
                    </w:numPr>
                    <w:adjustRightInd w:val="0"/>
                    <w:snapToGrid w:val="0"/>
                    <w:jc w:val="both"/>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508"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466"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1265"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采区粉尘</w:t>
                  </w:r>
                </w:p>
              </w:tc>
              <w:tc>
                <w:tcPr>
                  <w:tcW w:w="3264"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采矿区、运输道路等配置1台</w:t>
                  </w:r>
                  <w:r>
                    <w:rPr>
                      <w:rFonts w:hint="eastAsia" w:asciiTheme="minorEastAsia" w:hAnsiTheme="minorEastAsia" w:cstheme="minorEastAsia"/>
                      <w:sz w:val="21"/>
                      <w:szCs w:val="21"/>
                      <w:highlight w:val="none"/>
                      <w:lang w:val="en-US" w:eastAsia="zh-CN"/>
                    </w:rPr>
                    <w:t>专用</w:t>
                  </w:r>
                  <w:r>
                    <w:rPr>
                      <w:rFonts w:hint="eastAsia" w:asciiTheme="minorEastAsia" w:hAnsiTheme="minorEastAsia" w:eastAsiaTheme="minorEastAsia" w:cstheme="minorEastAsia"/>
                      <w:sz w:val="21"/>
                      <w:szCs w:val="21"/>
                      <w:highlight w:val="none"/>
                      <w:lang w:val="en-US" w:eastAsia="zh-CN"/>
                    </w:rPr>
                    <w:t>洒水车进行洒水抑尘；湿法作业</w:t>
                  </w:r>
                  <w:r>
                    <w:rPr>
                      <w:rFonts w:hint="eastAsia" w:asciiTheme="minorEastAsia" w:hAnsiTheme="minorEastAsia" w:cstheme="minorEastAsia"/>
                      <w:sz w:val="21"/>
                      <w:szCs w:val="21"/>
                      <w:highlight w:val="none"/>
                      <w:lang w:val="en-US" w:eastAsia="zh-CN"/>
                    </w:rPr>
                    <w:t>。</w:t>
                  </w:r>
                </w:p>
              </w:tc>
              <w:tc>
                <w:tcPr>
                  <w:tcW w:w="1876" w:type="dxa"/>
                  <w:noWrap w:val="0"/>
                  <w:vAlign w:val="center"/>
                </w:tcPr>
                <w:p>
                  <w:pPr>
                    <w:numPr>
                      <w:ilvl w:val="0"/>
                      <w:numId w:val="0"/>
                    </w:numPr>
                    <w:adjustRightInd w:val="0"/>
                    <w:snapToGrid w:val="0"/>
                    <w:jc w:val="both"/>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08"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466"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1265"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1258" w:type="dxa"/>
                  <w:gridSpan w:val="2"/>
                  <w:noWrap w:val="0"/>
                  <w:vAlign w:val="center"/>
                </w:tcPr>
                <w:p>
                  <w:pPr>
                    <w:numPr>
                      <w:ilvl w:val="0"/>
                      <w:numId w:val="0"/>
                    </w:numPr>
                    <w:adjustRightInd w:val="0"/>
                    <w:snapToGrid w:val="0"/>
                    <w:rPr>
                      <w:rFonts w:hint="eastAsia" w:asciiTheme="minorEastAsia" w:hAnsiTheme="minorEastAsia" w:cstheme="minorEastAsia"/>
                      <w:sz w:val="21"/>
                      <w:szCs w:val="21"/>
                      <w:highlight w:val="none"/>
                      <w:lang w:val="en-US" w:eastAsia="zh-CN"/>
                    </w:rPr>
                  </w:pPr>
                  <w:r>
                    <w:rPr>
                      <w:rFonts w:hint="eastAsia" w:asciiTheme="minorEastAsia" w:hAnsiTheme="minorEastAsia" w:cstheme="minorEastAsia"/>
                      <w:sz w:val="21"/>
                      <w:szCs w:val="21"/>
                      <w:highlight w:val="none"/>
                      <w:lang w:val="en-US" w:eastAsia="zh-CN"/>
                    </w:rPr>
                    <w:t>排土堆场粉尘</w:t>
                  </w:r>
                </w:p>
              </w:tc>
              <w:tc>
                <w:tcPr>
                  <w:tcW w:w="3264" w:type="dxa"/>
                  <w:noWrap w:val="0"/>
                  <w:vAlign w:val="center"/>
                </w:tcPr>
                <w:p>
                  <w:pPr>
                    <w:numPr>
                      <w:ilvl w:val="0"/>
                      <w:numId w:val="0"/>
                    </w:numPr>
                    <w:adjustRightInd w:val="0"/>
                    <w:snapToGrid w:val="0"/>
                    <w:rPr>
                      <w:rFonts w:hint="eastAsia" w:asciiTheme="minorEastAsia" w:hAnsiTheme="minorEastAsia" w:cstheme="minorEastAsia"/>
                      <w:sz w:val="21"/>
                      <w:szCs w:val="21"/>
                      <w:highlight w:val="none"/>
                      <w:lang w:val="en-US" w:eastAsia="zh-CN"/>
                    </w:rPr>
                  </w:pPr>
                  <w:r>
                    <w:rPr>
                      <w:rFonts w:hint="eastAsia" w:asciiTheme="minorEastAsia" w:hAnsiTheme="minorEastAsia" w:cstheme="minorEastAsia"/>
                      <w:sz w:val="21"/>
                      <w:szCs w:val="21"/>
                      <w:highlight w:val="none"/>
                      <w:lang w:val="en-US" w:eastAsia="zh-CN"/>
                    </w:rPr>
                    <w:t>毡布覆盖，设置喷淋洒水措施。</w:t>
                  </w:r>
                </w:p>
              </w:tc>
              <w:tc>
                <w:tcPr>
                  <w:tcW w:w="1876" w:type="dxa"/>
                  <w:vMerge w:val="restart"/>
                  <w:noWrap w:val="0"/>
                  <w:vAlign w:val="center"/>
                </w:tcPr>
                <w:p>
                  <w:pPr>
                    <w:numPr>
                      <w:ilvl w:val="0"/>
                      <w:numId w:val="0"/>
                    </w:numPr>
                    <w:adjustRightInd w:val="0"/>
                    <w:snapToGrid w:val="0"/>
                    <w:jc w:val="both"/>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508" w:type="dxa"/>
                  <w:vMerge w:val="continue"/>
                  <w:noWrap w:val="0"/>
                  <w:vAlign w:val="center"/>
                </w:tcPr>
                <w:p>
                  <w:pPr>
                    <w:adjustRightInd w:val="0"/>
                    <w:snapToGrid w:val="0"/>
                    <w:rPr>
                      <w:highlight w:val="none"/>
                    </w:rPr>
                  </w:pPr>
                </w:p>
              </w:tc>
              <w:tc>
                <w:tcPr>
                  <w:tcW w:w="466" w:type="dxa"/>
                  <w:vMerge w:val="continue"/>
                  <w:noWrap w:val="0"/>
                  <w:vAlign w:val="center"/>
                </w:tcPr>
                <w:p>
                  <w:pPr>
                    <w:adjustRightInd w:val="0"/>
                    <w:snapToGrid w:val="0"/>
                    <w:rPr>
                      <w:highlight w:val="none"/>
                    </w:rPr>
                  </w:pPr>
                </w:p>
              </w:tc>
              <w:tc>
                <w:tcPr>
                  <w:tcW w:w="1265" w:type="dxa"/>
                  <w:vMerge w:val="continue"/>
                  <w:noWrap w:val="0"/>
                  <w:vAlign w:val="center"/>
                </w:tcPr>
                <w:p>
                  <w:pPr>
                    <w:adjustRightInd w:val="0"/>
                    <w:snapToGrid w:val="0"/>
                    <w:rPr>
                      <w:highlight w:val="none"/>
                    </w:rPr>
                  </w:pPr>
                </w:p>
              </w:tc>
              <w:tc>
                <w:tcPr>
                  <w:tcW w:w="1258" w:type="dxa"/>
                  <w:gridSpan w:val="2"/>
                  <w:noWrap w:val="0"/>
                  <w:vAlign w:val="center"/>
                </w:tcPr>
                <w:p>
                  <w:pPr>
                    <w:numPr>
                      <w:ilvl w:val="0"/>
                      <w:numId w:val="0"/>
                    </w:numPr>
                    <w:adjustRightInd w:val="0"/>
                    <w:snapToGrid w:val="0"/>
                    <w:rPr>
                      <w:rFonts w:hint="eastAsia" w:asciiTheme="minorEastAsia" w:hAnsiTheme="minorEastAsia" w:cstheme="minorEastAsia"/>
                      <w:sz w:val="21"/>
                      <w:szCs w:val="21"/>
                      <w:highlight w:val="none"/>
                      <w:lang w:val="en-US" w:eastAsia="zh-CN"/>
                    </w:rPr>
                  </w:pPr>
                  <w:r>
                    <w:rPr>
                      <w:rFonts w:hint="eastAsia" w:asciiTheme="minorEastAsia" w:hAnsiTheme="minorEastAsia" w:cstheme="minorEastAsia"/>
                      <w:sz w:val="21"/>
                      <w:szCs w:val="21"/>
                      <w:highlight w:val="none"/>
                      <w:lang w:val="en-US" w:eastAsia="zh-CN"/>
                    </w:rPr>
                    <w:t>食堂油烟</w:t>
                  </w:r>
                </w:p>
              </w:tc>
              <w:tc>
                <w:tcPr>
                  <w:tcW w:w="3264" w:type="dxa"/>
                  <w:noWrap w:val="0"/>
                  <w:vAlign w:val="center"/>
                </w:tcPr>
                <w:p>
                  <w:pPr>
                    <w:numPr>
                      <w:ilvl w:val="0"/>
                      <w:numId w:val="0"/>
                    </w:numPr>
                    <w:adjustRightInd w:val="0"/>
                    <w:snapToGrid w:val="0"/>
                    <w:rPr>
                      <w:rFonts w:hint="default" w:asciiTheme="minorEastAsia" w:hAnsiTheme="minorEastAsia" w:cstheme="minorEastAsia"/>
                      <w:sz w:val="21"/>
                      <w:szCs w:val="21"/>
                      <w:highlight w:val="none"/>
                      <w:lang w:val="en-US" w:eastAsia="zh-CN"/>
                    </w:rPr>
                  </w:pPr>
                  <w:r>
                    <w:rPr>
                      <w:rFonts w:hint="eastAsia" w:asciiTheme="minorEastAsia" w:hAnsiTheme="minorEastAsia" w:cstheme="minorEastAsia"/>
                      <w:sz w:val="21"/>
                      <w:szCs w:val="21"/>
                      <w:highlight w:val="none"/>
                      <w:lang w:val="en-US" w:eastAsia="zh-CN"/>
                    </w:rPr>
                    <w:t>设置抽油烟机</w:t>
                  </w:r>
                </w:p>
              </w:tc>
              <w:tc>
                <w:tcPr>
                  <w:tcW w:w="1876" w:type="dxa"/>
                  <w:vMerge w:val="continue"/>
                  <w:noWrap w:val="0"/>
                  <w:vAlign w:val="center"/>
                </w:tcPr>
                <w:p>
                  <w:pPr>
                    <w:adjustRightInd w:val="0"/>
                    <w:snapToGrid w:val="0"/>
                    <w:rPr>
                      <w:rFonts w:hint="eastAsia" w:asciiTheme="minorEastAsia" w:hAnsiTheme="minorEastAsia" w:cstheme="minorEastAsia"/>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508" w:type="dxa"/>
                  <w:vMerge w:val="restart"/>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水</w:t>
                  </w:r>
                </w:p>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污</w:t>
                  </w:r>
                </w:p>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染</w:t>
                  </w:r>
                </w:p>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物</w:t>
                  </w:r>
                </w:p>
              </w:tc>
              <w:tc>
                <w:tcPr>
                  <w:tcW w:w="466" w:type="dxa"/>
                  <w:vMerge w:val="restart"/>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zh-CN" w:eastAsia="zh-CN"/>
                    </w:rPr>
                  </w:pPr>
                  <w:r>
                    <w:rPr>
                      <w:rFonts w:hint="eastAsia" w:asciiTheme="minorEastAsia" w:hAnsiTheme="minorEastAsia" w:eastAsiaTheme="minorEastAsia" w:cstheme="minorEastAsia"/>
                      <w:sz w:val="21"/>
                      <w:szCs w:val="21"/>
                      <w:highlight w:val="none"/>
                      <w:lang w:val="zh-CN" w:eastAsia="zh-CN"/>
                    </w:rPr>
                    <w:t>施工期</w:t>
                  </w:r>
                </w:p>
              </w:tc>
              <w:tc>
                <w:tcPr>
                  <w:tcW w:w="1265"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zh-CN" w:eastAsia="zh-CN"/>
                    </w:rPr>
                  </w:pPr>
                  <w:r>
                    <w:rPr>
                      <w:rFonts w:hint="eastAsia" w:asciiTheme="minorEastAsia" w:hAnsiTheme="minorEastAsia" w:eastAsiaTheme="minorEastAsia" w:cstheme="minorEastAsia"/>
                      <w:sz w:val="21"/>
                      <w:szCs w:val="21"/>
                      <w:highlight w:val="none"/>
                      <w:lang w:val="en-US" w:eastAsia="zh-CN"/>
                    </w:rPr>
                    <w:t>施工废水</w:t>
                  </w: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zh-CN" w:eastAsia="zh-CN"/>
                    </w:rPr>
                  </w:pPr>
                  <w:r>
                    <w:rPr>
                      <w:rFonts w:hint="eastAsia" w:asciiTheme="minorEastAsia" w:hAnsiTheme="minorEastAsia" w:eastAsiaTheme="minorEastAsia" w:cstheme="minorEastAsia"/>
                      <w:sz w:val="21"/>
                      <w:szCs w:val="21"/>
                      <w:highlight w:val="none"/>
                      <w:lang w:val="en-US" w:eastAsia="zh-CN"/>
                    </w:rPr>
                    <w:t>SS、水泥等</w:t>
                  </w:r>
                </w:p>
              </w:tc>
              <w:tc>
                <w:tcPr>
                  <w:tcW w:w="3264"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zh-CN" w:eastAsia="zh-CN"/>
                    </w:rPr>
                  </w:pPr>
                  <w:r>
                    <w:rPr>
                      <w:rFonts w:hint="eastAsia" w:asciiTheme="minorEastAsia" w:hAnsiTheme="minorEastAsia" w:eastAsiaTheme="minorEastAsia" w:cstheme="minorEastAsia"/>
                      <w:sz w:val="21"/>
                      <w:szCs w:val="21"/>
                      <w:highlight w:val="none"/>
                      <w:lang w:val="en-US" w:eastAsia="zh-CN"/>
                    </w:rPr>
                    <w:t>设置初期雨水收集池池，废水经沉淀处理后回用于项目区洒水降尘，不外排</w:t>
                  </w:r>
                  <w:r>
                    <w:rPr>
                      <w:rFonts w:hint="eastAsia" w:asciiTheme="minorEastAsia" w:hAnsiTheme="minorEastAsia" w:cstheme="minorEastAsia"/>
                      <w:sz w:val="21"/>
                      <w:szCs w:val="21"/>
                      <w:highlight w:val="none"/>
                      <w:lang w:val="en-US" w:eastAsia="zh-CN"/>
                    </w:rPr>
                    <w:t>。</w:t>
                  </w:r>
                </w:p>
              </w:tc>
              <w:tc>
                <w:tcPr>
                  <w:tcW w:w="1876" w:type="dxa"/>
                  <w:noWrap w:val="0"/>
                  <w:vAlign w:val="center"/>
                </w:tcPr>
                <w:p>
                  <w:pPr>
                    <w:numPr>
                      <w:ilvl w:val="0"/>
                      <w:numId w:val="0"/>
                    </w:numPr>
                    <w:adjustRightInd w:val="0"/>
                    <w:snapToGrid w:val="0"/>
                    <w:jc w:val="both"/>
                    <w:rPr>
                      <w:rFonts w:hint="eastAsia" w:asciiTheme="minorEastAsia" w:hAnsiTheme="minorEastAsia" w:eastAsiaTheme="minorEastAsia" w:cstheme="minorEastAsia"/>
                      <w:sz w:val="21"/>
                      <w:szCs w:val="21"/>
                      <w:highlight w:val="none"/>
                      <w:lang w:val="zh-CN" w:eastAsia="zh-CN"/>
                    </w:rPr>
                  </w:pPr>
                  <w:r>
                    <w:rPr>
                      <w:rFonts w:hint="eastAsia" w:asciiTheme="minorEastAsia" w:hAnsiTheme="minorEastAsia" w:eastAsiaTheme="minorEastAsia" w:cstheme="minorEastAsia"/>
                      <w:sz w:val="21"/>
                      <w:szCs w:val="21"/>
                      <w:highlight w:val="none"/>
                      <w:lang w:val="en-US" w:eastAsia="zh-CN"/>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jc w:val="center"/>
              </w:trPr>
              <w:tc>
                <w:tcPr>
                  <w:tcW w:w="508"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466"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1265"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zh-CN" w:eastAsia="zh-CN"/>
                    </w:rPr>
                  </w:pPr>
                  <w:r>
                    <w:rPr>
                      <w:rFonts w:hint="eastAsia" w:asciiTheme="minorEastAsia" w:hAnsiTheme="minorEastAsia" w:eastAsiaTheme="minorEastAsia" w:cstheme="minorEastAsia"/>
                      <w:sz w:val="21"/>
                      <w:szCs w:val="21"/>
                      <w:highlight w:val="none"/>
                      <w:lang w:val="en-US" w:eastAsia="zh-CN"/>
                    </w:rPr>
                    <w:t>生活污水</w:t>
                  </w: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zh-CN" w:eastAsia="zh-CN"/>
                    </w:rPr>
                  </w:pPr>
                  <w:r>
                    <w:rPr>
                      <w:rFonts w:hint="eastAsia" w:asciiTheme="minorEastAsia" w:hAnsiTheme="minorEastAsia" w:eastAsiaTheme="minorEastAsia" w:cstheme="minorEastAsia"/>
                      <w:sz w:val="21"/>
                      <w:szCs w:val="21"/>
                      <w:highlight w:val="none"/>
                      <w:lang w:val="en-US" w:eastAsia="zh-CN"/>
                    </w:rPr>
                    <w:t>COD、SS、氨氮</w:t>
                  </w:r>
                </w:p>
              </w:tc>
              <w:tc>
                <w:tcPr>
                  <w:tcW w:w="3264" w:type="dxa"/>
                  <w:noWrap w:val="0"/>
                  <w:vAlign w:val="top"/>
                </w:tcPr>
                <w:p>
                  <w:pPr>
                    <w:numPr>
                      <w:ilvl w:val="0"/>
                      <w:numId w:val="0"/>
                    </w:numPr>
                    <w:adjustRightInd w:val="0"/>
                    <w:snapToGrid w:val="0"/>
                    <w:jc w:val="left"/>
                    <w:rPr>
                      <w:rFonts w:hint="eastAsia" w:asciiTheme="minorEastAsia" w:hAnsiTheme="minorEastAsia" w:eastAsiaTheme="minorEastAsia" w:cstheme="minorEastAsia"/>
                      <w:sz w:val="21"/>
                      <w:szCs w:val="21"/>
                      <w:highlight w:val="none"/>
                      <w:lang w:val="zh-CN" w:eastAsia="zh-CN"/>
                    </w:rPr>
                  </w:pPr>
                  <w:r>
                    <w:rPr>
                      <w:rFonts w:hint="eastAsia" w:asciiTheme="minorEastAsia" w:hAnsiTheme="minorEastAsia" w:eastAsiaTheme="minorEastAsia" w:cstheme="minorEastAsia"/>
                      <w:sz w:val="21"/>
                      <w:szCs w:val="21"/>
                      <w:highlight w:val="none"/>
                      <w:lang w:val="en-US" w:eastAsia="zh-CN"/>
                    </w:rPr>
                    <w:t>食堂配套设置隔油池，食堂废水经隔油池（0.5m</w:t>
                  </w:r>
                  <w:r>
                    <w:rPr>
                      <w:rFonts w:hint="eastAsia" w:asciiTheme="minorEastAsia" w:hAnsiTheme="minorEastAsia" w:eastAsiaTheme="minorEastAsia" w:cstheme="minorEastAsia"/>
                      <w:sz w:val="21"/>
                      <w:szCs w:val="21"/>
                      <w:highlight w:val="none"/>
                      <w:vertAlign w:val="superscript"/>
                      <w:lang w:val="en-US" w:eastAsia="zh-CN"/>
                    </w:rPr>
                    <w:t>3</w:t>
                  </w:r>
                  <w:r>
                    <w:rPr>
                      <w:rFonts w:hint="eastAsia" w:asciiTheme="minorEastAsia" w:hAnsiTheme="minorEastAsia" w:eastAsiaTheme="minorEastAsia" w:cstheme="minorEastAsia"/>
                      <w:sz w:val="21"/>
                      <w:szCs w:val="21"/>
                      <w:highlight w:val="none"/>
                      <w:lang w:val="en-US" w:eastAsia="zh-CN"/>
                    </w:rPr>
                    <w:t>）隔油处理后连同其他生活污水一并进入收集池（10m</w:t>
                  </w:r>
                  <w:r>
                    <w:rPr>
                      <w:rFonts w:hint="eastAsia" w:asciiTheme="minorEastAsia" w:hAnsiTheme="minorEastAsia" w:eastAsiaTheme="minorEastAsia" w:cstheme="minorEastAsia"/>
                      <w:sz w:val="21"/>
                      <w:szCs w:val="21"/>
                      <w:highlight w:val="none"/>
                      <w:vertAlign w:val="superscript"/>
                      <w:lang w:val="en-US" w:eastAsia="zh-CN"/>
                    </w:rPr>
                    <w:t>3</w:t>
                  </w:r>
                  <w:r>
                    <w:rPr>
                      <w:rFonts w:hint="eastAsia" w:asciiTheme="minorEastAsia" w:hAnsiTheme="minorEastAsia" w:eastAsiaTheme="minorEastAsia" w:cstheme="minorEastAsia"/>
                      <w:sz w:val="21"/>
                      <w:szCs w:val="21"/>
                      <w:highlight w:val="none"/>
                      <w:lang w:val="en-US" w:eastAsia="zh-CN"/>
                    </w:rPr>
                    <w:t>）</w:t>
                  </w:r>
                  <w:r>
                    <w:rPr>
                      <w:rFonts w:hint="eastAsia" w:asciiTheme="minorEastAsia" w:hAnsiTheme="minorEastAsia" w:cstheme="minorEastAsia"/>
                      <w:sz w:val="21"/>
                      <w:szCs w:val="21"/>
                      <w:highlight w:val="none"/>
                      <w:lang w:val="en-US" w:eastAsia="zh-CN"/>
                    </w:rPr>
                    <w:t>，</w:t>
                  </w:r>
                  <w:r>
                    <w:rPr>
                      <w:rFonts w:hint="eastAsia" w:asciiTheme="minorEastAsia" w:hAnsiTheme="minorEastAsia" w:eastAsiaTheme="minorEastAsia" w:cstheme="minorEastAsia"/>
                      <w:sz w:val="21"/>
                      <w:szCs w:val="21"/>
                      <w:highlight w:val="none"/>
                      <w:lang w:val="en-US" w:eastAsia="zh-CN"/>
                    </w:rPr>
                    <w:t>粪便等生活污水排入</w:t>
                  </w:r>
                  <w:r>
                    <w:rPr>
                      <w:rFonts w:hint="eastAsia" w:asciiTheme="minorEastAsia" w:hAnsiTheme="minorEastAsia" w:cstheme="minorEastAsia"/>
                      <w:sz w:val="21"/>
                      <w:szCs w:val="21"/>
                      <w:highlight w:val="none"/>
                      <w:lang w:val="en-US" w:eastAsia="zh-CN"/>
                    </w:rPr>
                    <w:t>化</w:t>
                  </w:r>
                  <w:r>
                    <w:rPr>
                      <w:rFonts w:hint="eastAsia" w:asciiTheme="minorEastAsia" w:hAnsiTheme="minorEastAsia" w:eastAsiaTheme="minorEastAsia" w:cstheme="minorEastAsia"/>
                      <w:sz w:val="21"/>
                      <w:szCs w:val="21"/>
                      <w:highlight w:val="none"/>
                      <w:lang w:val="en-US" w:eastAsia="zh-CN"/>
                    </w:rPr>
                    <w:t>粪池处理，定期清掏回用于周边林地施肥，不外排</w:t>
                  </w:r>
                  <w:r>
                    <w:rPr>
                      <w:rFonts w:hint="eastAsia" w:asciiTheme="minorEastAsia" w:hAnsiTheme="minorEastAsia" w:cstheme="minorEastAsia"/>
                      <w:sz w:val="21"/>
                      <w:szCs w:val="21"/>
                      <w:highlight w:val="none"/>
                      <w:lang w:val="en-US" w:eastAsia="zh-CN"/>
                    </w:rPr>
                    <w:t>。</w:t>
                  </w:r>
                </w:p>
              </w:tc>
              <w:tc>
                <w:tcPr>
                  <w:tcW w:w="1876" w:type="dxa"/>
                  <w:noWrap w:val="0"/>
                  <w:vAlign w:val="center"/>
                </w:tcPr>
                <w:p>
                  <w:pPr>
                    <w:numPr>
                      <w:ilvl w:val="0"/>
                      <w:numId w:val="0"/>
                    </w:numPr>
                    <w:adjustRightInd w:val="0"/>
                    <w:snapToGrid w:val="0"/>
                    <w:jc w:val="both"/>
                    <w:rPr>
                      <w:rFonts w:hint="eastAsia" w:asciiTheme="minorEastAsia" w:hAnsiTheme="minorEastAsia" w:eastAsiaTheme="minorEastAsia" w:cstheme="minorEastAsia"/>
                      <w:sz w:val="21"/>
                      <w:szCs w:val="21"/>
                      <w:highlight w:val="none"/>
                      <w:lang w:val="zh-CN" w:eastAsia="zh-CN"/>
                    </w:rPr>
                  </w:pPr>
                  <w:r>
                    <w:rPr>
                      <w:rFonts w:hint="eastAsia" w:asciiTheme="minorEastAsia" w:hAnsiTheme="minorEastAsia" w:eastAsiaTheme="minorEastAsia" w:cstheme="minorEastAsia"/>
                      <w:sz w:val="21"/>
                      <w:szCs w:val="21"/>
                      <w:highlight w:val="none"/>
                      <w:lang w:val="en-US" w:eastAsia="zh-CN"/>
                    </w:rPr>
                    <w:t>对环境影响轻微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508"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yellow"/>
                      <w:lang w:val="en-US" w:eastAsia="zh-CN"/>
                    </w:rPr>
                  </w:pPr>
                </w:p>
              </w:tc>
              <w:tc>
                <w:tcPr>
                  <w:tcW w:w="466" w:type="dxa"/>
                  <w:vMerge w:val="restart"/>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zh-CN" w:eastAsia="zh-CN"/>
                    </w:rPr>
                  </w:pPr>
                  <w:r>
                    <w:rPr>
                      <w:rFonts w:hint="eastAsia" w:asciiTheme="minorEastAsia" w:hAnsiTheme="minorEastAsia" w:eastAsiaTheme="minorEastAsia" w:cstheme="minorEastAsia"/>
                      <w:sz w:val="21"/>
                      <w:szCs w:val="21"/>
                      <w:highlight w:val="none"/>
                      <w:lang w:val="zh-CN" w:eastAsia="zh-CN"/>
                    </w:rPr>
                    <w:t>运营期</w:t>
                  </w:r>
                </w:p>
              </w:tc>
              <w:tc>
                <w:tcPr>
                  <w:tcW w:w="1265"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生活污水</w:t>
                  </w: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zh-CN" w:eastAsia="zh-CN"/>
                    </w:rPr>
                  </w:pPr>
                  <w:r>
                    <w:rPr>
                      <w:rFonts w:hint="eastAsia" w:asciiTheme="minorEastAsia" w:hAnsiTheme="minorEastAsia" w:eastAsiaTheme="minorEastAsia" w:cstheme="minorEastAsia"/>
                      <w:sz w:val="21"/>
                      <w:szCs w:val="21"/>
                      <w:highlight w:val="none"/>
                      <w:lang w:val="en-US" w:eastAsia="zh-CN"/>
                    </w:rPr>
                    <w:t>COD、BOD5、氨氮、SS、TP、粪大肠菌群</w:t>
                  </w:r>
                </w:p>
              </w:tc>
              <w:tc>
                <w:tcPr>
                  <w:tcW w:w="3264"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zh-CN" w:eastAsia="zh-CN"/>
                    </w:rPr>
                  </w:pPr>
                  <w:r>
                    <w:rPr>
                      <w:rFonts w:hint="eastAsia" w:asciiTheme="minorEastAsia" w:hAnsiTheme="minorEastAsia" w:eastAsiaTheme="minorEastAsia" w:cstheme="minorEastAsia"/>
                      <w:sz w:val="21"/>
                      <w:szCs w:val="21"/>
                      <w:highlight w:val="none"/>
                      <w:lang w:val="en-US" w:eastAsia="zh-CN"/>
                    </w:rPr>
                    <w:t>食堂废水经隔油池隔油处理后连同其他生活污水（主要为清洗废水） 一并进入收集池，收集池出水用于场地洒水降尘不外排。项目卫生间配套设置化粪池，化粪池定期清掏用作农肥，不外排。</w:t>
                  </w:r>
                </w:p>
              </w:tc>
              <w:tc>
                <w:tcPr>
                  <w:tcW w:w="1876" w:type="dxa"/>
                  <w:vMerge w:val="restart"/>
                  <w:noWrap w:val="0"/>
                  <w:vAlign w:val="center"/>
                </w:tcPr>
                <w:p>
                  <w:pPr>
                    <w:numPr>
                      <w:ilvl w:val="0"/>
                      <w:numId w:val="0"/>
                    </w:numPr>
                    <w:adjustRightInd w:val="0"/>
                    <w:snapToGrid w:val="0"/>
                    <w:jc w:val="both"/>
                    <w:rPr>
                      <w:rFonts w:hint="eastAsia" w:asciiTheme="minorEastAsia" w:hAnsiTheme="minorEastAsia" w:eastAsiaTheme="minorEastAsia" w:cstheme="minorEastAsia"/>
                      <w:sz w:val="21"/>
                      <w:szCs w:val="21"/>
                      <w:highlight w:val="none"/>
                      <w:lang w:val="zh-CN" w:eastAsia="zh-CN"/>
                    </w:rPr>
                  </w:pPr>
                  <w:r>
                    <w:rPr>
                      <w:rFonts w:hint="eastAsia" w:asciiTheme="minorEastAsia" w:hAnsiTheme="minorEastAsia" w:eastAsiaTheme="minorEastAsia" w:cstheme="minorEastAsia"/>
                      <w:sz w:val="21"/>
                      <w:szCs w:val="21"/>
                      <w:highlight w:val="none"/>
                      <w:lang w:val="en-US" w:eastAsia="zh-CN"/>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9" w:hRule="atLeast"/>
                <w:jc w:val="center"/>
              </w:trPr>
              <w:tc>
                <w:tcPr>
                  <w:tcW w:w="508"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466"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1265"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cstheme="minorEastAsia"/>
                      <w:sz w:val="21"/>
                      <w:szCs w:val="21"/>
                      <w:highlight w:val="none"/>
                      <w:lang w:val="en-US" w:eastAsia="zh-CN"/>
                    </w:rPr>
                    <w:t>生产</w:t>
                  </w:r>
                  <w:r>
                    <w:rPr>
                      <w:rFonts w:hint="eastAsia" w:asciiTheme="minorEastAsia" w:hAnsiTheme="minorEastAsia" w:eastAsiaTheme="minorEastAsia" w:cstheme="minorEastAsia"/>
                      <w:sz w:val="21"/>
                      <w:szCs w:val="21"/>
                      <w:highlight w:val="none"/>
                      <w:lang w:val="en-US" w:eastAsia="zh-CN"/>
                    </w:rPr>
                    <w:t>废水</w:t>
                  </w: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初期雨水</w:t>
                  </w:r>
                  <w:r>
                    <w:rPr>
                      <w:rFonts w:hint="eastAsia" w:asciiTheme="minorEastAsia" w:hAnsiTheme="minorEastAsia" w:cstheme="minorEastAsia"/>
                      <w:sz w:val="21"/>
                      <w:szCs w:val="21"/>
                      <w:highlight w:val="none"/>
                      <w:lang w:val="en-US" w:eastAsia="zh-CN"/>
                    </w:rPr>
                    <w:t>、场地淋滤水</w:t>
                  </w:r>
                </w:p>
              </w:tc>
              <w:tc>
                <w:tcPr>
                  <w:tcW w:w="3264"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cstheme="minorEastAsia"/>
                      <w:sz w:val="21"/>
                      <w:szCs w:val="21"/>
                      <w:highlight w:val="none"/>
                      <w:lang w:val="en-US" w:eastAsia="zh-CN"/>
                    </w:rPr>
                    <w:t>设置排水沟引排至初期雨水收集池，</w:t>
                  </w:r>
                  <w:r>
                    <w:rPr>
                      <w:rFonts w:hint="eastAsia" w:asciiTheme="minorEastAsia" w:hAnsiTheme="minorEastAsia" w:eastAsiaTheme="minorEastAsia" w:cstheme="minorEastAsia"/>
                      <w:sz w:val="21"/>
                      <w:szCs w:val="21"/>
                      <w:highlight w:val="none"/>
                      <w:lang w:val="en-US" w:eastAsia="zh-CN"/>
                    </w:rPr>
                    <w:t>经初期雨水收集池收集沉淀</w:t>
                  </w:r>
                  <w:r>
                    <w:rPr>
                      <w:rFonts w:hint="eastAsia" w:asciiTheme="minorEastAsia" w:hAnsiTheme="minorEastAsia" w:cstheme="minorEastAsia"/>
                      <w:sz w:val="21"/>
                      <w:szCs w:val="21"/>
                      <w:highlight w:val="none"/>
                      <w:lang w:val="en-US" w:eastAsia="zh-CN"/>
                    </w:rPr>
                    <w:t>处理，</w:t>
                  </w:r>
                  <w:r>
                    <w:rPr>
                      <w:spacing w:val="-17"/>
                      <w:highlight w:val="none"/>
                    </w:rPr>
                    <w:t>回用于场地洒水降尘，不外排</w:t>
                  </w:r>
                  <w:r>
                    <w:rPr>
                      <w:rFonts w:hint="eastAsia" w:asciiTheme="minorEastAsia" w:hAnsiTheme="minorEastAsia" w:cstheme="minorEastAsia"/>
                      <w:sz w:val="21"/>
                      <w:szCs w:val="21"/>
                      <w:highlight w:val="none"/>
                      <w:lang w:val="en-US" w:eastAsia="zh-CN"/>
                    </w:rPr>
                    <w:t>。</w:t>
                  </w:r>
                </w:p>
              </w:tc>
              <w:tc>
                <w:tcPr>
                  <w:tcW w:w="1876" w:type="dxa"/>
                  <w:vMerge w:val="continue"/>
                  <w:noWrap w:val="0"/>
                  <w:vAlign w:val="center"/>
                </w:tcPr>
                <w:p>
                  <w:pPr>
                    <w:numPr>
                      <w:ilvl w:val="0"/>
                      <w:numId w:val="0"/>
                    </w:numPr>
                    <w:adjustRightInd w:val="0"/>
                    <w:snapToGrid w:val="0"/>
                    <w:ind w:firstLine="420" w:firstLineChars="200"/>
                    <w:jc w:val="both"/>
                    <w:rPr>
                      <w:rFonts w:hint="eastAsia" w:asciiTheme="minorEastAsia" w:hAnsiTheme="minorEastAsia" w:eastAsiaTheme="minorEastAsia" w:cstheme="minorEastAsia"/>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jc w:val="center"/>
              </w:trPr>
              <w:tc>
                <w:tcPr>
                  <w:tcW w:w="508" w:type="dxa"/>
                  <w:vMerge w:val="restart"/>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p>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p>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p>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噪</w:t>
                  </w:r>
                </w:p>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声</w:t>
                  </w:r>
                </w:p>
              </w:tc>
              <w:tc>
                <w:tcPr>
                  <w:tcW w:w="466" w:type="dxa"/>
                  <w:vMerge w:val="restart"/>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施工期</w:t>
                  </w:r>
                </w:p>
              </w:tc>
              <w:tc>
                <w:tcPr>
                  <w:tcW w:w="1265"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cstheme="minorEastAsia"/>
                      <w:sz w:val="21"/>
                      <w:szCs w:val="21"/>
                      <w:highlight w:val="none"/>
                      <w:lang w:val="en-US" w:eastAsia="zh-CN"/>
                    </w:rPr>
                    <w:t>设备</w:t>
                  </w:r>
                  <w:r>
                    <w:rPr>
                      <w:rFonts w:hint="eastAsia" w:asciiTheme="minorEastAsia" w:hAnsiTheme="minorEastAsia" w:eastAsiaTheme="minorEastAsia" w:cstheme="minorEastAsia"/>
                      <w:sz w:val="21"/>
                      <w:szCs w:val="21"/>
                      <w:highlight w:val="none"/>
                      <w:lang w:val="en-US" w:eastAsia="zh-CN"/>
                    </w:rPr>
                    <w:t>噪声</w:t>
                  </w: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cstheme="minorEastAsia"/>
                      <w:sz w:val="21"/>
                      <w:szCs w:val="21"/>
                      <w:highlight w:val="none"/>
                      <w:lang w:val="en-US" w:eastAsia="zh-CN"/>
                    </w:rPr>
                    <w:t>挖掘机、装载机</w:t>
                  </w:r>
                  <w:r>
                    <w:rPr>
                      <w:rFonts w:hint="eastAsia" w:asciiTheme="minorEastAsia" w:hAnsiTheme="minorEastAsia" w:eastAsiaTheme="minorEastAsia" w:cstheme="minorEastAsia"/>
                      <w:sz w:val="21"/>
                      <w:szCs w:val="21"/>
                      <w:highlight w:val="none"/>
                      <w:lang w:val="en-US" w:eastAsia="zh-CN"/>
                    </w:rPr>
                    <w:t>等</w:t>
                  </w:r>
                </w:p>
              </w:tc>
              <w:tc>
                <w:tcPr>
                  <w:tcW w:w="3264" w:type="dxa"/>
                  <w:vMerge w:val="restart"/>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cstheme="minorEastAsia"/>
                      <w:sz w:val="21"/>
                      <w:szCs w:val="21"/>
                      <w:highlight w:val="none"/>
                      <w:lang w:val="en-US" w:eastAsia="zh-CN"/>
                    </w:rPr>
                    <w:t>①</w:t>
                  </w:r>
                  <w:r>
                    <w:rPr>
                      <w:rFonts w:hint="eastAsia" w:asciiTheme="minorEastAsia" w:hAnsiTheme="minorEastAsia" w:eastAsiaTheme="minorEastAsia" w:cstheme="minorEastAsia"/>
                      <w:sz w:val="21"/>
                      <w:szCs w:val="21"/>
                      <w:highlight w:val="none"/>
                      <w:lang w:val="en-US" w:eastAsia="zh-CN"/>
                    </w:rPr>
                    <w:t>施工区内禁止鸣笛，减小交通噪声对周围环境的影响；</w:t>
                  </w:r>
                  <w:r>
                    <w:rPr>
                      <w:rFonts w:hint="eastAsia" w:asciiTheme="minorEastAsia" w:hAnsiTheme="minorEastAsia" w:cstheme="minorEastAsia"/>
                      <w:sz w:val="21"/>
                      <w:szCs w:val="21"/>
                      <w:highlight w:val="none"/>
                      <w:lang w:val="en-US" w:eastAsia="zh-CN"/>
                    </w:rPr>
                    <w:t>②</w:t>
                  </w:r>
                  <w:r>
                    <w:rPr>
                      <w:rFonts w:hint="eastAsia" w:asciiTheme="minorEastAsia" w:hAnsiTheme="minorEastAsia" w:eastAsiaTheme="minorEastAsia" w:cstheme="minorEastAsia"/>
                      <w:sz w:val="21"/>
                      <w:szCs w:val="21"/>
                      <w:highlight w:val="none"/>
                      <w:lang w:val="en-US" w:eastAsia="zh-CN"/>
                    </w:rPr>
                    <w:t>合理布局施工设备</w:t>
                  </w:r>
                  <w:r>
                    <w:rPr>
                      <w:rFonts w:hint="eastAsia" w:asciiTheme="minorEastAsia" w:hAnsiTheme="minorEastAsia" w:cstheme="minorEastAsia"/>
                      <w:sz w:val="21"/>
                      <w:szCs w:val="21"/>
                      <w:highlight w:val="none"/>
                      <w:lang w:val="en-US" w:eastAsia="zh-CN"/>
                    </w:rPr>
                    <w:t>，</w:t>
                  </w:r>
                  <w:r>
                    <w:rPr>
                      <w:rFonts w:hint="eastAsia" w:asciiTheme="minorEastAsia" w:hAnsiTheme="minorEastAsia" w:eastAsiaTheme="minorEastAsia" w:cstheme="minorEastAsia"/>
                      <w:sz w:val="21"/>
                      <w:szCs w:val="21"/>
                      <w:highlight w:val="none"/>
                      <w:lang w:val="en-US" w:eastAsia="zh-CN"/>
                    </w:rPr>
                    <w:t>避免设备噪声叠加；</w:t>
                  </w:r>
                  <w:r>
                    <w:rPr>
                      <w:rFonts w:hint="eastAsia" w:asciiTheme="minorEastAsia" w:hAnsiTheme="minorEastAsia" w:cstheme="minorEastAsia"/>
                      <w:sz w:val="21"/>
                      <w:szCs w:val="21"/>
                      <w:highlight w:val="none"/>
                      <w:lang w:val="en-US" w:eastAsia="zh-CN"/>
                    </w:rPr>
                    <w:t>③</w:t>
                  </w:r>
                  <w:r>
                    <w:rPr>
                      <w:rFonts w:hint="eastAsia" w:asciiTheme="minorEastAsia" w:hAnsiTheme="minorEastAsia" w:eastAsiaTheme="minorEastAsia" w:cstheme="minorEastAsia"/>
                      <w:sz w:val="21"/>
                      <w:szCs w:val="21"/>
                      <w:highlight w:val="none"/>
                      <w:lang w:val="en-US" w:eastAsia="zh-CN"/>
                    </w:rPr>
                    <w:t>禁止夜间（晚22点至次日早晨6点之间）进行产生环境噪声污染的施工作业；</w:t>
                  </w:r>
                  <w:r>
                    <w:rPr>
                      <w:rFonts w:hint="eastAsia" w:asciiTheme="minorEastAsia" w:hAnsiTheme="minorEastAsia" w:cstheme="minorEastAsia"/>
                      <w:sz w:val="21"/>
                      <w:szCs w:val="21"/>
                      <w:highlight w:val="none"/>
                      <w:lang w:val="en-US" w:eastAsia="zh-CN"/>
                    </w:rPr>
                    <w:t>④</w:t>
                  </w:r>
                  <w:r>
                    <w:rPr>
                      <w:rFonts w:hint="eastAsia" w:asciiTheme="minorEastAsia" w:hAnsiTheme="minorEastAsia" w:eastAsiaTheme="minorEastAsia" w:cstheme="minorEastAsia"/>
                      <w:sz w:val="21"/>
                      <w:szCs w:val="21"/>
                      <w:highlight w:val="none"/>
                      <w:lang w:val="en-US" w:eastAsia="zh-CN"/>
                    </w:rPr>
                    <w:t>加强对施工人员的管理，做到文明施工，避免认为噪声的产生；</w:t>
                  </w:r>
                  <w:r>
                    <w:rPr>
                      <w:rFonts w:hint="eastAsia" w:asciiTheme="minorEastAsia" w:hAnsiTheme="minorEastAsia" w:cstheme="minorEastAsia"/>
                      <w:sz w:val="21"/>
                      <w:szCs w:val="21"/>
                      <w:highlight w:val="none"/>
                      <w:lang w:val="en-US" w:eastAsia="zh-CN"/>
                    </w:rPr>
                    <w:t>⑤</w:t>
                  </w:r>
                  <w:r>
                    <w:rPr>
                      <w:rFonts w:hint="eastAsia" w:asciiTheme="minorEastAsia" w:hAnsiTheme="minorEastAsia" w:eastAsiaTheme="minorEastAsia" w:cstheme="minorEastAsia"/>
                      <w:sz w:val="21"/>
                      <w:szCs w:val="21"/>
                      <w:highlight w:val="none"/>
                      <w:lang w:val="en-US" w:eastAsia="zh-CN"/>
                    </w:rPr>
                    <w:t>合理安排施工步骤，优化施工方式，同时合理安排运输时间。</w:t>
                  </w:r>
                </w:p>
              </w:tc>
              <w:tc>
                <w:tcPr>
                  <w:tcW w:w="1876" w:type="dxa"/>
                  <w:vMerge w:val="restart"/>
                  <w:noWrap w:val="0"/>
                  <w:vAlign w:val="center"/>
                </w:tcPr>
                <w:p>
                  <w:pPr>
                    <w:numPr>
                      <w:ilvl w:val="0"/>
                      <w:numId w:val="0"/>
                    </w:numPr>
                    <w:adjustRightInd w:val="0"/>
                    <w:snapToGrid w:val="0"/>
                    <w:jc w:val="both"/>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508"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466"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1265"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施工车辆</w:t>
                  </w: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交通噪声</w:t>
                  </w:r>
                </w:p>
              </w:tc>
              <w:tc>
                <w:tcPr>
                  <w:tcW w:w="3264"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1876" w:type="dxa"/>
                  <w:vMerge w:val="continue"/>
                  <w:noWrap w:val="0"/>
                  <w:vAlign w:val="center"/>
                </w:tcPr>
                <w:p>
                  <w:pPr>
                    <w:numPr>
                      <w:ilvl w:val="0"/>
                      <w:numId w:val="0"/>
                    </w:numPr>
                    <w:adjustRightInd w:val="0"/>
                    <w:snapToGrid w:val="0"/>
                    <w:ind w:firstLine="420" w:firstLineChars="200"/>
                    <w:jc w:val="both"/>
                    <w:rPr>
                      <w:rFonts w:hint="eastAsia" w:asciiTheme="minorEastAsia" w:hAnsiTheme="minorEastAsia" w:eastAsiaTheme="minorEastAsia" w:cstheme="minorEastAsia"/>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08"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466"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1265"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社会生活</w:t>
                  </w: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生活噪声</w:t>
                  </w:r>
                </w:p>
              </w:tc>
              <w:tc>
                <w:tcPr>
                  <w:tcW w:w="3264"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1876" w:type="dxa"/>
                  <w:vMerge w:val="continue"/>
                  <w:noWrap w:val="0"/>
                  <w:vAlign w:val="center"/>
                </w:tcPr>
                <w:p>
                  <w:pPr>
                    <w:numPr>
                      <w:ilvl w:val="0"/>
                      <w:numId w:val="0"/>
                    </w:numPr>
                    <w:adjustRightInd w:val="0"/>
                    <w:snapToGrid w:val="0"/>
                    <w:ind w:firstLine="420" w:firstLineChars="200"/>
                    <w:jc w:val="both"/>
                    <w:rPr>
                      <w:rFonts w:hint="eastAsia" w:asciiTheme="minorEastAsia" w:hAnsiTheme="minorEastAsia" w:eastAsiaTheme="minorEastAsia" w:cstheme="minorEastAsia"/>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jc w:val="center"/>
              </w:trPr>
              <w:tc>
                <w:tcPr>
                  <w:tcW w:w="508"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466" w:type="dxa"/>
                  <w:vMerge w:val="restart"/>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运营期</w:t>
                  </w:r>
                </w:p>
              </w:tc>
              <w:tc>
                <w:tcPr>
                  <w:tcW w:w="1265"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设备运行</w:t>
                  </w: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采石场设备运行噪声</w:t>
                  </w:r>
                </w:p>
              </w:tc>
              <w:tc>
                <w:tcPr>
                  <w:tcW w:w="3264" w:type="dxa"/>
                  <w:noWrap w:val="0"/>
                  <w:vAlign w:val="center"/>
                </w:tcPr>
                <w:p>
                  <w:pPr>
                    <w:numPr>
                      <w:ilvl w:val="0"/>
                      <w:numId w:val="0"/>
                    </w:numPr>
                    <w:adjustRightInd w:val="0"/>
                    <w:snapToGrid w:val="0"/>
                    <w:rPr>
                      <w:rFonts w:hint="default"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val="en-US" w:eastAsia="zh-CN"/>
                    </w:rPr>
                    <w:t>①对强噪声设备安装橡胶减震设施，以减少振动，降低噪声；②</w:t>
                  </w:r>
                  <w:r>
                    <w:rPr>
                      <w:spacing w:val="-9"/>
                      <w:highlight w:val="none"/>
                    </w:rPr>
                    <w:t>生产厂区设置顶棚和三面围挡</w:t>
                  </w:r>
                  <w:r>
                    <w:rPr>
                      <w:rFonts w:hint="eastAsia"/>
                      <w:spacing w:val="-9"/>
                      <w:highlight w:val="none"/>
                      <w:lang w:eastAsia="zh-CN"/>
                    </w:rPr>
                    <w:t>，削减设备运行噪声；③</w:t>
                  </w:r>
                  <w:r>
                    <w:rPr>
                      <w:rFonts w:hint="eastAsia" w:asciiTheme="minorEastAsia" w:hAnsiTheme="minorEastAsia" w:eastAsiaTheme="minorEastAsia" w:cstheme="minorEastAsia"/>
                      <w:sz w:val="21"/>
                      <w:szCs w:val="21"/>
                      <w:highlight w:val="none"/>
                      <w:lang w:val="en-US" w:eastAsia="zh-CN"/>
                    </w:rPr>
                    <w:t>对于传输设备的旋转和传动部分以及接近地面的连轴节，传动轴，皮带轮等均装设防护装置；</w:t>
                  </w:r>
                  <w:r>
                    <w:rPr>
                      <w:rFonts w:hint="eastAsia" w:asciiTheme="minorEastAsia" w:hAnsiTheme="minorEastAsia" w:cstheme="minorEastAsia"/>
                      <w:sz w:val="21"/>
                      <w:szCs w:val="21"/>
                      <w:highlight w:val="none"/>
                      <w:lang w:val="en-US" w:eastAsia="zh-CN"/>
                    </w:rPr>
                    <w:t>④</w:t>
                  </w:r>
                  <w:r>
                    <w:rPr>
                      <w:rFonts w:hint="eastAsia" w:asciiTheme="minorEastAsia" w:hAnsiTheme="minorEastAsia" w:eastAsiaTheme="minorEastAsia" w:cstheme="minorEastAsia"/>
                      <w:sz w:val="21"/>
                      <w:szCs w:val="21"/>
                      <w:highlight w:val="none"/>
                      <w:lang w:val="en-US" w:eastAsia="zh-CN"/>
                    </w:rPr>
                    <w:t>派专人定期对机械设备进行维修管理，保证正常运行，避免故障情况下产生高噪声影响</w:t>
                  </w:r>
                  <w:r>
                    <w:rPr>
                      <w:rFonts w:hint="default" w:asciiTheme="minorEastAsia" w:hAnsiTheme="minorEastAsia" w:cstheme="minorEastAsia"/>
                      <w:sz w:val="21"/>
                      <w:szCs w:val="21"/>
                      <w:highlight w:val="none"/>
                      <w:lang w:eastAsia="zh-CN"/>
                    </w:rPr>
                    <w:t>；</w:t>
                  </w:r>
                  <w:r>
                    <w:rPr>
                      <w:rFonts w:hint="eastAsia" w:asciiTheme="minorEastAsia" w:hAnsiTheme="minorEastAsia" w:cstheme="minorEastAsia"/>
                      <w:sz w:val="21"/>
                      <w:szCs w:val="21"/>
                      <w:highlight w:val="none"/>
                      <w:lang w:val="en-US" w:eastAsia="zh-CN"/>
                    </w:rPr>
                    <w:t>⑤</w:t>
                  </w:r>
                  <w:r>
                    <w:rPr>
                      <w:rFonts w:hint="eastAsia" w:asciiTheme="minorEastAsia" w:hAnsiTheme="minorEastAsia" w:eastAsiaTheme="minorEastAsia" w:cstheme="minorEastAsia"/>
                      <w:sz w:val="21"/>
                      <w:szCs w:val="21"/>
                      <w:highlight w:val="none"/>
                      <w:lang w:val="en-US" w:eastAsia="zh-CN"/>
                    </w:rPr>
                    <w:t>若出现扰民</w:t>
                  </w:r>
                  <w:r>
                    <w:rPr>
                      <w:rFonts w:hint="eastAsia" w:asciiTheme="minorEastAsia" w:hAnsiTheme="minorEastAsia" w:cstheme="minorEastAsia"/>
                      <w:sz w:val="21"/>
                      <w:szCs w:val="21"/>
                      <w:highlight w:val="none"/>
                      <w:lang w:val="en-US" w:eastAsia="zh-CN"/>
                    </w:rPr>
                    <w:t>现象</w:t>
                  </w:r>
                  <w:r>
                    <w:rPr>
                      <w:rFonts w:hint="eastAsia" w:asciiTheme="minorEastAsia" w:hAnsiTheme="minorEastAsia" w:eastAsiaTheme="minorEastAsia" w:cstheme="minorEastAsia"/>
                      <w:sz w:val="21"/>
                      <w:szCs w:val="21"/>
                      <w:highlight w:val="none"/>
                      <w:lang w:val="en-US" w:eastAsia="zh-CN"/>
                    </w:rPr>
                    <w:t>，必须停止高噪声设备的运行，积极配合解决好纠纷问题</w:t>
                  </w:r>
                  <w:r>
                    <w:rPr>
                      <w:rFonts w:hint="default" w:asciiTheme="minorEastAsia" w:hAnsiTheme="minorEastAsia" w:cstheme="minorEastAsia"/>
                      <w:sz w:val="21"/>
                      <w:szCs w:val="21"/>
                      <w:highlight w:val="none"/>
                      <w:lang w:eastAsia="zh-CN"/>
                    </w:rPr>
                    <w:t>。</w:t>
                  </w:r>
                </w:p>
              </w:tc>
              <w:tc>
                <w:tcPr>
                  <w:tcW w:w="1876" w:type="dxa"/>
                  <w:vMerge w:val="restart"/>
                  <w:noWrap w:val="0"/>
                  <w:vAlign w:val="center"/>
                </w:tcPr>
                <w:p>
                  <w:pPr>
                    <w:numPr>
                      <w:ilvl w:val="0"/>
                      <w:numId w:val="0"/>
                    </w:numPr>
                    <w:adjustRightInd w:val="0"/>
                    <w:snapToGrid w:val="0"/>
                    <w:jc w:val="both"/>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对环境影响</w:t>
                  </w:r>
                  <w:r>
                    <w:rPr>
                      <w:rFonts w:hint="eastAsia" w:asciiTheme="minorEastAsia" w:hAnsiTheme="minorEastAsia" w:cstheme="minorEastAsia"/>
                      <w:sz w:val="21"/>
                      <w:szCs w:val="21"/>
                      <w:highlight w:val="none"/>
                      <w:lang w:val="en-US" w:eastAsia="zh-CN"/>
                    </w:rPr>
                    <w:t>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jc w:val="center"/>
              </w:trPr>
              <w:tc>
                <w:tcPr>
                  <w:tcW w:w="508" w:type="dxa"/>
                  <w:vMerge w:val="continue"/>
                  <w:noWrap w:val="0"/>
                  <w:vAlign w:val="center"/>
                </w:tcPr>
                <w:p>
                  <w:pPr>
                    <w:adjustRightInd w:val="0"/>
                    <w:snapToGrid w:val="0"/>
                    <w:rPr>
                      <w:highlight w:val="none"/>
                    </w:rPr>
                  </w:pPr>
                </w:p>
              </w:tc>
              <w:tc>
                <w:tcPr>
                  <w:tcW w:w="466" w:type="dxa"/>
                  <w:vMerge w:val="continue"/>
                  <w:noWrap w:val="0"/>
                  <w:vAlign w:val="center"/>
                </w:tcPr>
                <w:p>
                  <w:pPr>
                    <w:adjustRightInd w:val="0"/>
                    <w:snapToGrid w:val="0"/>
                    <w:rPr>
                      <w:highlight w:val="none"/>
                    </w:rPr>
                  </w:pPr>
                </w:p>
              </w:tc>
              <w:tc>
                <w:tcPr>
                  <w:tcW w:w="1265"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作业噪声</w:t>
                  </w:r>
                </w:p>
              </w:tc>
              <w:tc>
                <w:tcPr>
                  <w:tcW w:w="1258" w:type="dxa"/>
                  <w:gridSpan w:val="2"/>
                  <w:noWrap w:val="0"/>
                  <w:vAlign w:val="center"/>
                </w:tcPr>
                <w:p>
                  <w:p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爆破噪声</w:t>
                  </w:r>
                </w:p>
              </w:tc>
              <w:tc>
                <w:tcPr>
                  <w:tcW w:w="3264" w:type="dxa"/>
                  <w:noWrap w:val="0"/>
                  <w:vAlign w:val="center"/>
                </w:tcPr>
                <w:p>
                  <w:p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①固定爆破时段，合理设置爆破次数，禁止夜间放炮；②合理设置炮眼，采用水封爆破，放炮前提前告知村民，在各个路口设置岗哨；</w:t>
                  </w:r>
                </w:p>
              </w:tc>
              <w:tc>
                <w:tcPr>
                  <w:tcW w:w="1876" w:type="dxa"/>
                  <w:vMerge w:val="continue"/>
                  <w:noWrap w:val="0"/>
                  <w:vAlign w:val="center"/>
                </w:tcPr>
                <w:p>
                  <w:pPr>
                    <w:adjustRightInd w:val="0"/>
                    <w:snapToGrid w:val="0"/>
                    <w:rPr>
                      <w:rFonts w:hint="eastAsia" w:asciiTheme="minorEastAsia" w:hAnsiTheme="minorEastAsia" w:eastAsiaTheme="minorEastAsia" w:cstheme="minorEastAsia"/>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4" w:hRule="atLeast"/>
                <w:jc w:val="center"/>
              </w:trPr>
              <w:tc>
                <w:tcPr>
                  <w:tcW w:w="508"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466"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1265"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员工日常</w:t>
                  </w: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社会噪声</w:t>
                  </w:r>
                </w:p>
              </w:tc>
              <w:tc>
                <w:tcPr>
                  <w:tcW w:w="3264" w:type="dxa"/>
                  <w:noWrap w:val="0"/>
                  <w:vAlign w:val="center"/>
                </w:tcPr>
                <w:p>
                  <w:pPr>
                    <w:numPr>
                      <w:ilvl w:val="0"/>
                      <w:numId w:val="0"/>
                    </w:numPr>
                    <w:adjustRightInd w:val="0"/>
                    <w:snapToGrid w:val="0"/>
                    <w:rPr>
                      <w:rFonts w:hint="default"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val="en-US" w:eastAsia="zh-CN"/>
                    </w:rPr>
                    <w:t>①合理安排工作时间，对高噪声设备的运行，应避免在人群休息时进行，与敏感点工作时间错开进行，以减少噪声的影响，禁止夜间进行生产，仅白天生产；</w:t>
                  </w:r>
                  <w:r>
                    <w:rPr>
                      <w:rFonts w:hint="eastAsia" w:asciiTheme="minorEastAsia" w:hAnsiTheme="minorEastAsia" w:cstheme="minorEastAsia"/>
                      <w:sz w:val="21"/>
                      <w:szCs w:val="21"/>
                      <w:highlight w:val="none"/>
                      <w:lang w:val="en-GB" w:eastAsia="zh-CN"/>
                    </w:rPr>
                    <w:t>②</w:t>
                  </w:r>
                  <w:r>
                    <w:rPr>
                      <w:rFonts w:hint="eastAsia" w:asciiTheme="minorEastAsia" w:hAnsiTheme="minorEastAsia" w:eastAsiaTheme="minorEastAsia" w:cstheme="minorEastAsia"/>
                      <w:sz w:val="21"/>
                      <w:szCs w:val="21"/>
                      <w:highlight w:val="none"/>
                      <w:lang w:val="en-US" w:eastAsia="zh-CN"/>
                    </w:rPr>
                    <w:t>加强对施工人员的管理，做到文明施工，避免</w:t>
                  </w:r>
                  <w:r>
                    <w:rPr>
                      <w:rFonts w:hint="eastAsia" w:asciiTheme="minorEastAsia" w:hAnsiTheme="minorEastAsia" w:cstheme="minorEastAsia"/>
                      <w:sz w:val="21"/>
                      <w:szCs w:val="21"/>
                      <w:highlight w:val="none"/>
                      <w:lang w:val="en-US" w:eastAsia="zh-CN"/>
                    </w:rPr>
                    <w:t>人为</w:t>
                  </w:r>
                  <w:r>
                    <w:rPr>
                      <w:rFonts w:hint="eastAsia" w:asciiTheme="minorEastAsia" w:hAnsiTheme="minorEastAsia" w:eastAsiaTheme="minorEastAsia" w:cstheme="minorEastAsia"/>
                      <w:sz w:val="21"/>
                      <w:szCs w:val="21"/>
                      <w:highlight w:val="none"/>
                      <w:lang w:val="en-US" w:eastAsia="zh-CN"/>
                    </w:rPr>
                    <w:t>噪声的产生</w:t>
                  </w:r>
                  <w:r>
                    <w:rPr>
                      <w:rFonts w:hint="default" w:asciiTheme="minorEastAsia" w:hAnsiTheme="minorEastAsia" w:cstheme="minorEastAsia"/>
                      <w:sz w:val="21"/>
                      <w:szCs w:val="21"/>
                      <w:highlight w:val="none"/>
                      <w:lang w:eastAsia="zh-CN"/>
                    </w:rPr>
                    <w:t>。</w:t>
                  </w:r>
                </w:p>
              </w:tc>
              <w:tc>
                <w:tcPr>
                  <w:tcW w:w="1876" w:type="dxa"/>
                  <w:vMerge w:val="continue"/>
                  <w:noWrap w:val="0"/>
                  <w:vAlign w:val="center"/>
                </w:tcPr>
                <w:p>
                  <w:pPr>
                    <w:numPr>
                      <w:ilvl w:val="0"/>
                      <w:numId w:val="0"/>
                    </w:numPr>
                    <w:adjustRightInd w:val="0"/>
                    <w:snapToGrid w:val="0"/>
                    <w:ind w:firstLine="420" w:firstLineChars="200"/>
                    <w:jc w:val="both"/>
                    <w:rPr>
                      <w:rFonts w:hint="eastAsia" w:asciiTheme="minorEastAsia" w:hAnsiTheme="minorEastAsia" w:eastAsiaTheme="minorEastAsia" w:cstheme="minorEastAsia"/>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jc w:val="center"/>
              </w:trPr>
              <w:tc>
                <w:tcPr>
                  <w:tcW w:w="508"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466"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1265"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运输车辆</w:t>
                  </w: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交通噪声</w:t>
                  </w:r>
                </w:p>
              </w:tc>
              <w:tc>
                <w:tcPr>
                  <w:tcW w:w="3264"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default" w:asciiTheme="minorEastAsia" w:hAnsiTheme="minorEastAsia" w:cstheme="minorEastAsia"/>
                      <w:sz w:val="21"/>
                      <w:szCs w:val="21"/>
                      <w:highlight w:val="none"/>
                      <w:lang w:eastAsia="zh-CN"/>
                    </w:rPr>
                    <w:t>①</w:t>
                  </w:r>
                  <w:r>
                    <w:rPr>
                      <w:rFonts w:hint="eastAsia" w:asciiTheme="minorEastAsia" w:hAnsiTheme="minorEastAsia" w:cstheme="minorEastAsia"/>
                      <w:sz w:val="21"/>
                      <w:szCs w:val="21"/>
                      <w:highlight w:val="none"/>
                      <w:lang w:val="en-GB" w:eastAsia="zh-CN"/>
                    </w:rPr>
                    <w:t>采</w:t>
                  </w:r>
                  <w:r>
                    <w:rPr>
                      <w:rFonts w:hint="eastAsia" w:asciiTheme="minorEastAsia" w:hAnsiTheme="minorEastAsia" w:eastAsiaTheme="minorEastAsia" w:cstheme="minorEastAsia"/>
                      <w:sz w:val="21"/>
                      <w:szCs w:val="21"/>
                      <w:highlight w:val="none"/>
                      <w:lang w:val="en-US" w:eastAsia="zh-CN"/>
                    </w:rPr>
                    <w:t>区内</w:t>
                  </w:r>
                  <w:r>
                    <w:rPr>
                      <w:rFonts w:hint="eastAsia" w:asciiTheme="minorEastAsia" w:hAnsiTheme="minorEastAsia" w:cstheme="minorEastAsia"/>
                      <w:sz w:val="21"/>
                      <w:szCs w:val="21"/>
                      <w:highlight w:val="none"/>
                      <w:lang w:val="en-US" w:eastAsia="zh-CN"/>
                    </w:rPr>
                    <w:t>限速行驶，</w:t>
                  </w:r>
                  <w:r>
                    <w:rPr>
                      <w:rFonts w:hint="eastAsia" w:asciiTheme="minorEastAsia" w:hAnsiTheme="minorEastAsia" w:eastAsiaTheme="minorEastAsia" w:cstheme="minorEastAsia"/>
                      <w:sz w:val="21"/>
                      <w:szCs w:val="21"/>
                      <w:highlight w:val="none"/>
                      <w:lang w:val="en-US" w:eastAsia="zh-CN"/>
                    </w:rPr>
                    <w:t>禁止鸣笛，减小交通噪声对周围环境的影响；</w:t>
                  </w:r>
                  <w:r>
                    <w:rPr>
                      <w:rFonts w:hint="default" w:asciiTheme="minorEastAsia" w:hAnsiTheme="minorEastAsia" w:cstheme="minorEastAsia"/>
                      <w:sz w:val="21"/>
                      <w:szCs w:val="21"/>
                      <w:highlight w:val="none"/>
                      <w:lang w:eastAsia="zh-CN"/>
                    </w:rPr>
                    <w:t>②合理安排运输时间</w:t>
                  </w:r>
                  <w:r>
                    <w:rPr>
                      <w:rFonts w:hint="eastAsia" w:asciiTheme="minorEastAsia" w:hAnsiTheme="minorEastAsia" w:eastAsiaTheme="minorEastAsia" w:cstheme="minorEastAsia"/>
                      <w:sz w:val="21"/>
                      <w:szCs w:val="21"/>
                      <w:highlight w:val="none"/>
                      <w:lang w:val="en-US" w:eastAsia="zh-CN"/>
                    </w:rPr>
                    <w:t>。</w:t>
                  </w:r>
                </w:p>
              </w:tc>
              <w:tc>
                <w:tcPr>
                  <w:tcW w:w="1876" w:type="dxa"/>
                  <w:vMerge w:val="continue"/>
                  <w:noWrap w:val="0"/>
                  <w:vAlign w:val="center"/>
                </w:tcPr>
                <w:p>
                  <w:pPr>
                    <w:numPr>
                      <w:ilvl w:val="0"/>
                      <w:numId w:val="0"/>
                    </w:numPr>
                    <w:adjustRightInd w:val="0"/>
                    <w:snapToGrid w:val="0"/>
                    <w:ind w:firstLine="420" w:firstLineChars="200"/>
                    <w:jc w:val="both"/>
                    <w:rPr>
                      <w:rFonts w:hint="eastAsia" w:asciiTheme="minorEastAsia" w:hAnsiTheme="minorEastAsia" w:eastAsiaTheme="minorEastAsia" w:cstheme="minorEastAsia"/>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jc w:val="center"/>
              </w:trPr>
              <w:tc>
                <w:tcPr>
                  <w:tcW w:w="508" w:type="dxa"/>
                  <w:vMerge w:val="restart"/>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固</w:t>
                  </w:r>
                </w:p>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体</w:t>
                  </w:r>
                </w:p>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废</w:t>
                  </w:r>
                </w:p>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物</w:t>
                  </w:r>
                </w:p>
              </w:tc>
              <w:tc>
                <w:tcPr>
                  <w:tcW w:w="466" w:type="dxa"/>
                  <w:vMerge w:val="restart"/>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施工期</w:t>
                  </w:r>
                </w:p>
              </w:tc>
              <w:tc>
                <w:tcPr>
                  <w:tcW w:w="1265" w:type="dxa"/>
                  <w:noWrap w:val="0"/>
                  <w:vAlign w:val="center"/>
                </w:tcPr>
                <w:p>
                  <w:pPr>
                    <w:numPr>
                      <w:ilvl w:val="0"/>
                      <w:numId w:val="0"/>
                    </w:numPr>
                    <w:adjustRightInd w:val="0"/>
                    <w:snapToGrid w:val="0"/>
                    <w:rPr>
                      <w:rFonts w:hint="eastAsia" w:asciiTheme="minorEastAsia" w:hAnsiTheme="minorEastAsia" w:eastAsiaTheme="minorEastAsia" w:cstheme="minorEastAsia"/>
                      <w:color w:val="FF0000"/>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一般工业固体废物</w:t>
                  </w: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color w:val="FF0000"/>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表土方、</w:t>
                  </w:r>
                  <w:r>
                    <w:rPr>
                      <w:rFonts w:hint="default" w:asciiTheme="minorEastAsia" w:hAnsiTheme="minorEastAsia" w:cstheme="minorEastAsia"/>
                      <w:sz w:val="21"/>
                      <w:szCs w:val="21"/>
                      <w:highlight w:val="none"/>
                      <w:lang w:eastAsia="zh-CN"/>
                    </w:rPr>
                    <w:t>弃土、沉淀池污泥</w:t>
                  </w:r>
                  <w:r>
                    <w:rPr>
                      <w:rFonts w:hint="eastAsia" w:asciiTheme="minorEastAsia" w:hAnsiTheme="minorEastAsia" w:eastAsiaTheme="minorEastAsia" w:cstheme="minorEastAsia"/>
                      <w:sz w:val="21"/>
                      <w:szCs w:val="21"/>
                      <w:highlight w:val="none"/>
                      <w:lang w:val="en-US" w:eastAsia="zh-CN"/>
                    </w:rPr>
                    <w:t>、除尘器收尘灰</w:t>
                  </w:r>
                </w:p>
              </w:tc>
              <w:tc>
                <w:tcPr>
                  <w:tcW w:w="3264" w:type="dxa"/>
                  <w:noWrap w:val="0"/>
                  <w:vAlign w:val="center"/>
                </w:tcPr>
                <w:p>
                  <w:pPr>
                    <w:numPr>
                      <w:ilvl w:val="0"/>
                      <w:numId w:val="0"/>
                    </w:numPr>
                    <w:adjustRightInd w:val="0"/>
                    <w:snapToGrid w:val="0"/>
                    <w:rPr>
                      <w:rFonts w:hint="eastAsia" w:asciiTheme="minorEastAsia" w:hAnsiTheme="minorEastAsia" w:eastAsiaTheme="minorEastAsia" w:cstheme="minorEastAsia"/>
                      <w:color w:val="FF0000"/>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①可回收利用的进行回收利用，不能利用的按照市政管理部门要求进行处置；②沉淀池污泥定期清理至表土堆场，表土暂存于排土场内，后期用于绿化</w:t>
                  </w:r>
                  <w:r>
                    <w:rPr>
                      <w:rFonts w:hint="default" w:asciiTheme="minorEastAsia" w:hAnsiTheme="minorEastAsia" w:cstheme="minorEastAsia"/>
                      <w:sz w:val="21"/>
                      <w:szCs w:val="21"/>
                      <w:highlight w:val="none"/>
                      <w:lang w:eastAsia="zh-CN"/>
                    </w:rPr>
                    <w:t>复垦</w:t>
                  </w:r>
                  <w:r>
                    <w:rPr>
                      <w:rFonts w:hint="eastAsia" w:asciiTheme="minorEastAsia" w:hAnsiTheme="minorEastAsia" w:eastAsiaTheme="minorEastAsia" w:cstheme="minorEastAsia"/>
                      <w:sz w:val="21"/>
                      <w:szCs w:val="21"/>
                      <w:highlight w:val="none"/>
                      <w:lang w:val="en-US" w:eastAsia="zh-CN"/>
                    </w:rPr>
                    <w:t>，弃土堆放于排土场。</w:t>
                  </w:r>
                </w:p>
              </w:tc>
              <w:tc>
                <w:tcPr>
                  <w:tcW w:w="1876" w:type="dxa"/>
                  <w:vMerge w:val="restart"/>
                  <w:noWrap w:val="0"/>
                  <w:vAlign w:val="center"/>
                </w:tcPr>
                <w:p>
                  <w:pPr>
                    <w:numPr>
                      <w:ilvl w:val="0"/>
                      <w:numId w:val="0"/>
                    </w:numPr>
                    <w:adjustRightInd w:val="0"/>
                    <w:snapToGrid w:val="0"/>
                    <w:jc w:val="both"/>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4" w:hRule="atLeast"/>
                <w:jc w:val="center"/>
              </w:trPr>
              <w:tc>
                <w:tcPr>
                  <w:tcW w:w="508"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466"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1265"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危险废物</w:t>
                  </w: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废机油</w:t>
                  </w:r>
                </w:p>
              </w:tc>
              <w:tc>
                <w:tcPr>
                  <w:tcW w:w="3264"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项目收集的危险废物必须单独收集、单独存储，委托有资质的单位处理，严格执行危险废物转移联单制度，设置台账。</w:t>
                  </w:r>
                </w:p>
              </w:tc>
              <w:tc>
                <w:tcPr>
                  <w:tcW w:w="1876" w:type="dxa"/>
                  <w:vMerge w:val="continue"/>
                  <w:noWrap w:val="0"/>
                  <w:vAlign w:val="center"/>
                </w:tcPr>
                <w:p>
                  <w:pPr>
                    <w:numPr>
                      <w:ilvl w:val="0"/>
                      <w:numId w:val="0"/>
                    </w:numPr>
                    <w:adjustRightInd w:val="0"/>
                    <w:snapToGrid w:val="0"/>
                    <w:ind w:firstLine="420" w:firstLineChars="200"/>
                    <w:jc w:val="both"/>
                    <w:rPr>
                      <w:rFonts w:hint="eastAsia" w:asciiTheme="minorEastAsia" w:hAnsiTheme="minorEastAsia" w:eastAsiaTheme="minorEastAsia" w:cstheme="minorEastAsia"/>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508"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466"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1265"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cstheme="minorEastAsia"/>
                      <w:sz w:val="21"/>
                      <w:szCs w:val="21"/>
                      <w:highlight w:val="none"/>
                      <w:lang w:val="en-US" w:eastAsia="zh-CN"/>
                    </w:rPr>
                    <w:t>社会</w:t>
                  </w:r>
                  <w:r>
                    <w:rPr>
                      <w:rFonts w:hint="eastAsia" w:asciiTheme="minorEastAsia" w:hAnsiTheme="minorEastAsia" w:eastAsiaTheme="minorEastAsia" w:cstheme="minorEastAsia"/>
                      <w:sz w:val="21"/>
                      <w:szCs w:val="21"/>
                      <w:highlight w:val="none"/>
                      <w:lang w:val="en-US" w:eastAsia="zh-CN"/>
                    </w:rPr>
                    <w:t>生活</w:t>
                  </w: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生活垃圾</w:t>
                  </w:r>
                </w:p>
              </w:tc>
              <w:tc>
                <w:tcPr>
                  <w:tcW w:w="3264" w:type="dxa"/>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生活垃圾集中收集后，定期运至指定垃圾堆放点，由环卫部门清运处理。</w:t>
                  </w:r>
                </w:p>
              </w:tc>
              <w:tc>
                <w:tcPr>
                  <w:tcW w:w="1876" w:type="dxa"/>
                  <w:noWrap w:val="0"/>
                  <w:vAlign w:val="center"/>
                </w:tcPr>
                <w:p>
                  <w:pPr>
                    <w:numPr>
                      <w:ilvl w:val="0"/>
                      <w:numId w:val="0"/>
                    </w:numPr>
                    <w:adjustRightInd w:val="0"/>
                    <w:snapToGrid w:val="0"/>
                    <w:jc w:val="both"/>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508"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466" w:type="dxa"/>
                  <w:vMerge w:val="restart"/>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运营期</w:t>
                  </w:r>
                </w:p>
              </w:tc>
              <w:tc>
                <w:tcPr>
                  <w:tcW w:w="1265" w:type="dxa"/>
                  <w:vMerge w:val="restart"/>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一般固体废物</w:t>
                  </w: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生活垃圾</w:t>
                  </w:r>
                </w:p>
              </w:tc>
              <w:tc>
                <w:tcPr>
                  <w:tcW w:w="3264" w:type="dxa"/>
                  <w:noWrap w:val="0"/>
                  <w:vAlign w:val="center"/>
                </w:tcPr>
                <w:p>
                  <w:pPr>
                    <w:numPr>
                      <w:ilvl w:val="0"/>
                      <w:numId w:val="0"/>
                    </w:numPr>
                    <w:adjustRightInd w:val="0"/>
                    <w:snapToGrid w:val="0"/>
                    <w:rPr>
                      <w:spacing w:val="-2"/>
                      <w:sz w:val="21"/>
                      <w:highlight w:val="none"/>
                    </w:rPr>
                  </w:pPr>
                  <w:r>
                    <w:rPr>
                      <w:spacing w:val="-1"/>
                      <w:sz w:val="21"/>
                      <w:highlight w:val="none"/>
                    </w:rPr>
                    <w:t>生活垃圾</w:t>
                  </w:r>
                  <w:r>
                    <w:rPr>
                      <w:spacing w:val="-2"/>
                      <w:sz w:val="21"/>
                      <w:highlight w:val="none"/>
                    </w:rPr>
                    <w:t>运至乡镇</w:t>
                  </w:r>
                  <w:r>
                    <w:rPr>
                      <w:spacing w:val="-3"/>
                      <w:sz w:val="21"/>
                      <w:highlight w:val="none"/>
                    </w:rPr>
                    <w:t>垃圾收集</w:t>
                  </w:r>
                  <w:r>
                    <w:rPr>
                      <w:spacing w:val="-14"/>
                      <w:sz w:val="21"/>
                      <w:highlight w:val="none"/>
                    </w:rPr>
                    <w:t>点，由当地</w:t>
                  </w:r>
                  <w:r>
                    <w:rPr>
                      <w:spacing w:val="-1"/>
                      <w:sz w:val="21"/>
                      <w:highlight w:val="none"/>
                    </w:rPr>
                    <w:t>环卫部门</w:t>
                  </w:r>
                  <w:r>
                    <w:rPr>
                      <w:spacing w:val="-2"/>
                      <w:sz w:val="21"/>
                      <w:highlight w:val="none"/>
                    </w:rPr>
                    <w:t>清运处理</w:t>
                  </w:r>
                </w:p>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p>
              </w:tc>
              <w:tc>
                <w:tcPr>
                  <w:tcW w:w="1876" w:type="dxa"/>
                  <w:noWrap w:val="0"/>
                  <w:vAlign w:val="center"/>
                </w:tcPr>
                <w:p>
                  <w:pPr>
                    <w:numPr>
                      <w:ilvl w:val="0"/>
                      <w:numId w:val="0"/>
                    </w:numPr>
                    <w:adjustRightInd w:val="0"/>
                    <w:snapToGrid w:val="0"/>
                    <w:jc w:val="both"/>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508"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466"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1265"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cstheme="minorEastAsia"/>
                      <w:sz w:val="21"/>
                      <w:szCs w:val="21"/>
                      <w:highlight w:val="none"/>
                      <w:lang w:val="en-US" w:eastAsia="zh-CN"/>
                    </w:rPr>
                    <w:t>废土石</w:t>
                  </w:r>
                </w:p>
              </w:tc>
              <w:tc>
                <w:tcPr>
                  <w:tcW w:w="3264" w:type="dxa"/>
                  <w:noWrap w:val="0"/>
                  <w:vAlign w:val="center"/>
                </w:tcPr>
                <w:p>
                  <w:pPr>
                    <w:pStyle w:val="12"/>
                    <w:spacing w:line="364" w:lineRule="auto"/>
                    <w:ind w:right="85"/>
                    <w:jc w:val="both"/>
                    <w:rPr>
                      <w:rFonts w:hint="eastAsia" w:asciiTheme="minorEastAsia" w:hAnsiTheme="minorEastAsia" w:eastAsiaTheme="minorEastAsia" w:cstheme="minorEastAsia"/>
                      <w:sz w:val="21"/>
                      <w:szCs w:val="21"/>
                      <w:highlight w:val="none"/>
                      <w:lang w:val="en-US" w:eastAsia="zh-CN"/>
                    </w:rPr>
                  </w:pPr>
                  <w:r>
                    <w:rPr>
                      <w:rFonts w:asciiTheme="minorHAnsi" w:hAnsiTheme="minorHAnsi" w:eastAsiaTheme="minorEastAsia" w:cstheme="minorBidi"/>
                      <w:spacing w:val="-2"/>
                      <w:kern w:val="2"/>
                      <w:sz w:val="21"/>
                      <w:szCs w:val="24"/>
                      <w:highlight w:val="none"/>
                      <w:lang w:val="en-US" w:eastAsia="zh-CN" w:bidi="ar-SA"/>
                    </w:rPr>
                    <w:t>在采空区设置排土场，将废弃土石进行堆放，用于日后的植被恢复或绿化覆土</w:t>
                  </w:r>
                </w:p>
              </w:tc>
              <w:tc>
                <w:tcPr>
                  <w:tcW w:w="1876" w:type="dxa"/>
                  <w:vMerge w:val="restart"/>
                  <w:noWrap w:val="0"/>
                  <w:vAlign w:val="center"/>
                </w:tcPr>
                <w:p>
                  <w:pPr>
                    <w:numPr>
                      <w:ilvl w:val="0"/>
                      <w:numId w:val="0"/>
                    </w:numPr>
                    <w:adjustRightInd w:val="0"/>
                    <w:snapToGrid w:val="0"/>
                    <w:jc w:val="both"/>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508" w:type="dxa"/>
                  <w:vMerge w:val="continue"/>
                  <w:noWrap w:val="0"/>
                  <w:vAlign w:val="center"/>
                </w:tcPr>
                <w:p>
                  <w:pPr>
                    <w:adjustRightInd w:val="0"/>
                    <w:snapToGrid w:val="0"/>
                    <w:rPr>
                      <w:highlight w:val="none"/>
                    </w:rPr>
                  </w:pPr>
                </w:p>
              </w:tc>
              <w:tc>
                <w:tcPr>
                  <w:tcW w:w="466" w:type="dxa"/>
                  <w:vMerge w:val="continue"/>
                  <w:noWrap w:val="0"/>
                  <w:vAlign w:val="center"/>
                </w:tcPr>
                <w:p>
                  <w:pPr>
                    <w:adjustRightInd w:val="0"/>
                    <w:snapToGrid w:val="0"/>
                    <w:rPr>
                      <w:highlight w:val="none"/>
                    </w:rPr>
                  </w:pPr>
                </w:p>
              </w:tc>
              <w:tc>
                <w:tcPr>
                  <w:tcW w:w="1265" w:type="dxa"/>
                  <w:vMerge w:val="continue"/>
                  <w:noWrap w:val="0"/>
                  <w:vAlign w:val="center"/>
                </w:tcPr>
                <w:p>
                  <w:pPr>
                    <w:adjustRightInd w:val="0"/>
                    <w:snapToGrid w:val="0"/>
                    <w:rPr>
                      <w:highlight w:val="none"/>
                    </w:rPr>
                  </w:pPr>
                </w:p>
              </w:tc>
              <w:tc>
                <w:tcPr>
                  <w:tcW w:w="1258"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cstheme="minorEastAsia"/>
                      <w:sz w:val="21"/>
                      <w:szCs w:val="21"/>
                      <w:highlight w:val="none"/>
                      <w:lang w:val="en-US" w:eastAsia="zh-CN"/>
                    </w:rPr>
                    <w:t>沉淀池污泥</w:t>
                  </w:r>
                </w:p>
              </w:tc>
              <w:tc>
                <w:tcPr>
                  <w:tcW w:w="3264" w:type="dxa"/>
                  <w:noWrap w:val="0"/>
                  <w:vAlign w:val="center"/>
                </w:tcPr>
                <w:p>
                  <w:p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cstheme="minorEastAsia"/>
                      <w:sz w:val="21"/>
                      <w:szCs w:val="21"/>
                      <w:highlight w:val="none"/>
                      <w:lang w:val="en-US" w:eastAsia="zh-CN"/>
                    </w:rPr>
                    <w:t>定期清理至表土堆场，用于后期复垦。</w:t>
                  </w:r>
                </w:p>
              </w:tc>
              <w:tc>
                <w:tcPr>
                  <w:tcW w:w="1876" w:type="dxa"/>
                  <w:vMerge w:val="continue"/>
                  <w:noWrap w:val="0"/>
                  <w:vAlign w:val="center"/>
                </w:tcPr>
                <w:p>
                  <w:pPr>
                    <w:adjustRightInd w:val="0"/>
                    <w:snapToGrid w:val="0"/>
                    <w:rPr>
                      <w:rFonts w:hint="eastAsia" w:asciiTheme="minorEastAsia" w:hAnsiTheme="minorEastAsia" w:eastAsiaTheme="minorEastAsia" w:cstheme="minorEastAsia"/>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508" w:type="dxa"/>
                  <w:vMerge w:val="continue"/>
                  <w:noWrap w:val="0"/>
                  <w:vAlign w:val="center"/>
                </w:tcPr>
                <w:p>
                  <w:pPr>
                    <w:adjustRightInd w:val="0"/>
                    <w:snapToGrid w:val="0"/>
                    <w:rPr>
                      <w:highlight w:val="none"/>
                    </w:rPr>
                  </w:pPr>
                </w:p>
              </w:tc>
              <w:tc>
                <w:tcPr>
                  <w:tcW w:w="466" w:type="dxa"/>
                  <w:vMerge w:val="continue"/>
                  <w:noWrap w:val="0"/>
                  <w:vAlign w:val="center"/>
                </w:tcPr>
                <w:p>
                  <w:pPr>
                    <w:adjustRightInd w:val="0"/>
                    <w:snapToGrid w:val="0"/>
                    <w:rPr>
                      <w:highlight w:val="none"/>
                    </w:rPr>
                  </w:pPr>
                </w:p>
              </w:tc>
              <w:tc>
                <w:tcPr>
                  <w:tcW w:w="1265" w:type="dxa"/>
                  <w:vMerge w:val="continue"/>
                  <w:noWrap w:val="0"/>
                  <w:vAlign w:val="center"/>
                </w:tcPr>
                <w:p>
                  <w:pPr>
                    <w:adjustRightInd w:val="0"/>
                    <w:snapToGrid w:val="0"/>
                    <w:rPr>
                      <w:highlight w:val="none"/>
                    </w:rPr>
                  </w:pPr>
                </w:p>
              </w:tc>
              <w:tc>
                <w:tcPr>
                  <w:tcW w:w="1258" w:type="dxa"/>
                  <w:gridSpan w:val="2"/>
                  <w:noWrap w:val="0"/>
                  <w:vAlign w:val="center"/>
                </w:tcPr>
                <w:p>
                  <w:pPr>
                    <w:numPr>
                      <w:ilvl w:val="0"/>
                      <w:numId w:val="0"/>
                    </w:numPr>
                    <w:adjustRightInd w:val="0"/>
                    <w:snapToGrid w:val="0"/>
                    <w:rPr>
                      <w:rFonts w:hint="eastAsia" w:asciiTheme="minorEastAsia" w:hAnsiTheme="minorEastAsia" w:cstheme="minorEastAsia"/>
                      <w:sz w:val="21"/>
                      <w:szCs w:val="21"/>
                      <w:highlight w:val="none"/>
                      <w:lang w:val="en-US" w:eastAsia="zh-CN"/>
                    </w:rPr>
                  </w:pPr>
                  <w:r>
                    <w:rPr>
                      <w:rFonts w:hint="eastAsia" w:asciiTheme="minorEastAsia" w:hAnsiTheme="minorEastAsia" w:cstheme="minorEastAsia"/>
                      <w:sz w:val="21"/>
                      <w:szCs w:val="21"/>
                      <w:highlight w:val="none"/>
                      <w:lang w:val="en-US" w:eastAsia="zh-CN"/>
                    </w:rPr>
                    <w:t>除尘器收集灰尘</w:t>
                  </w:r>
                </w:p>
              </w:tc>
              <w:tc>
                <w:tcPr>
                  <w:tcW w:w="3264" w:type="dxa"/>
                  <w:noWrap w:val="0"/>
                  <w:vAlign w:val="center"/>
                </w:tcPr>
                <w:p>
                  <w:pPr>
                    <w:numPr>
                      <w:ilvl w:val="0"/>
                      <w:numId w:val="0"/>
                    </w:numPr>
                    <w:adjustRightInd w:val="0"/>
                    <w:snapToGrid w:val="0"/>
                    <w:rPr>
                      <w:rFonts w:hint="eastAsia"/>
                      <w:szCs w:val="21"/>
                      <w:highlight w:val="none"/>
                      <w:lang w:val="en-US" w:eastAsia="zh-CN"/>
                    </w:rPr>
                  </w:pPr>
                  <w:r>
                    <w:rPr>
                      <w:rFonts w:hint="eastAsia"/>
                      <w:szCs w:val="21"/>
                      <w:highlight w:val="none"/>
                      <w:lang w:val="en-US" w:eastAsia="zh-CN"/>
                    </w:rPr>
                    <w:t>经袋式除尘器收集的粉尘作为石粉外售。</w:t>
                  </w:r>
                </w:p>
              </w:tc>
              <w:tc>
                <w:tcPr>
                  <w:tcW w:w="1876" w:type="dxa"/>
                  <w:vMerge w:val="continue"/>
                  <w:noWrap w:val="0"/>
                  <w:vAlign w:val="center"/>
                </w:tcPr>
                <w:p>
                  <w:pPr>
                    <w:adjustRightInd w:val="0"/>
                    <w:snapToGrid w:val="0"/>
                    <w:rPr>
                      <w:rFonts w:hint="eastAsia" w:asciiTheme="minorEastAsia" w:hAnsiTheme="minorEastAsia" w:cstheme="minorEastAsia"/>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3" w:hRule="atLeast"/>
                <w:jc w:val="center"/>
              </w:trPr>
              <w:tc>
                <w:tcPr>
                  <w:tcW w:w="508"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466" w:type="dxa"/>
                  <w:vMerge w:val="continue"/>
                  <w:noWrap w:val="0"/>
                  <w:vAlign w:val="center"/>
                </w:tcPr>
                <w:p>
                  <w:pPr>
                    <w:numPr>
                      <w:ilvl w:val="0"/>
                      <w:numId w:val="0"/>
                    </w:numPr>
                    <w:adjustRightInd w:val="0"/>
                    <w:snapToGrid w:val="0"/>
                    <w:ind w:firstLine="420" w:firstLineChars="200"/>
                    <w:rPr>
                      <w:rFonts w:hint="eastAsia" w:asciiTheme="minorEastAsia" w:hAnsiTheme="minorEastAsia" w:eastAsiaTheme="minorEastAsia" w:cstheme="minorEastAsia"/>
                      <w:sz w:val="21"/>
                      <w:szCs w:val="21"/>
                      <w:highlight w:val="none"/>
                      <w:lang w:val="en-US" w:eastAsia="zh-CN"/>
                    </w:rPr>
                  </w:pPr>
                </w:p>
              </w:tc>
              <w:tc>
                <w:tcPr>
                  <w:tcW w:w="1265" w:type="dxa"/>
                  <w:noWrap w:val="0"/>
                  <w:vAlign w:val="center"/>
                </w:tcPr>
                <w:p>
                  <w:pPr>
                    <w:numPr>
                      <w:ilvl w:val="0"/>
                      <w:numId w:val="0"/>
                    </w:numPr>
                    <w:adjustRightInd w:val="0"/>
                    <w:snapToGrid w:val="0"/>
                    <w:rPr>
                      <w:rFonts w:hint="eastAsia"/>
                      <w:szCs w:val="21"/>
                      <w:highlight w:val="none"/>
                      <w:lang w:val="en-US" w:eastAsia="zh-CN"/>
                    </w:rPr>
                  </w:pPr>
                  <w:r>
                    <w:rPr>
                      <w:rFonts w:hint="eastAsia"/>
                      <w:szCs w:val="21"/>
                      <w:highlight w:val="none"/>
                      <w:lang w:val="en-US" w:eastAsia="zh-CN"/>
                    </w:rPr>
                    <w:t>危险废物</w:t>
                  </w:r>
                </w:p>
              </w:tc>
              <w:tc>
                <w:tcPr>
                  <w:tcW w:w="1258" w:type="dxa"/>
                  <w:gridSpan w:val="2"/>
                  <w:noWrap w:val="0"/>
                  <w:vAlign w:val="center"/>
                </w:tcPr>
                <w:p>
                  <w:pPr>
                    <w:numPr>
                      <w:ilvl w:val="0"/>
                      <w:numId w:val="0"/>
                    </w:numPr>
                    <w:adjustRightInd w:val="0"/>
                    <w:snapToGrid w:val="0"/>
                    <w:rPr>
                      <w:rFonts w:hint="eastAsia"/>
                      <w:szCs w:val="21"/>
                      <w:highlight w:val="none"/>
                      <w:lang w:val="en-US" w:eastAsia="zh-CN"/>
                    </w:rPr>
                  </w:pPr>
                  <w:r>
                    <w:rPr>
                      <w:rFonts w:hint="eastAsia"/>
                      <w:szCs w:val="21"/>
                      <w:highlight w:val="none"/>
                      <w:lang w:val="en-US" w:eastAsia="zh-CN"/>
                    </w:rPr>
                    <w:t>废机油</w:t>
                  </w:r>
                </w:p>
              </w:tc>
              <w:tc>
                <w:tcPr>
                  <w:tcW w:w="3264" w:type="dxa"/>
                  <w:noWrap w:val="0"/>
                  <w:vAlign w:val="center"/>
                </w:tcPr>
                <w:p>
                  <w:pPr>
                    <w:numPr>
                      <w:ilvl w:val="0"/>
                      <w:numId w:val="0"/>
                    </w:numPr>
                    <w:adjustRightInd w:val="0"/>
                    <w:snapToGrid w:val="0"/>
                    <w:rPr>
                      <w:rFonts w:hint="eastAsia"/>
                      <w:szCs w:val="21"/>
                      <w:highlight w:val="none"/>
                      <w:lang w:val="en-US" w:eastAsia="zh-CN"/>
                    </w:rPr>
                  </w:pPr>
                  <w:r>
                    <w:rPr>
                      <w:rFonts w:hint="eastAsia"/>
                      <w:szCs w:val="21"/>
                      <w:highlight w:val="none"/>
                      <w:lang w:val="en-US" w:eastAsia="zh-CN"/>
                    </w:rPr>
                    <w:t>危废暂存间（设置一间危险废物暂存间，门口内侧设立围堰；防渗措施：危废暂存间基础防渗层为 1 m 厚粘土层（渗透系数 ≤10-7cm）。危废暂存间地面及墙面设置环氧树脂漆防腐防渗）委托有资质的单位处理，严格执行危险废物转移联单制度，设置台账。</w:t>
                  </w:r>
                </w:p>
              </w:tc>
              <w:tc>
                <w:tcPr>
                  <w:tcW w:w="1876" w:type="dxa"/>
                  <w:noWrap w:val="0"/>
                  <w:vAlign w:val="center"/>
                </w:tcPr>
                <w:p>
                  <w:pPr>
                    <w:numPr>
                      <w:ilvl w:val="0"/>
                      <w:numId w:val="0"/>
                    </w:numPr>
                    <w:adjustRightInd w:val="0"/>
                    <w:snapToGrid w:val="0"/>
                    <w:jc w:val="both"/>
                    <w:rPr>
                      <w:rFonts w:hint="eastAsia"/>
                      <w:szCs w:val="21"/>
                      <w:highlight w:val="none"/>
                      <w:lang w:val="en-US" w:eastAsia="zh-CN"/>
                    </w:rPr>
                  </w:pPr>
                  <w:r>
                    <w:rPr>
                      <w:rFonts w:hint="eastAsia"/>
                      <w:szCs w:val="21"/>
                      <w:highlight w:val="none"/>
                      <w:lang w:val="en-US" w:eastAsia="zh-CN"/>
                    </w:rPr>
                    <w:t>对环境影响轻微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jc w:val="center"/>
              </w:trPr>
              <w:tc>
                <w:tcPr>
                  <w:tcW w:w="974" w:type="dxa"/>
                  <w:gridSpan w:val="2"/>
                  <w:noWrap w:val="0"/>
                  <w:vAlign w:val="center"/>
                </w:tcPr>
                <w:p>
                  <w:pPr>
                    <w:numPr>
                      <w:ilvl w:val="0"/>
                      <w:numId w:val="0"/>
                    </w:numPr>
                    <w:adjustRightInd w:val="0"/>
                    <w:snapToGrid w:val="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其它</w:t>
                  </w:r>
                </w:p>
              </w:tc>
              <w:tc>
                <w:tcPr>
                  <w:tcW w:w="1265" w:type="dxa"/>
                  <w:noWrap w:val="0"/>
                  <w:vAlign w:val="center"/>
                </w:tcPr>
                <w:p>
                  <w:pPr>
                    <w:numPr>
                      <w:ilvl w:val="0"/>
                      <w:numId w:val="0"/>
                    </w:numPr>
                    <w:adjustRightInd w:val="0"/>
                    <w:snapToGrid w:val="0"/>
                    <w:rPr>
                      <w:rFonts w:hint="eastAsia"/>
                      <w:szCs w:val="21"/>
                      <w:highlight w:val="none"/>
                      <w:lang w:val="en-US" w:eastAsia="zh-CN"/>
                    </w:rPr>
                  </w:pPr>
                  <w:r>
                    <w:rPr>
                      <w:rFonts w:hint="eastAsia"/>
                      <w:szCs w:val="21"/>
                      <w:highlight w:val="none"/>
                      <w:lang w:val="en-US" w:eastAsia="zh-CN"/>
                    </w:rPr>
                    <w:t>无</w:t>
                  </w:r>
                </w:p>
              </w:tc>
              <w:tc>
                <w:tcPr>
                  <w:tcW w:w="6398" w:type="dxa"/>
                  <w:gridSpan w:val="4"/>
                  <w:noWrap w:val="0"/>
                  <w:vAlign w:val="center"/>
                </w:tcPr>
                <w:p>
                  <w:pPr>
                    <w:numPr>
                      <w:ilvl w:val="0"/>
                      <w:numId w:val="0"/>
                    </w:numPr>
                    <w:adjustRightInd w:val="0"/>
                    <w:snapToGrid w:val="0"/>
                    <w:jc w:val="both"/>
                    <w:rPr>
                      <w:rFonts w:hint="eastAsia"/>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2" w:hRule="atLeast"/>
                <w:jc w:val="center"/>
              </w:trPr>
              <w:tc>
                <w:tcPr>
                  <w:tcW w:w="8637" w:type="dxa"/>
                  <w:gridSpan w:val="7"/>
                  <w:noWrap w:val="0"/>
                  <w:vAlign w:val="top"/>
                </w:tcPr>
                <w:p>
                  <w:pPr>
                    <w:spacing w:line="300" w:lineRule="atLeast"/>
                    <w:jc w:val="both"/>
                    <w:rPr>
                      <w:rFonts w:hint="eastAsia"/>
                      <w:szCs w:val="21"/>
                      <w:highlight w:val="none"/>
                      <w:lang w:val="en-US" w:eastAsia="zh-CN"/>
                    </w:rPr>
                  </w:pPr>
                  <w:r>
                    <w:rPr>
                      <w:rFonts w:hint="eastAsia"/>
                      <w:szCs w:val="21"/>
                      <w:highlight w:val="none"/>
                      <w:lang w:val="en-US" w:eastAsia="zh-CN"/>
                    </w:rPr>
                    <w:t>生态保护措施及预期效果：</w:t>
                  </w:r>
                </w:p>
                <w:p>
                  <w:pPr>
                    <w:numPr>
                      <w:ilvl w:val="0"/>
                      <w:numId w:val="2"/>
                    </w:numPr>
                    <w:spacing w:line="300" w:lineRule="atLeast"/>
                    <w:jc w:val="both"/>
                    <w:rPr>
                      <w:rFonts w:hint="eastAsia" w:asciiTheme="minorHAnsi" w:hAnsiTheme="minorHAnsi" w:eastAsiaTheme="minorEastAsia" w:cstheme="minorBidi"/>
                      <w:kern w:val="2"/>
                      <w:sz w:val="21"/>
                      <w:szCs w:val="21"/>
                      <w:highlight w:val="none"/>
                      <w:lang w:val="en-US" w:eastAsia="zh-CN" w:bidi="ar-SA"/>
                    </w:rPr>
                  </w:pPr>
                  <w:r>
                    <w:rPr>
                      <w:rFonts w:hint="eastAsia" w:asciiTheme="minorHAnsi" w:hAnsiTheme="minorHAnsi" w:eastAsiaTheme="minorEastAsia" w:cstheme="minorBidi"/>
                      <w:kern w:val="2"/>
                      <w:sz w:val="21"/>
                      <w:szCs w:val="21"/>
                      <w:highlight w:val="none"/>
                      <w:lang w:val="en-US" w:eastAsia="zh-CN" w:bidi="ar-SA"/>
                    </w:rPr>
                    <w:t>避让措施</w:t>
                  </w:r>
                </w:p>
                <w:p>
                  <w:pPr>
                    <w:numPr>
                      <w:ilvl w:val="0"/>
                      <w:numId w:val="0"/>
                    </w:numPr>
                    <w:spacing w:line="300" w:lineRule="atLeast"/>
                    <w:jc w:val="both"/>
                    <w:rPr>
                      <w:rFonts w:hint="eastAsia" w:asciiTheme="minorHAnsi" w:hAnsiTheme="minorHAnsi" w:eastAsiaTheme="minorEastAsia" w:cstheme="minorBidi"/>
                      <w:kern w:val="2"/>
                      <w:sz w:val="21"/>
                      <w:szCs w:val="21"/>
                      <w:highlight w:val="none"/>
                      <w:lang w:val="en-US" w:eastAsia="zh-CN" w:bidi="ar-SA"/>
                    </w:rPr>
                  </w:pPr>
                  <w:r>
                    <w:rPr>
                      <w:rFonts w:hint="eastAsia" w:asciiTheme="minorHAnsi" w:hAnsiTheme="minorHAnsi" w:eastAsiaTheme="minorEastAsia" w:cstheme="minorBidi"/>
                      <w:kern w:val="2"/>
                      <w:sz w:val="21"/>
                      <w:szCs w:val="21"/>
                      <w:highlight w:val="none"/>
                      <w:lang w:val="en-US" w:eastAsia="zh-CN" w:bidi="ar-SA"/>
                    </w:rPr>
                    <w:t>严格按照划定范围施工，禁止滥砍滥伐。</w:t>
                  </w:r>
                </w:p>
                <w:p>
                  <w:pPr>
                    <w:numPr>
                      <w:ilvl w:val="0"/>
                      <w:numId w:val="2"/>
                    </w:numPr>
                    <w:spacing w:line="300" w:lineRule="atLeast"/>
                    <w:jc w:val="both"/>
                    <w:rPr>
                      <w:rFonts w:hint="eastAsia" w:asciiTheme="minorHAnsi" w:hAnsiTheme="minorHAnsi" w:eastAsiaTheme="minorEastAsia" w:cstheme="minorBidi"/>
                      <w:kern w:val="2"/>
                      <w:sz w:val="21"/>
                      <w:szCs w:val="21"/>
                      <w:highlight w:val="none"/>
                      <w:lang w:val="en-US" w:eastAsia="zh-CN" w:bidi="ar-SA"/>
                    </w:rPr>
                  </w:pPr>
                  <w:r>
                    <w:rPr>
                      <w:rFonts w:hint="eastAsia" w:asciiTheme="minorHAnsi" w:hAnsiTheme="minorHAnsi" w:eastAsiaTheme="minorEastAsia" w:cstheme="minorBidi"/>
                      <w:kern w:val="2"/>
                      <w:sz w:val="21"/>
                      <w:szCs w:val="21"/>
                      <w:highlight w:val="none"/>
                      <w:lang w:val="en-US" w:eastAsia="zh-CN" w:bidi="ar-SA"/>
                    </w:rPr>
                    <w:t>减缓措施</w:t>
                  </w:r>
                </w:p>
                <w:p>
                  <w:pPr>
                    <w:numPr>
                      <w:ilvl w:val="0"/>
                      <w:numId w:val="0"/>
                    </w:numPr>
                    <w:spacing w:line="300" w:lineRule="atLeast"/>
                    <w:jc w:val="both"/>
                    <w:rPr>
                      <w:rFonts w:hint="eastAsia" w:asciiTheme="minorHAnsi" w:hAnsiTheme="minorHAnsi" w:eastAsiaTheme="minorEastAsia" w:cstheme="minorBidi"/>
                      <w:kern w:val="2"/>
                      <w:sz w:val="21"/>
                      <w:szCs w:val="21"/>
                      <w:highlight w:val="none"/>
                      <w:lang w:val="en-US" w:eastAsia="zh-CN" w:bidi="ar-SA"/>
                    </w:rPr>
                  </w:pPr>
                  <w:r>
                    <w:rPr>
                      <w:rFonts w:hint="eastAsia" w:asciiTheme="minorHAnsi" w:hAnsiTheme="minorHAnsi" w:eastAsiaTheme="minorEastAsia" w:cstheme="minorBidi"/>
                      <w:kern w:val="2"/>
                      <w:sz w:val="21"/>
                      <w:szCs w:val="21"/>
                      <w:highlight w:val="none"/>
                      <w:lang w:val="en-US" w:eastAsia="zh-CN" w:bidi="ar-SA"/>
                    </w:rPr>
                    <w:t>①优化施工组织设计，减少征占地，减少对植被、景观的破坏，分台开采， 边采边恢复。</w:t>
                  </w:r>
                  <w:r>
                    <w:rPr>
                      <w:rFonts w:hint="eastAsia" w:cstheme="minorBidi"/>
                      <w:kern w:val="2"/>
                      <w:sz w:val="21"/>
                      <w:szCs w:val="21"/>
                      <w:highlight w:val="none"/>
                      <w:lang w:val="en-US" w:eastAsia="zh-CN" w:bidi="ar-SA"/>
                    </w:rPr>
                    <w:t>　　</w:t>
                  </w:r>
                  <w:r>
                    <w:rPr>
                      <w:rFonts w:hint="eastAsia" w:asciiTheme="minorHAnsi" w:hAnsiTheme="minorHAnsi" w:eastAsiaTheme="minorEastAsia" w:cstheme="minorBidi"/>
                      <w:kern w:val="2"/>
                      <w:sz w:val="21"/>
                      <w:szCs w:val="21"/>
                      <w:highlight w:val="none"/>
                      <w:lang w:val="en-US" w:eastAsia="zh-CN" w:bidi="ar-SA"/>
                    </w:rPr>
                    <w:t>②提高施工人员的保护意识，严禁在施工区及其周围捕猎野生动物。</w:t>
                  </w:r>
                </w:p>
                <w:p>
                  <w:pPr>
                    <w:numPr>
                      <w:ilvl w:val="0"/>
                      <w:numId w:val="0"/>
                    </w:numPr>
                    <w:spacing w:line="300" w:lineRule="atLeast"/>
                    <w:jc w:val="both"/>
                    <w:rPr>
                      <w:rFonts w:hint="eastAsia" w:asciiTheme="minorHAnsi" w:hAnsiTheme="minorHAnsi" w:eastAsiaTheme="minorEastAsia" w:cstheme="minorBidi"/>
                      <w:kern w:val="2"/>
                      <w:sz w:val="21"/>
                      <w:szCs w:val="21"/>
                      <w:highlight w:val="none"/>
                      <w:lang w:val="en-US" w:eastAsia="zh-CN" w:bidi="ar-SA"/>
                    </w:rPr>
                  </w:pPr>
                  <w:r>
                    <w:rPr>
                      <w:rFonts w:hint="eastAsia" w:asciiTheme="minorHAnsi" w:hAnsiTheme="minorHAnsi" w:eastAsiaTheme="minorEastAsia" w:cstheme="minorBidi"/>
                      <w:kern w:val="2"/>
                      <w:sz w:val="21"/>
                      <w:szCs w:val="21"/>
                      <w:highlight w:val="none"/>
                      <w:lang w:val="en-US" w:eastAsia="zh-CN" w:bidi="ar-SA"/>
                    </w:rPr>
                    <w:t>③严格按照划定范围施工，禁止滥砍滥伐。</w:t>
                  </w:r>
                </w:p>
                <w:p>
                  <w:pPr>
                    <w:numPr>
                      <w:ilvl w:val="0"/>
                      <w:numId w:val="0"/>
                    </w:numPr>
                    <w:spacing w:line="300" w:lineRule="atLeast"/>
                    <w:jc w:val="both"/>
                    <w:rPr>
                      <w:rFonts w:hint="eastAsia" w:asciiTheme="minorHAnsi" w:hAnsiTheme="minorHAnsi" w:eastAsiaTheme="minorEastAsia" w:cstheme="minorBidi"/>
                      <w:kern w:val="2"/>
                      <w:sz w:val="21"/>
                      <w:szCs w:val="21"/>
                      <w:highlight w:val="none"/>
                      <w:lang w:val="en-US" w:eastAsia="zh-CN" w:bidi="ar-SA"/>
                    </w:rPr>
                  </w:pPr>
                  <w:r>
                    <w:rPr>
                      <w:rFonts w:hint="eastAsia" w:asciiTheme="minorHAnsi" w:hAnsiTheme="minorHAnsi" w:eastAsiaTheme="minorEastAsia" w:cstheme="minorBidi"/>
                      <w:kern w:val="2"/>
                      <w:sz w:val="21"/>
                      <w:szCs w:val="21"/>
                      <w:highlight w:val="none"/>
                      <w:lang w:val="en-US" w:eastAsia="zh-CN" w:bidi="ar-SA"/>
                    </w:rPr>
                    <w:t>④对表土进行妥善保存，截排水沟禁止越界。</w:t>
                  </w:r>
                </w:p>
                <w:p>
                  <w:pPr>
                    <w:spacing w:line="300" w:lineRule="atLeast"/>
                    <w:jc w:val="left"/>
                    <w:rPr>
                      <w:rFonts w:hint="eastAsia" w:asciiTheme="minorEastAsia" w:hAnsiTheme="minorEastAsia" w:eastAsiaTheme="minorEastAsia" w:cstheme="minorEastAsia"/>
                      <w:sz w:val="21"/>
                      <w:szCs w:val="21"/>
                      <w:highlight w:val="yellow"/>
                      <w:lang w:val="en-US" w:eastAsia="zh-CN"/>
                    </w:rPr>
                  </w:pPr>
                  <w:r>
                    <w:rPr>
                      <w:rFonts w:hint="eastAsia" w:asciiTheme="minorHAnsi" w:hAnsiTheme="minorHAnsi" w:eastAsiaTheme="minorEastAsia" w:cstheme="minorBidi"/>
                      <w:kern w:val="2"/>
                      <w:sz w:val="21"/>
                      <w:szCs w:val="21"/>
                      <w:highlight w:val="none"/>
                      <w:lang w:val="en-US" w:eastAsia="zh-CN" w:bidi="ar-SA"/>
                    </w:rPr>
                    <w:t>⑤加强用火管理，严禁由于用火不当引发森林火灾。</w:t>
                  </w:r>
                </w:p>
              </w:tc>
            </w:tr>
          </w:tbl>
          <w:p>
            <w:pPr>
              <w:numPr>
                <w:ilvl w:val="0"/>
                <w:numId w:val="0"/>
              </w:numPr>
              <w:adjustRightInd w:val="0"/>
              <w:snapToGrid w:val="0"/>
              <w:ind w:firstLine="420" w:firstLineChars="200"/>
              <w:rPr>
                <w:rFonts w:hint="default" w:ascii="Times New Roman" w:hAnsi="Times New Roman" w:eastAsia="宋体" w:cs="宋体"/>
                <w:szCs w:val="21"/>
                <w:lang w:val="en-US"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59218C"/>
    <w:multiLevelType w:val="singleLevel"/>
    <w:tmpl w:val="A759218C"/>
    <w:lvl w:ilvl="0" w:tentative="0">
      <w:start w:val="1"/>
      <w:numFmt w:val="decimal"/>
      <w:suff w:val="nothing"/>
      <w:lvlText w:val="（%1）"/>
      <w:lvlJc w:val="left"/>
    </w:lvl>
  </w:abstractNum>
  <w:abstractNum w:abstractNumId="1">
    <w:nsid w:val="1FFED8FB"/>
    <w:multiLevelType w:val="singleLevel"/>
    <w:tmpl w:val="1FFED8FB"/>
    <w:lvl w:ilvl="0" w:tentative="0">
      <w:start w:val="1"/>
      <w:numFmt w:val="bullet"/>
      <w:pStyle w:val="6"/>
      <w:lvlText w:val=""/>
      <w:lvlJc w:val="left"/>
      <w:pPr>
        <w:tabs>
          <w:tab w:val="left" w:pos="2040"/>
        </w:tabs>
        <w:ind w:left="204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800DED"/>
    <w:rsid w:val="01594C9F"/>
    <w:rsid w:val="01A713EB"/>
    <w:rsid w:val="07C524B8"/>
    <w:rsid w:val="08666437"/>
    <w:rsid w:val="0D75484E"/>
    <w:rsid w:val="0E5863A6"/>
    <w:rsid w:val="11484B39"/>
    <w:rsid w:val="176F7B69"/>
    <w:rsid w:val="1C800DED"/>
    <w:rsid w:val="1D827358"/>
    <w:rsid w:val="1DE51BD3"/>
    <w:rsid w:val="1F0C1C14"/>
    <w:rsid w:val="2F360CFB"/>
    <w:rsid w:val="2F4740AB"/>
    <w:rsid w:val="326C0058"/>
    <w:rsid w:val="330632BA"/>
    <w:rsid w:val="34DB165D"/>
    <w:rsid w:val="36076C9A"/>
    <w:rsid w:val="36326B13"/>
    <w:rsid w:val="38275498"/>
    <w:rsid w:val="3B834A7C"/>
    <w:rsid w:val="3BB93FFE"/>
    <w:rsid w:val="3D81346E"/>
    <w:rsid w:val="43B23412"/>
    <w:rsid w:val="472B1A05"/>
    <w:rsid w:val="47C60ABE"/>
    <w:rsid w:val="48873DB8"/>
    <w:rsid w:val="4AAF22C7"/>
    <w:rsid w:val="4DE6289A"/>
    <w:rsid w:val="4FE171BC"/>
    <w:rsid w:val="533073F3"/>
    <w:rsid w:val="57D5566E"/>
    <w:rsid w:val="594D6B86"/>
    <w:rsid w:val="59B35B52"/>
    <w:rsid w:val="59EC129F"/>
    <w:rsid w:val="5C061416"/>
    <w:rsid w:val="61422A43"/>
    <w:rsid w:val="672E7FAC"/>
    <w:rsid w:val="672F0288"/>
    <w:rsid w:val="683B1B4D"/>
    <w:rsid w:val="690134C0"/>
    <w:rsid w:val="6970566E"/>
    <w:rsid w:val="6ABF7E9B"/>
    <w:rsid w:val="6AD51D8B"/>
    <w:rsid w:val="6C5A2033"/>
    <w:rsid w:val="6F64016F"/>
    <w:rsid w:val="71482403"/>
    <w:rsid w:val="72197B59"/>
    <w:rsid w:val="76FE1467"/>
    <w:rsid w:val="7B4D0851"/>
    <w:rsid w:val="7D103A42"/>
    <w:rsid w:val="7DDF4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Body Text"/>
    <w:basedOn w:val="1"/>
    <w:next w:val="1"/>
    <w:qFormat/>
    <w:uiPriority w:val="0"/>
    <w:pPr>
      <w:spacing w:line="460" w:lineRule="exact"/>
      <w:jc w:val="center"/>
    </w:pPr>
    <w:rPr>
      <w:color w:val="000000"/>
      <w:w w:val="90"/>
      <w:sz w:val="24"/>
      <w:szCs w:val="20"/>
    </w:rPr>
  </w:style>
  <w:style w:type="paragraph" w:styleId="4">
    <w:name w:val="Body Text Indent"/>
    <w:basedOn w:val="1"/>
    <w:next w:val="5"/>
    <w:qFormat/>
    <w:uiPriority w:val="0"/>
    <w:pPr>
      <w:tabs>
        <w:tab w:val="left" w:pos="8607"/>
      </w:tabs>
      <w:spacing w:line="400" w:lineRule="exact"/>
      <w:ind w:firstLine="556"/>
    </w:pPr>
    <w:rPr>
      <w:sz w:val="28"/>
    </w:rPr>
  </w:style>
  <w:style w:type="paragraph" w:customStyle="1" w:styleId="5">
    <w:name w:val="样式 正文文本缩进 + 行距: 1.5 倍行距"/>
    <w:basedOn w:val="4"/>
    <w:qFormat/>
    <w:uiPriority w:val="0"/>
    <w:pPr>
      <w:spacing w:line="360" w:lineRule="auto"/>
      <w:ind w:left="0" w:leftChars="0" w:firstLine="560" w:firstLineChars="200"/>
    </w:pPr>
    <w:rPr>
      <w:rFonts w:cs="宋体"/>
      <w:b/>
      <w:bCs/>
      <w:sz w:val="28"/>
      <w:szCs w:val="20"/>
    </w:rPr>
  </w:style>
  <w:style w:type="paragraph" w:styleId="6">
    <w:name w:val="List Bullet 5"/>
    <w:basedOn w:val="1"/>
    <w:qFormat/>
    <w:uiPriority w:val="0"/>
    <w:pPr>
      <w:numPr>
        <w:ilvl w:val="0"/>
        <w:numId w:val="1"/>
      </w:numPr>
    </w:pPr>
  </w:style>
  <w:style w:type="paragraph" w:styleId="7">
    <w:name w:val="Normal (Web)"/>
    <w:basedOn w:val="1"/>
    <w:qFormat/>
    <w:uiPriority w:val="0"/>
    <w:rPr>
      <w:sz w:val="24"/>
    </w:rPr>
  </w:style>
  <w:style w:type="paragraph" w:styleId="8">
    <w:name w:val="Body Text First Indent"/>
    <w:basedOn w:val="3"/>
    <w:next w:val="1"/>
    <w:qFormat/>
    <w:uiPriority w:val="0"/>
    <w:pPr>
      <w:spacing w:after="120" w:line="240" w:lineRule="auto"/>
      <w:ind w:firstLine="420" w:firstLineChars="100"/>
      <w:jc w:val="both"/>
    </w:pPr>
  </w:style>
  <w:style w:type="paragraph" w:styleId="9">
    <w:name w:val="Body Text First Indent 2"/>
    <w:basedOn w:val="4"/>
    <w:next w:val="8"/>
    <w:qFormat/>
    <w:uiPriority w:val="0"/>
    <w:pPr>
      <w:ind w:firstLine="420"/>
    </w:pPr>
  </w:style>
  <w:style w:type="paragraph" w:customStyle="1" w:styleId="12">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2021-04-26T07:22:00Z</dcterms:created>
  <dc:creator>bingo</dc:creator>
  <cp:lastModifiedBy>Administrator</cp:lastModifiedBy>
  <dcterms:modified xsi:type="dcterms:W3CDTF">2021-10-13T01:25:12Z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EEB85C17109F465282E8EB4C3D8B7677</vt:lpwstr>
  </property>
</Properties>
</file>