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838825" cy="8286750"/>
            <wp:effectExtent l="0" t="0" r="9525" b="0"/>
            <wp:docPr id="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6"/>
                    <pic:cNvPicPr>
                      <a:picLocks noChangeAspect="1"/>
                    </pic:cNvPicPr>
                  </pic:nvPicPr>
                  <pic:blipFill>
                    <a:blip r:embed="rId12"/>
                    <a:stretch>
                      <a:fillRect/>
                    </a:stretch>
                  </pic:blipFill>
                  <pic:spPr>
                    <a:xfrm>
                      <a:off x="0" y="0"/>
                      <a:ext cx="5838825" cy="8286750"/>
                    </a:xfrm>
                    <a:prstGeom prst="rect">
                      <a:avLst/>
                    </a:prstGeom>
                    <a:noFill/>
                    <a:ln w="9525">
                      <a:noFill/>
                    </a:ln>
                  </pic:spPr>
                </pic:pic>
              </a:graphicData>
            </a:graphic>
          </wp:inline>
        </w:drawing>
      </w:r>
    </w:p>
    <w:p>
      <w:pPr>
        <w:pStyle w:val="64"/>
        <w:tabs>
          <w:tab w:val="left" w:pos="4840"/>
        </w:tabs>
        <w:ind w:left="3600" w:firstLine="720" w:firstLineChars="0"/>
        <w:jc w:val="both"/>
        <w:rPr>
          <w:rFonts w:ascii="Times New Roman" w:eastAsia="仿宋" w:cs="Times New Roman"/>
          <w:sz w:val="30"/>
          <w:szCs w:val="30"/>
        </w:rPr>
      </w:pPr>
    </w:p>
    <w:p>
      <w:pPr>
        <w:pStyle w:val="65"/>
        <w:spacing w:line="300" w:lineRule="auto"/>
        <w:jc w:val="left"/>
        <w:rPr>
          <w:rFonts w:hint="eastAsia" w:eastAsia="仿宋"/>
          <w:sz w:val="32"/>
          <w:szCs w:val="32"/>
          <w:lang w:val="en-US" w:eastAsia="zh-CN"/>
        </w:rPr>
        <w:sectPr>
          <w:headerReference r:id="rId4" w:type="default"/>
          <w:pgSz w:w="11907" w:h="16840"/>
          <w:pgMar w:top="1440" w:right="1797" w:bottom="1440" w:left="1797" w:header="851" w:footer="992" w:gutter="0"/>
          <w:cols w:space="425" w:num="1"/>
          <w:docGrid w:linePitch="312" w:charSpace="0"/>
        </w:sectPr>
      </w:pPr>
      <w:r>
        <w:rPr>
          <w:rFonts w:hint="eastAsia" w:eastAsia="仿宋"/>
          <w:sz w:val="32"/>
          <w:szCs w:val="32"/>
          <w:lang w:val="en-US" w:eastAsia="zh-CN"/>
        </w:rPr>
        <w:drawing>
          <wp:inline distT="0" distB="0" distL="114300" distR="114300">
            <wp:extent cx="5368290" cy="7779385"/>
            <wp:effectExtent l="0" t="0" r="3810" b="12065"/>
            <wp:docPr id="9" name="图片 9" descr="16328146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32814644(1)"/>
                    <pic:cNvPicPr>
                      <a:picLocks noChangeAspect="1"/>
                    </pic:cNvPicPr>
                  </pic:nvPicPr>
                  <pic:blipFill>
                    <a:blip r:embed="rId13"/>
                    <a:srcRect l="9392" r="8489" b="13606"/>
                    <a:stretch>
                      <a:fillRect/>
                    </a:stretch>
                  </pic:blipFill>
                  <pic:spPr>
                    <a:xfrm>
                      <a:off x="0" y="0"/>
                      <a:ext cx="5368290" cy="7779385"/>
                    </a:xfrm>
                    <a:prstGeom prst="rect">
                      <a:avLst/>
                    </a:prstGeom>
                  </pic:spPr>
                </pic:pic>
              </a:graphicData>
            </a:graphic>
          </wp:inline>
        </w:drawing>
      </w:r>
    </w:p>
    <w:p>
      <w:pPr>
        <w:spacing w:after="0" w:line="360" w:lineRule="auto"/>
        <w:jc w:val="center"/>
        <w:rPr>
          <w:rFonts w:ascii="Times New Roman" w:hAnsi="Times New Roman" w:eastAsia="仿宋" w:cs="Times New Roman"/>
          <w:sz w:val="28"/>
          <w:szCs w:val="28"/>
        </w:rPr>
      </w:pPr>
      <w:r>
        <w:rPr>
          <w:rFonts w:ascii="Times New Roman" w:hAnsi="Times New Roman" w:eastAsia="仿宋" w:cs="Times New Roman"/>
          <w:b/>
          <w:sz w:val="44"/>
          <w:szCs w:val="44"/>
        </w:rPr>
        <w:t>编制说明</w:t>
      </w:r>
    </w:p>
    <w:p>
      <w:pPr>
        <w:spacing w:after="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为避免和降低由于突发环境事件给环境及广大人民群众带来的破坏及损失，保证加油站、社会及人民生命财产安全，在事件发生后能迅速有效控制处理，防止事件蔓延，扩大，积极组织抢救、抢险、抢修，发挥各职能部门，社会力量的作用，使事件发生的损失减少到最低限度，总结经验，吸取教训，防患未然。为完善应急管理机制，做到事件发生时应急措施稳健有序，保护员工人身和加油站财产安全，依据《中华人民共和国突发事件应对法》、《突发环境事件应急预案备案管理暂行办法》及相关环境保护法律法规，结合公司环境现状，特编制本应急预案。</w:t>
      </w:r>
    </w:p>
    <w:p>
      <w:pPr>
        <w:spacing w:after="0"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根据突发环境事件应急预案暂行管理办法，本预案共13章节内容，附件8项，附图5项，于20</w:t>
      </w:r>
      <w:r>
        <w:rPr>
          <w:rFonts w:hint="eastAsia" w:ascii="仿宋" w:hAnsi="仿宋" w:eastAsia="仿宋" w:cs="仿宋"/>
          <w:sz w:val="28"/>
          <w:szCs w:val="28"/>
          <w:lang w:val="en-US" w:eastAsia="zh-CN"/>
        </w:rPr>
        <w:t>21</w:t>
      </w:r>
      <w:r>
        <w:rPr>
          <w:rFonts w:hint="eastAsia" w:ascii="仿宋" w:hAnsi="仿宋" w:eastAsia="仿宋" w:cs="仿宋"/>
          <w:sz w:val="28"/>
          <w:szCs w:val="28"/>
        </w:rPr>
        <w:t xml:space="preserve">年 </w:t>
      </w:r>
      <w:r>
        <w:rPr>
          <w:rFonts w:hint="eastAsia" w:ascii="仿宋" w:hAnsi="仿宋" w:eastAsia="仿宋" w:cs="仿宋"/>
          <w:sz w:val="28"/>
          <w:szCs w:val="28"/>
          <w:lang w:val="en-US" w:eastAsia="zh-CN"/>
        </w:rPr>
        <w:t>9</w:t>
      </w:r>
      <w:r>
        <w:rPr>
          <w:rFonts w:hint="eastAsia" w:ascii="仿宋" w:hAnsi="仿宋" w:eastAsia="仿宋" w:cs="仿宋"/>
          <w:sz w:val="28"/>
          <w:szCs w:val="28"/>
        </w:rPr>
        <w:t xml:space="preserve">月 </w:t>
      </w:r>
      <w:r>
        <w:rPr>
          <w:rFonts w:hint="eastAsia" w:ascii="仿宋" w:hAnsi="仿宋" w:eastAsia="仿宋" w:cs="仿宋"/>
          <w:sz w:val="28"/>
          <w:szCs w:val="28"/>
          <w:lang w:val="en-US" w:eastAsia="zh-CN"/>
        </w:rPr>
        <w:t>4</w:t>
      </w:r>
      <w:r>
        <w:rPr>
          <w:rFonts w:hint="eastAsia" w:ascii="仿宋" w:hAnsi="仿宋" w:eastAsia="仿宋" w:cs="仿宋"/>
          <w:sz w:val="28"/>
          <w:szCs w:val="28"/>
        </w:rPr>
        <w:t xml:space="preserve"> 日专家评估会讨论通过，经批准，于20</w:t>
      </w:r>
      <w:r>
        <w:rPr>
          <w:rFonts w:hint="eastAsia" w:ascii="仿宋" w:hAnsi="仿宋" w:eastAsia="仿宋" w:cs="仿宋"/>
          <w:sz w:val="28"/>
          <w:szCs w:val="28"/>
          <w:lang w:val="en-US" w:eastAsia="zh-CN"/>
        </w:rPr>
        <w:t>21</w:t>
      </w:r>
      <w:r>
        <w:rPr>
          <w:rFonts w:hint="eastAsia" w:ascii="仿宋" w:hAnsi="仿宋" w:eastAsia="仿宋" w:cs="仿宋"/>
          <w:sz w:val="28"/>
          <w:szCs w:val="28"/>
        </w:rPr>
        <w:t xml:space="preserve"> 年 </w:t>
      </w:r>
      <w:r>
        <w:rPr>
          <w:rFonts w:hint="eastAsia" w:ascii="仿宋" w:hAnsi="仿宋" w:eastAsia="仿宋" w:cs="仿宋"/>
          <w:sz w:val="28"/>
          <w:szCs w:val="28"/>
          <w:lang w:val="en-US" w:eastAsia="zh-CN"/>
        </w:rPr>
        <w:t>9</w:t>
      </w:r>
      <w:r>
        <w:rPr>
          <w:rFonts w:hint="eastAsia" w:ascii="仿宋" w:hAnsi="仿宋" w:eastAsia="仿宋" w:cs="仿宋"/>
          <w:sz w:val="28"/>
          <w:szCs w:val="28"/>
        </w:rPr>
        <w:t>月</w:t>
      </w:r>
      <w:r>
        <w:rPr>
          <w:rFonts w:hint="eastAsia" w:ascii="仿宋" w:hAnsi="仿宋" w:eastAsia="仿宋" w:cs="仿宋"/>
          <w:sz w:val="28"/>
          <w:szCs w:val="28"/>
          <w:lang w:val="en-US" w:eastAsia="zh-CN"/>
        </w:rPr>
        <w:t>24</w:t>
      </w:r>
      <w:r>
        <w:rPr>
          <w:rFonts w:hint="eastAsia" w:ascii="仿宋" w:hAnsi="仿宋" w:eastAsia="仿宋" w:cs="仿宋"/>
          <w:sz w:val="28"/>
          <w:szCs w:val="28"/>
        </w:rPr>
        <w:t>日发布，20</w:t>
      </w:r>
      <w:r>
        <w:rPr>
          <w:rFonts w:hint="eastAsia" w:ascii="仿宋" w:hAnsi="仿宋" w:eastAsia="仿宋" w:cs="仿宋"/>
          <w:sz w:val="28"/>
          <w:szCs w:val="28"/>
          <w:lang w:val="en-US" w:eastAsia="zh-CN"/>
        </w:rPr>
        <w:t>21</w:t>
      </w:r>
      <w:r>
        <w:rPr>
          <w:rFonts w:hint="eastAsia" w:ascii="仿宋" w:hAnsi="仿宋" w:eastAsia="仿宋" w:cs="仿宋"/>
          <w:sz w:val="28"/>
          <w:szCs w:val="28"/>
        </w:rPr>
        <w:t>年</w:t>
      </w:r>
      <w:r>
        <w:rPr>
          <w:rFonts w:hint="eastAsia" w:ascii="仿宋" w:hAnsi="仿宋" w:eastAsia="仿宋" w:cs="仿宋"/>
          <w:sz w:val="28"/>
          <w:szCs w:val="28"/>
          <w:lang w:val="en-US" w:eastAsia="zh-CN"/>
        </w:rPr>
        <w:t>9</w:t>
      </w:r>
      <w:r>
        <w:rPr>
          <w:rFonts w:hint="eastAsia" w:ascii="仿宋" w:hAnsi="仿宋" w:eastAsia="仿宋" w:cs="仿宋"/>
          <w:sz w:val="28"/>
          <w:szCs w:val="28"/>
        </w:rPr>
        <w:t xml:space="preserve"> 月</w:t>
      </w:r>
      <w:r>
        <w:rPr>
          <w:rFonts w:hint="eastAsia" w:ascii="仿宋" w:hAnsi="仿宋" w:eastAsia="仿宋" w:cs="仿宋"/>
          <w:sz w:val="28"/>
          <w:szCs w:val="28"/>
          <w:lang w:val="en-US" w:eastAsia="zh-CN"/>
        </w:rPr>
        <w:t>24</w:t>
      </w:r>
      <w:r>
        <w:rPr>
          <w:rFonts w:hint="eastAsia" w:ascii="仿宋" w:hAnsi="仿宋" w:eastAsia="仿宋" w:cs="仿宋"/>
          <w:sz w:val="28"/>
          <w:szCs w:val="28"/>
        </w:rPr>
        <w:t xml:space="preserve"> 日实施。预案批准发布后，公司组织落实预案中的各项工作，明确各项职责和任务分工，加强应急知识的宣传、教育和培训，定期组织应急预案演练，实现应急预案持续改进。</w:t>
      </w:r>
    </w:p>
    <w:p>
      <w:pPr>
        <w:spacing w:after="0" w:line="380" w:lineRule="auto"/>
        <w:ind w:firstLine="562" w:firstLineChars="200"/>
        <w:rPr>
          <w:rFonts w:ascii="Times New Roman" w:hAnsi="Times New Roman" w:eastAsia="仿宋" w:cs="Times New Roman"/>
          <w:b/>
          <w:sz w:val="28"/>
          <w:szCs w:val="28"/>
          <w:shd w:val="clear" w:color="auto" w:fill="FFFFFF"/>
        </w:rPr>
      </w:pPr>
    </w:p>
    <w:p>
      <w:pPr>
        <w:spacing w:after="0" w:line="380" w:lineRule="auto"/>
        <w:ind w:firstLine="562" w:firstLineChars="200"/>
        <w:rPr>
          <w:rFonts w:ascii="Times New Roman" w:hAnsi="Times New Roman" w:eastAsia="仿宋" w:cs="Times New Roman"/>
          <w:b/>
          <w:sz w:val="28"/>
          <w:szCs w:val="28"/>
          <w:shd w:val="clear" w:color="auto" w:fill="FFFFFF"/>
        </w:rPr>
      </w:pPr>
    </w:p>
    <w:p>
      <w:pPr>
        <w:pStyle w:val="65"/>
        <w:spacing w:line="300" w:lineRule="auto"/>
        <w:jc w:val="left"/>
        <w:rPr>
          <w:rFonts w:eastAsia="仿宋"/>
          <w:sz w:val="32"/>
          <w:szCs w:val="32"/>
          <w:lang w:val="en-US"/>
        </w:rPr>
      </w:pPr>
    </w:p>
    <w:p>
      <w:pPr>
        <w:pStyle w:val="65"/>
        <w:spacing w:line="300" w:lineRule="auto"/>
        <w:jc w:val="left"/>
        <w:rPr>
          <w:rFonts w:eastAsia="仿宋"/>
          <w:sz w:val="32"/>
          <w:szCs w:val="32"/>
          <w:lang w:val="en-US"/>
        </w:rPr>
      </w:pPr>
    </w:p>
    <w:p>
      <w:pPr>
        <w:pStyle w:val="65"/>
        <w:spacing w:line="300" w:lineRule="auto"/>
        <w:jc w:val="left"/>
        <w:rPr>
          <w:rFonts w:eastAsia="仿宋"/>
          <w:sz w:val="32"/>
          <w:szCs w:val="32"/>
          <w:lang w:val="en-US"/>
        </w:rPr>
        <w:sectPr>
          <w:pgSz w:w="11907" w:h="16840"/>
          <w:pgMar w:top="1440" w:right="1797" w:bottom="1440" w:left="1797" w:header="851" w:footer="992" w:gutter="0"/>
          <w:cols w:space="425" w:num="1"/>
          <w:docGrid w:linePitch="312" w:charSpace="0"/>
        </w:sectPr>
      </w:pPr>
    </w:p>
    <w:sdt>
      <w:sdtPr>
        <w:rPr>
          <w:rFonts w:ascii="宋体" w:hAnsi="宋体" w:cstheme="minorBidi"/>
          <w:sz w:val="21"/>
          <w:szCs w:val="22"/>
        </w:rPr>
        <w:id w:val="147455708"/>
        <w:docPartObj>
          <w:docPartGallery w:val="Table of Contents"/>
          <w:docPartUnique/>
        </w:docPartObj>
      </w:sdtPr>
      <w:sdtEndPr>
        <w:rPr>
          <w:rFonts w:hint="eastAsia" w:ascii="仿宋" w:hAnsi="仿宋" w:eastAsia="仿宋" w:cs="仿宋"/>
          <w:b/>
          <w:bCs/>
          <w:sz w:val="20"/>
          <w:szCs w:val="20"/>
        </w:rPr>
      </w:sdtEndPr>
      <w:sdtContent>
        <w:p>
          <w:pPr>
            <w:pStyle w:val="69"/>
            <w:tabs>
              <w:tab w:val="right" w:leader="dot" w:pos="8313"/>
            </w:tabs>
            <w:jc w:val="center"/>
            <w:rPr>
              <w:rFonts w:ascii="仿宋" w:hAnsi="仿宋" w:eastAsia="仿宋" w:cs="仿宋"/>
              <w:b/>
              <w:bCs/>
              <w:sz w:val="32"/>
              <w:szCs w:val="32"/>
            </w:rPr>
          </w:pPr>
          <w:bookmarkStart w:id="835" w:name="_GoBack"/>
          <w:bookmarkEnd w:id="835"/>
          <w:r>
            <w:rPr>
              <w:rFonts w:hint="eastAsia" w:ascii="仿宋" w:hAnsi="仿宋" w:eastAsia="仿宋" w:cs="仿宋"/>
              <w:b/>
              <w:bCs/>
              <w:sz w:val="32"/>
              <w:szCs w:val="32"/>
            </w:rPr>
            <w:t>目  录</w:t>
          </w:r>
        </w:p>
        <w:p>
          <w:pPr>
            <w:pStyle w:val="22"/>
            <w:tabs>
              <w:tab w:val="right" w:leader="dot" w:pos="8313"/>
            </w:tabs>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TOC \o "1-2" \h \u </w:instrText>
          </w:r>
          <w:r>
            <w:rPr>
              <w:rFonts w:hint="eastAsia" w:ascii="仿宋" w:hAnsi="仿宋" w:eastAsia="仿宋" w:cs="仿宋"/>
              <w:sz w:val="24"/>
              <w:szCs w:val="24"/>
            </w:rPr>
            <w:fldChar w:fldCharType="separate"/>
          </w:r>
          <w:r>
            <w:rPr>
              <w:rFonts w:hint="eastAsia" w:ascii="仿宋" w:hAnsi="仿宋" w:eastAsia="仿宋" w:cs="仿宋"/>
              <w:szCs w:val="24"/>
            </w:rPr>
            <w:fldChar w:fldCharType="begin"/>
          </w:r>
          <w:r>
            <w:rPr>
              <w:rFonts w:hint="eastAsia" w:ascii="仿宋" w:hAnsi="仿宋" w:eastAsia="仿宋" w:cs="仿宋"/>
              <w:szCs w:val="24"/>
            </w:rPr>
            <w:instrText xml:space="preserve"> HYPERLINK \l _Toc24344 </w:instrText>
          </w:r>
          <w:r>
            <w:rPr>
              <w:rFonts w:hint="eastAsia" w:ascii="仿宋" w:hAnsi="仿宋" w:eastAsia="仿宋" w:cs="仿宋"/>
              <w:szCs w:val="24"/>
            </w:rPr>
            <w:fldChar w:fldCharType="separate"/>
          </w:r>
          <w:r>
            <w:rPr>
              <w:szCs w:val="28"/>
            </w:rPr>
            <w:t>1总则</w:t>
          </w:r>
          <w:r>
            <w:tab/>
          </w:r>
          <w:r>
            <w:fldChar w:fldCharType="begin"/>
          </w:r>
          <w:r>
            <w:instrText xml:space="preserve"> PAGEREF _Toc24344 \h </w:instrText>
          </w:r>
          <w:r>
            <w:fldChar w:fldCharType="separate"/>
          </w:r>
          <w:r>
            <w:t>1</w:t>
          </w:r>
          <w:r>
            <w:fldChar w:fldCharType="end"/>
          </w:r>
          <w:r>
            <w:rPr>
              <w:rFonts w:hint="eastAsia" w:ascii="仿宋" w:hAnsi="仿宋" w:eastAsia="仿宋" w:cs="仿宋"/>
              <w:szCs w:val="24"/>
            </w:rPr>
            <w:fldChar w:fldCharType="end"/>
          </w:r>
        </w:p>
        <w:p>
          <w:pPr>
            <w:pStyle w:val="26"/>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_Toc9828 </w:instrText>
          </w:r>
          <w:r>
            <w:rPr>
              <w:rFonts w:hint="eastAsia" w:ascii="仿宋" w:hAnsi="仿宋" w:eastAsia="仿宋" w:cs="仿宋"/>
              <w:szCs w:val="24"/>
            </w:rPr>
            <w:fldChar w:fldCharType="separate"/>
          </w:r>
          <w:r>
            <w:rPr>
              <w:szCs w:val="28"/>
            </w:rPr>
            <w:t>1.1编制目的</w:t>
          </w:r>
          <w:r>
            <w:tab/>
          </w:r>
          <w:r>
            <w:fldChar w:fldCharType="begin"/>
          </w:r>
          <w:r>
            <w:instrText xml:space="preserve"> PAGEREF _Toc9828 \h </w:instrText>
          </w:r>
          <w:r>
            <w:fldChar w:fldCharType="separate"/>
          </w:r>
          <w:r>
            <w:t>1</w:t>
          </w:r>
          <w:r>
            <w:fldChar w:fldCharType="end"/>
          </w:r>
          <w:r>
            <w:rPr>
              <w:rFonts w:hint="eastAsia" w:ascii="仿宋" w:hAnsi="仿宋" w:eastAsia="仿宋" w:cs="仿宋"/>
              <w:szCs w:val="24"/>
            </w:rPr>
            <w:fldChar w:fldCharType="end"/>
          </w:r>
        </w:p>
        <w:p>
          <w:pPr>
            <w:pStyle w:val="26"/>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_Toc19578 </w:instrText>
          </w:r>
          <w:r>
            <w:rPr>
              <w:rFonts w:hint="eastAsia" w:ascii="仿宋" w:hAnsi="仿宋" w:eastAsia="仿宋" w:cs="仿宋"/>
              <w:szCs w:val="24"/>
            </w:rPr>
            <w:fldChar w:fldCharType="separate"/>
          </w:r>
          <w:r>
            <w:rPr>
              <w:szCs w:val="28"/>
            </w:rPr>
            <w:t>1.2编制依据</w:t>
          </w:r>
          <w:r>
            <w:tab/>
          </w:r>
          <w:r>
            <w:fldChar w:fldCharType="begin"/>
          </w:r>
          <w:r>
            <w:instrText xml:space="preserve"> PAGEREF _Toc19578 \h </w:instrText>
          </w:r>
          <w:r>
            <w:fldChar w:fldCharType="separate"/>
          </w:r>
          <w:r>
            <w:t>1</w:t>
          </w:r>
          <w:r>
            <w:fldChar w:fldCharType="end"/>
          </w:r>
          <w:r>
            <w:rPr>
              <w:rFonts w:hint="eastAsia" w:ascii="仿宋" w:hAnsi="仿宋" w:eastAsia="仿宋" w:cs="仿宋"/>
              <w:szCs w:val="24"/>
            </w:rPr>
            <w:fldChar w:fldCharType="end"/>
          </w:r>
        </w:p>
        <w:p>
          <w:pPr>
            <w:pStyle w:val="26"/>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_Toc22322 </w:instrText>
          </w:r>
          <w:r>
            <w:rPr>
              <w:rFonts w:hint="eastAsia" w:ascii="仿宋" w:hAnsi="仿宋" w:eastAsia="仿宋" w:cs="仿宋"/>
              <w:szCs w:val="24"/>
            </w:rPr>
            <w:fldChar w:fldCharType="separate"/>
          </w:r>
          <w:r>
            <w:rPr>
              <w:szCs w:val="28"/>
            </w:rPr>
            <w:t>1.2.1法律法规</w:t>
          </w:r>
          <w:r>
            <w:tab/>
          </w:r>
          <w:r>
            <w:fldChar w:fldCharType="begin"/>
          </w:r>
          <w:r>
            <w:instrText xml:space="preserve"> PAGEREF _Toc22322 \h </w:instrText>
          </w:r>
          <w:r>
            <w:fldChar w:fldCharType="separate"/>
          </w:r>
          <w:r>
            <w:t>1</w:t>
          </w:r>
          <w:r>
            <w:fldChar w:fldCharType="end"/>
          </w:r>
          <w:r>
            <w:rPr>
              <w:rFonts w:hint="eastAsia" w:ascii="仿宋" w:hAnsi="仿宋" w:eastAsia="仿宋" w:cs="仿宋"/>
              <w:szCs w:val="24"/>
            </w:rPr>
            <w:fldChar w:fldCharType="end"/>
          </w:r>
        </w:p>
        <w:p>
          <w:pPr>
            <w:pStyle w:val="26"/>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_Toc12180 </w:instrText>
          </w:r>
          <w:r>
            <w:rPr>
              <w:rFonts w:hint="eastAsia" w:ascii="仿宋" w:hAnsi="仿宋" w:eastAsia="仿宋" w:cs="仿宋"/>
              <w:szCs w:val="24"/>
            </w:rPr>
            <w:fldChar w:fldCharType="separate"/>
          </w:r>
          <w:r>
            <w:rPr>
              <w:szCs w:val="28"/>
            </w:rPr>
            <w:t>1.2.2</w:t>
          </w:r>
          <w:r>
            <w:rPr>
              <w:rFonts w:hint="eastAsia"/>
              <w:szCs w:val="28"/>
              <w:lang w:val="en-US" w:eastAsia="zh-CN"/>
            </w:rPr>
            <w:t>标准、规范、技术导则</w:t>
          </w:r>
          <w:r>
            <w:tab/>
          </w:r>
          <w:r>
            <w:fldChar w:fldCharType="begin"/>
          </w:r>
          <w:r>
            <w:instrText xml:space="preserve"> PAGEREF _Toc12180 \h </w:instrText>
          </w:r>
          <w:r>
            <w:fldChar w:fldCharType="separate"/>
          </w:r>
          <w:r>
            <w:t>2</w:t>
          </w:r>
          <w:r>
            <w:fldChar w:fldCharType="end"/>
          </w:r>
          <w:r>
            <w:rPr>
              <w:rFonts w:hint="eastAsia" w:ascii="仿宋" w:hAnsi="仿宋" w:eastAsia="仿宋" w:cs="仿宋"/>
              <w:szCs w:val="24"/>
            </w:rPr>
            <w:fldChar w:fldCharType="end"/>
          </w:r>
        </w:p>
        <w:p>
          <w:pPr>
            <w:pStyle w:val="26"/>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_Toc12967 </w:instrText>
          </w:r>
          <w:r>
            <w:rPr>
              <w:rFonts w:hint="eastAsia" w:ascii="仿宋" w:hAnsi="仿宋" w:eastAsia="仿宋" w:cs="仿宋"/>
              <w:szCs w:val="24"/>
            </w:rPr>
            <w:fldChar w:fldCharType="separate"/>
          </w:r>
          <w:r>
            <w:rPr>
              <w:szCs w:val="28"/>
            </w:rPr>
            <w:t>1.3适用范围</w:t>
          </w:r>
          <w:r>
            <w:tab/>
          </w:r>
          <w:r>
            <w:fldChar w:fldCharType="begin"/>
          </w:r>
          <w:r>
            <w:instrText xml:space="preserve"> PAGEREF _Toc12967 \h </w:instrText>
          </w:r>
          <w:r>
            <w:fldChar w:fldCharType="separate"/>
          </w:r>
          <w:r>
            <w:t>4</w:t>
          </w:r>
          <w:r>
            <w:fldChar w:fldCharType="end"/>
          </w:r>
          <w:r>
            <w:rPr>
              <w:rFonts w:hint="eastAsia" w:ascii="仿宋" w:hAnsi="仿宋" w:eastAsia="仿宋" w:cs="仿宋"/>
              <w:szCs w:val="24"/>
            </w:rPr>
            <w:fldChar w:fldCharType="end"/>
          </w:r>
        </w:p>
        <w:p>
          <w:pPr>
            <w:pStyle w:val="26"/>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_Toc26484 </w:instrText>
          </w:r>
          <w:r>
            <w:rPr>
              <w:rFonts w:hint="eastAsia" w:ascii="仿宋" w:hAnsi="仿宋" w:eastAsia="仿宋" w:cs="仿宋"/>
              <w:szCs w:val="24"/>
            </w:rPr>
            <w:fldChar w:fldCharType="separate"/>
          </w:r>
          <w:r>
            <w:rPr>
              <w:szCs w:val="28"/>
            </w:rPr>
            <w:t>1.4应急预案体系</w:t>
          </w:r>
          <w:r>
            <w:tab/>
          </w:r>
          <w:r>
            <w:fldChar w:fldCharType="begin"/>
          </w:r>
          <w:r>
            <w:instrText xml:space="preserve"> PAGEREF _Toc26484 \h </w:instrText>
          </w:r>
          <w:r>
            <w:fldChar w:fldCharType="separate"/>
          </w:r>
          <w:r>
            <w:t>4</w:t>
          </w:r>
          <w:r>
            <w:fldChar w:fldCharType="end"/>
          </w:r>
          <w:r>
            <w:rPr>
              <w:rFonts w:hint="eastAsia" w:ascii="仿宋" w:hAnsi="仿宋" w:eastAsia="仿宋" w:cs="仿宋"/>
              <w:szCs w:val="24"/>
            </w:rPr>
            <w:fldChar w:fldCharType="end"/>
          </w:r>
        </w:p>
        <w:p>
          <w:pPr>
            <w:pStyle w:val="26"/>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_Toc9967 </w:instrText>
          </w:r>
          <w:r>
            <w:rPr>
              <w:rFonts w:hint="eastAsia" w:ascii="仿宋" w:hAnsi="仿宋" w:eastAsia="仿宋" w:cs="仿宋"/>
              <w:szCs w:val="24"/>
            </w:rPr>
            <w:fldChar w:fldCharType="separate"/>
          </w:r>
          <w:r>
            <w:t>1.5应急工作原则</w:t>
          </w:r>
          <w:r>
            <w:tab/>
          </w:r>
          <w:r>
            <w:fldChar w:fldCharType="begin"/>
          </w:r>
          <w:r>
            <w:instrText xml:space="preserve"> PAGEREF _Toc9967 \h </w:instrText>
          </w:r>
          <w:r>
            <w:fldChar w:fldCharType="separate"/>
          </w:r>
          <w:r>
            <w:t>5</w:t>
          </w:r>
          <w:r>
            <w:fldChar w:fldCharType="end"/>
          </w:r>
          <w:r>
            <w:rPr>
              <w:rFonts w:hint="eastAsia" w:ascii="仿宋" w:hAnsi="仿宋" w:eastAsia="仿宋" w:cs="仿宋"/>
              <w:szCs w:val="24"/>
            </w:rPr>
            <w:fldChar w:fldCharType="end"/>
          </w:r>
        </w:p>
        <w:p>
          <w:pPr>
            <w:pStyle w:val="26"/>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_Toc18189 </w:instrText>
          </w:r>
          <w:r>
            <w:rPr>
              <w:rFonts w:hint="eastAsia" w:ascii="仿宋" w:hAnsi="仿宋" w:eastAsia="仿宋" w:cs="仿宋"/>
              <w:szCs w:val="24"/>
            </w:rPr>
            <w:fldChar w:fldCharType="separate"/>
          </w:r>
          <w:r>
            <w:rPr>
              <w:szCs w:val="28"/>
            </w:rPr>
            <w:t>1.6突发环境事件级别</w:t>
          </w:r>
          <w:r>
            <w:tab/>
          </w:r>
          <w:r>
            <w:fldChar w:fldCharType="begin"/>
          </w:r>
          <w:r>
            <w:instrText xml:space="preserve"> PAGEREF _Toc18189 \h </w:instrText>
          </w:r>
          <w:r>
            <w:fldChar w:fldCharType="separate"/>
          </w:r>
          <w:r>
            <w:t>6</w:t>
          </w:r>
          <w:r>
            <w:fldChar w:fldCharType="end"/>
          </w:r>
          <w:r>
            <w:rPr>
              <w:rFonts w:hint="eastAsia" w:ascii="仿宋" w:hAnsi="仿宋" w:eastAsia="仿宋" w:cs="仿宋"/>
              <w:szCs w:val="24"/>
            </w:rPr>
            <w:fldChar w:fldCharType="end"/>
          </w:r>
        </w:p>
        <w:p>
          <w:pPr>
            <w:pStyle w:val="26"/>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_Toc8820 </w:instrText>
          </w:r>
          <w:r>
            <w:rPr>
              <w:rFonts w:hint="eastAsia" w:ascii="仿宋" w:hAnsi="仿宋" w:eastAsia="仿宋" w:cs="仿宋"/>
              <w:szCs w:val="24"/>
            </w:rPr>
            <w:fldChar w:fldCharType="separate"/>
          </w:r>
          <w:r>
            <w:rPr>
              <w:rFonts w:hint="eastAsia"/>
              <w:szCs w:val="28"/>
            </w:rPr>
            <w:t xml:space="preserve">1.7 </w:t>
          </w:r>
          <w:r>
            <w:rPr>
              <w:rFonts w:eastAsia="仿宋_GB2312"/>
              <w:szCs w:val="28"/>
            </w:rPr>
            <w:t>本预案突发环境事件分级原则</w:t>
          </w:r>
          <w:r>
            <w:tab/>
          </w:r>
          <w:r>
            <w:fldChar w:fldCharType="begin"/>
          </w:r>
          <w:r>
            <w:instrText xml:space="preserve"> PAGEREF _Toc8820 \h </w:instrText>
          </w:r>
          <w:r>
            <w:fldChar w:fldCharType="separate"/>
          </w:r>
          <w:r>
            <w:t>7</w:t>
          </w:r>
          <w:r>
            <w:fldChar w:fldCharType="end"/>
          </w:r>
          <w:r>
            <w:rPr>
              <w:rFonts w:hint="eastAsia" w:ascii="仿宋" w:hAnsi="仿宋" w:eastAsia="仿宋" w:cs="仿宋"/>
              <w:szCs w:val="24"/>
            </w:rPr>
            <w:fldChar w:fldCharType="end"/>
          </w:r>
        </w:p>
        <w:p>
          <w:pPr>
            <w:pStyle w:val="26"/>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_Toc5801 </w:instrText>
          </w:r>
          <w:r>
            <w:rPr>
              <w:rFonts w:hint="eastAsia" w:ascii="仿宋" w:hAnsi="仿宋" w:eastAsia="仿宋" w:cs="仿宋"/>
              <w:szCs w:val="24"/>
            </w:rPr>
            <w:fldChar w:fldCharType="separate"/>
          </w:r>
          <w:r>
            <w:rPr>
              <w:rFonts w:hint="eastAsia" w:eastAsia="仿宋_GB2312"/>
              <w:szCs w:val="28"/>
            </w:rPr>
            <w:t>1.8 本预案与其他预案的衔接</w:t>
          </w:r>
          <w:r>
            <w:tab/>
          </w:r>
          <w:r>
            <w:fldChar w:fldCharType="begin"/>
          </w:r>
          <w:r>
            <w:instrText xml:space="preserve"> PAGEREF _Toc5801 \h </w:instrText>
          </w:r>
          <w:r>
            <w:fldChar w:fldCharType="separate"/>
          </w:r>
          <w:r>
            <w:t>8</w:t>
          </w:r>
          <w:r>
            <w:fldChar w:fldCharType="end"/>
          </w:r>
          <w:r>
            <w:rPr>
              <w:rFonts w:hint="eastAsia" w:ascii="仿宋" w:hAnsi="仿宋" w:eastAsia="仿宋" w:cs="仿宋"/>
              <w:szCs w:val="24"/>
            </w:rPr>
            <w:fldChar w:fldCharType="end"/>
          </w:r>
        </w:p>
        <w:p>
          <w:pPr>
            <w:pStyle w:val="22"/>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_Toc14784 </w:instrText>
          </w:r>
          <w:r>
            <w:rPr>
              <w:rFonts w:hint="eastAsia" w:ascii="仿宋" w:hAnsi="仿宋" w:eastAsia="仿宋" w:cs="仿宋"/>
              <w:szCs w:val="24"/>
            </w:rPr>
            <w:fldChar w:fldCharType="separate"/>
          </w:r>
          <w:r>
            <w:rPr>
              <w:szCs w:val="28"/>
            </w:rPr>
            <w:t>2</w:t>
          </w:r>
          <w:r>
            <w:rPr>
              <w:rFonts w:hint="eastAsia"/>
              <w:szCs w:val="28"/>
            </w:rPr>
            <w:t>加油站</w:t>
          </w:r>
          <w:r>
            <w:rPr>
              <w:szCs w:val="28"/>
            </w:rPr>
            <w:t>基本情况调查</w:t>
          </w:r>
          <w:r>
            <w:tab/>
          </w:r>
          <w:r>
            <w:fldChar w:fldCharType="begin"/>
          </w:r>
          <w:r>
            <w:instrText xml:space="preserve"> PAGEREF _Toc14784 \h </w:instrText>
          </w:r>
          <w:r>
            <w:fldChar w:fldCharType="separate"/>
          </w:r>
          <w:r>
            <w:t>10</w:t>
          </w:r>
          <w:r>
            <w:fldChar w:fldCharType="end"/>
          </w:r>
          <w:r>
            <w:rPr>
              <w:rFonts w:hint="eastAsia" w:ascii="仿宋" w:hAnsi="仿宋" w:eastAsia="仿宋" w:cs="仿宋"/>
              <w:szCs w:val="24"/>
            </w:rPr>
            <w:fldChar w:fldCharType="end"/>
          </w:r>
        </w:p>
        <w:p>
          <w:pPr>
            <w:pStyle w:val="26"/>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_Toc22658 </w:instrText>
          </w:r>
          <w:r>
            <w:rPr>
              <w:rFonts w:hint="eastAsia" w:ascii="仿宋" w:hAnsi="仿宋" w:eastAsia="仿宋" w:cs="仿宋"/>
              <w:szCs w:val="24"/>
            </w:rPr>
            <w:fldChar w:fldCharType="separate"/>
          </w:r>
          <w:r>
            <w:rPr>
              <w:szCs w:val="28"/>
            </w:rPr>
            <w:t>2.1</w:t>
          </w:r>
          <w:r>
            <w:rPr>
              <w:rFonts w:hint="eastAsia"/>
              <w:szCs w:val="28"/>
            </w:rPr>
            <w:t>加油站</w:t>
          </w:r>
          <w:r>
            <w:rPr>
              <w:szCs w:val="28"/>
            </w:rPr>
            <w:t>概况</w:t>
          </w:r>
          <w:r>
            <w:tab/>
          </w:r>
          <w:r>
            <w:fldChar w:fldCharType="begin"/>
          </w:r>
          <w:r>
            <w:instrText xml:space="preserve"> PAGEREF _Toc22658 \h </w:instrText>
          </w:r>
          <w:r>
            <w:fldChar w:fldCharType="separate"/>
          </w:r>
          <w:r>
            <w:t>10</w:t>
          </w:r>
          <w:r>
            <w:fldChar w:fldCharType="end"/>
          </w:r>
          <w:r>
            <w:rPr>
              <w:rFonts w:hint="eastAsia" w:ascii="仿宋" w:hAnsi="仿宋" w:eastAsia="仿宋" w:cs="仿宋"/>
              <w:szCs w:val="24"/>
            </w:rPr>
            <w:fldChar w:fldCharType="end"/>
          </w:r>
        </w:p>
        <w:p>
          <w:pPr>
            <w:pStyle w:val="26"/>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_Toc3733 </w:instrText>
          </w:r>
          <w:r>
            <w:rPr>
              <w:rFonts w:hint="eastAsia" w:ascii="仿宋" w:hAnsi="仿宋" w:eastAsia="仿宋" w:cs="仿宋"/>
              <w:szCs w:val="24"/>
            </w:rPr>
            <w:fldChar w:fldCharType="separate"/>
          </w:r>
          <w:r>
            <w:rPr>
              <w:rFonts w:eastAsia="仿宋_GB2312"/>
              <w:szCs w:val="28"/>
            </w:rPr>
            <w:t>2.2生产工艺基本情况</w:t>
          </w:r>
          <w:r>
            <w:tab/>
          </w:r>
          <w:r>
            <w:fldChar w:fldCharType="begin"/>
          </w:r>
          <w:r>
            <w:instrText xml:space="preserve"> PAGEREF _Toc3733 \h </w:instrText>
          </w:r>
          <w:r>
            <w:fldChar w:fldCharType="separate"/>
          </w:r>
          <w:r>
            <w:t>13</w:t>
          </w:r>
          <w:r>
            <w:fldChar w:fldCharType="end"/>
          </w:r>
          <w:r>
            <w:rPr>
              <w:rFonts w:hint="eastAsia" w:ascii="仿宋" w:hAnsi="仿宋" w:eastAsia="仿宋" w:cs="仿宋"/>
              <w:szCs w:val="24"/>
            </w:rPr>
            <w:fldChar w:fldCharType="end"/>
          </w:r>
        </w:p>
        <w:p>
          <w:pPr>
            <w:pStyle w:val="26"/>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_Toc30212 </w:instrText>
          </w:r>
          <w:r>
            <w:rPr>
              <w:rFonts w:hint="eastAsia" w:ascii="仿宋" w:hAnsi="仿宋" w:eastAsia="仿宋" w:cs="仿宋"/>
              <w:szCs w:val="24"/>
            </w:rPr>
            <w:fldChar w:fldCharType="separate"/>
          </w:r>
          <w:r>
            <w:rPr>
              <w:rFonts w:eastAsia="仿宋_GB2312"/>
              <w:szCs w:val="28"/>
            </w:rPr>
            <w:t>2.3污染物产生及排放情况</w:t>
          </w:r>
          <w:r>
            <w:tab/>
          </w:r>
          <w:r>
            <w:fldChar w:fldCharType="begin"/>
          </w:r>
          <w:r>
            <w:instrText xml:space="preserve"> PAGEREF _Toc30212 \h </w:instrText>
          </w:r>
          <w:r>
            <w:fldChar w:fldCharType="separate"/>
          </w:r>
          <w:r>
            <w:t>16</w:t>
          </w:r>
          <w:r>
            <w:fldChar w:fldCharType="end"/>
          </w:r>
          <w:r>
            <w:rPr>
              <w:rFonts w:hint="eastAsia" w:ascii="仿宋" w:hAnsi="仿宋" w:eastAsia="仿宋" w:cs="仿宋"/>
              <w:szCs w:val="24"/>
            </w:rPr>
            <w:fldChar w:fldCharType="end"/>
          </w:r>
        </w:p>
        <w:p>
          <w:pPr>
            <w:pStyle w:val="22"/>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_Toc8369 </w:instrText>
          </w:r>
          <w:r>
            <w:rPr>
              <w:rFonts w:hint="eastAsia" w:ascii="仿宋" w:hAnsi="仿宋" w:eastAsia="仿宋" w:cs="仿宋"/>
              <w:szCs w:val="24"/>
            </w:rPr>
            <w:fldChar w:fldCharType="separate"/>
          </w:r>
          <w:r>
            <w:rPr>
              <w:rFonts w:eastAsia="仿宋_GB2312"/>
              <w:szCs w:val="28"/>
            </w:rPr>
            <w:t>3.环境风险源及环境风险评价</w:t>
          </w:r>
          <w:r>
            <w:tab/>
          </w:r>
          <w:r>
            <w:fldChar w:fldCharType="begin"/>
          </w:r>
          <w:r>
            <w:instrText xml:space="preserve"> PAGEREF _Toc8369 \h </w:instrText>
          </w:r>
          <w:r>
            <w:fldChar w:fldCharType="separate"/>
          </w:r>
          <w:r>
            <w:t>19</w:t>
          </w:r>
          <w:r>
            <w:fldChar w:fldCharType="end"/>
          </w:r>
          <w:r>
            <w:rPr>
              <w:rFonts w:hint="eastAsia" w:ascii="仿宋" w:hAnsi="仿宋" w:eastAsia="仿宋" w:cs="仿宋"/>
              <w:szCs w:val="24"/>
            </w:rPr>
            <w:fldChar w:fldCharType="end"/>
          </w:r>
        </w:p>
        <w:p>
          <w:pPr>
            <w:pStyle w:val="26"/>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_Toc17383 </w:instrText>
          </w:r>
          <w:r>
            <w:rPr>
              <w:rFonts w:hint="eastAsia" w:ascii="仿宋" w:hAnsi="仿宋" w:eastAsia="仿宋" w:cs="仿宋"/>
              <w:szCs w:val="24"/>
            </w:rPr>
            <w:fldChar w:fldCharType="separate"/>
          </w:r>
          <w:r>
            <w:rPr>
              <w:rFonts w:eastAsia="仿宋_GB2312"/>
              <w:szCs w:val="28"/>
            </w:rPr>
            <w:t>3.1主要环境风险源识别</w:t>
          </w:r>
          <w:r>
            <w:tab/>
          </w:r>
          <w:r>
            <w:fldChar w:fldCharType="begin"/>
          </w:r>
          <w:r>
            <w:instrText xml:space="preserve"> PAGEREF _Toc17383 \h </w:instrText>
          </w:r>
          <w:r>
            <w:fldChar w:fldCharType="separate"/>
          </w:r>
          <w:r>
            <w:t>19</w:t>
          </w:r>
          <w:r>
            <w:fldChar w:fldCharType="end"/>
          </w:r>
          <w:r>
            <w:rPr>
              <w:rFonts w:hint="eastAsia" w:ascii="仿宋" w:hAnsi="仿宋" w:eastAsia="仿宋" w:cs="仿宋"/>
              <w:szCs w:val="24"/>
            </w:rPr>
            <w:fldChar w:fldCharType="end"/>
          </w:r>
        </w:p>
        <w:p>
          <w:pPr>
            <w:pStyle w:val="26"/>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_Toc24065 </w:instrText>
          </w:r>
          <w:r>
            <w:rPr>
              <w:rFonts w:hint="eastAsia" w:ascii="仿宋" w:hAnsi="仿宋" w:eastAsia="仿宋" w:cs="仿宋"/>
              <w:szCs w:val="24"/>
            </w:rPr>
            <w:fldChar w:fldCharType="separate"/>
          </w:r>
          <w:r>
            <w:rPr>
              <w:rFonts w:eastAsia="仿宋_GB2312"/>
              <w:szCs w:val="28"/>
            </w:rPr>
            <w:t>3.2污染物事件环境影响分析</w:t>
          </w:r>
          <w:r>
            <w:tab/>
          </w:r>
          <w:r>
            <w:fldChar w:fldCharType="begin"/>
          </w:r>
          <w:r>
            <w:instrText xml:space="preserve"> PAGEREF _Toc24065 \h </w:instrText>
          </w:r>
          <w:r>
            <w:fldChar w:fldCharType="separate"/>
          </w:r>
          <w:r>
            <w:t>22</w:t>
          </w:r>
          <w:r>
            <w:fldChar w:fldCharType="end"/>
          </w:r>
          <w:r>
            <w:rPr>
              <w:rFonts w:hint="eastAsia" w:ascii="仿宋" w:hAnsi="仿宋" w:eastAsia="仿宋" w:cs="仿宋"/>
              <w:szCs w:val="24"/>
            </w:rPr>
            <w:fldChar w:fldCharType="end"/>
          </w:r>
        </w:p>
        <w:p>
          <w:pPr>
            <w:pStyle w:val="26"/>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_Toc31797 </w:instrText>
          </w:r>
          <w:r>
            <w:rPr>
              <w:rFonts w:hint="eastAsia" w:ascii="仿宋" w:hAnsi="仿宋" w:eastAsia="仿宋" w:cs="仿宋"/>
              <w:szCs w:val="24"/>
            </w:rPr>
            <w:fldChar w:fldCharType="separate"/>
          </w:r>
          <w:r>
            <w:rPr>
              <w:rFonts w:eastAsia="仿宋_GB2312"/>
              <w:szCs w:val="28"/>
            </w:rPr>
            <w:t>3.3风险事件管理</w:t>
          </w:r>
          <w:r>
            <w:tab/>
          </w:r>
          <w:r>
            <w:fldChar w:fldCharType="begin"/>
          </w:r>
          <w:r>
            <w:instrText xml:space="preserve"> PAGEREF _Toc31797 \h </w:instrText>
          </w:r>
          <w:r>
            <w:fldChar w:fldCharType="separate"/>
          </w:r>
          <w:r>
            <w:t>24</w:t>
          </w:r>
          <w:r>
            <w:fldChar w:fldCharType="end"/>
          </w:r>
          <w:r>
            <w:rPr>
              <w:rFonts w:hint="eastAsia" w:ascii="仿宋" w:hAnsi="仿宋" w:eastAsia="仿宋" w:cs="仿宋"/>
              <w:szCs w:val="24"/>
            </w:rPr>
            <w:fldChar w:fldCharType="end"/>
          </w:r>
        </w:p>
        <w:p>
          <w:pPr>
            <w:pStyle w:val="22"/>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_Toc13572 </w:instrText>
          </w:r>
          <w:r>
            <w:rPr>
              <w:rFonts w:hint="eastAsia" w:ascii="仿宋" w:hAnsi="仿宋" w:eastAsia="仿宋" w:cs="仿宋"/>
              <w:szCs w:val="24"/>
            </w:rPr>
            <w:fldChar w:fldCharType="separate"/>
          </w:r>
          <w:r>
            <w:rPr>
              <w:rFonts w:eastAsia="仿宋_GB2312"/>
              <w:szCs w:val="28"/>
            </w:rPr>
            <w:t>4</w:t>
          </w:r>
          <w:r>
            <w:rPr>
              <w:rFonts w:hint="eastAsia" w:eastAsia="仿宋_GB2312"/>
              <w:szCs w:val="28"/>
            </w:rPr>
            <w:t>.</w:t>
          </w:r>
          <w:r>
            <w:rPr>
              <w:rFonts w:eastAsia="仿宋_GB2312"/>
              <w:szCs w:val="28"/>
            </w:rPr>
            <w:t>组织机构及职责</w:t>
          </w:r>
          <w:r>
            <w:tab/>
          </w:r>
          <w:r>
            <w:fldChar w:fldCharType="begin"/>
          </w:r>
          <w:r>
            <w:instrText xml:space="preserve"> PAGEREF _Toc13572 \h </w:instrText>
          </w:r>
          <w:r>
            <w:fldChar w:fldCharType="separate"/>
          </w:r>
          <w:r>
            <w:t>27</w:t>
          </w:r>
          <w:r>
            <w:fldChar w:fldCharType="end"/>
          </w:r>
          <w:r>
            <w:rPr>
              <w:rFonts w:hint="eastAsia" w:ascii="仿宋" w:hAnsi="仿宋" w:eastAsia="仿宋" w:cs="仿宋"/>
              <w:szCs w:val="24"/>
            </w:rPr>
            <w:fldChar w:fldCharType="end"/>
          </w:r>
        </w:p>
        <w:p>
          <w:pPr>
            <w:pStyle w:val="26"/>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_Toc1411 </w:instrText>
          </w:r>
          <w:r>
            <w:rPr>
              <w:rFonts w:hint="eastAsia" w:ascii="仿宋" w:hAnsi="仿宋" w:eastAsia="仿宋" w:cs="仿宋"/>
              <w:szCs w:val="24"/>
            </w:rPr>
            <w:fldChar w:fldCharType="separate"/>
          </w:r>
          <w:r>
            <w:rPr>
              <w:rFonts w:eastAsia="仿宋_GB2312"/>
              <w:szCs w:val="28"/>
            </w:rPr>
            <w:t>4.1应急组织体系</w:t>
          </w:r>
          <w:r>
            <w:tab/>
          </w:r>
          <w:r>
            <w:fldChar w:fldCharType="begin"/>
          </w:r>
          <w:r>
            <w:instrText xml:space="preserve"> PAGEREF _Toc1411 \h </w:instrText>
          </w:r>
          <w:r>
            <w:fldChar w:fldCharType="separate"/>
          </w:r>
          <w:r>
            <w:t>27</w:t>
          </w:r>
          <w:r>
            <w:fldChar w:fldCharType="end"/>
          </w:r>
          <w:r>
            <w:rPr>
              <w:rFonts w:hint="eastAsia" w:ascii="仿宋" w:hAnsi="仿宋" w:eastAsia="仿宋" w:cs="仿宋"/>
              <w:szCs w:val="24"/>
            </w:rPr>
            <w:fldChar w:fldCharType="end"/>
          </w:r>
        </w:p>
        <w:p>
          <w:pPr>
            <w:pStyle w:val="26"/>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_Toc17328 </w:instrText>
          </w:r>
          <w:r>
            <w:rPr>
              <w:rFonts w:hint="eastAsia" w:ascii="仿宋" w:hAnsi="仿宋" w:eastAsia="仿宋" w:cs="仿宋"/>
              <w:szCs w:val="24"/>
            </w:rPr>
            <w:fldChar w:fldCharType="separate"/>
          </w:r>
          <w:r>
            <w:rPr>
              <w:rFonts w:eastAsia="仿宋_GB2312"/>
              <w:szCs w:val="28"/>
            </w:rPr>
            <w:t>4.2 组织机构及职责</w:t>
          </w:r>
          <w:r>
            <w:tab/>
          </w:r>
          <w:r>
            <w:fldChar w:fldCharType="begin"/>
          </w:r>
          <w:r>
            <w:instrText xml:space="preserve"> PAGEREF _Toc17328 \h </w:instrText>
          </w:r>
          <w:r>
            <w:fldChar w:fldCharType="separate"/>
          </w:r>
          <w:r>
            <w:t>27</w:t>
          </w:r>
          <w:r>
            <w:fldChar w:fldCharType="end"/>
          </w:r>
          <w:r>
            <w:rPr>
              <w:rFonts w:hint="eastAsia" w:ascii="仿宋" w:hAnsi="仿宋" w:eastAsia="仿宋" w:cs="仿宋"/>
              <w:szCs w:val="24"/>
            </w:rPr>
            <w:fldChar w:fldCharType="end"/>
          </w:r>
        </w:p>
        <w:p>
          <w:pPr>
            <w:pStyle w:val="26"/>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_Toc22751 </w:instrText>
          </w:r>
          <w:r>
            <w:rPr>
              <w:rFonts w:hint="eastAsia" w:ascii="仿宋" w:hAnsi="仿宋" w:eastAsia="仿宋" w:cs="仿宋"/>
              <w:szCs w:val="24"/>
            </w:rPr>
            <w:fldChar w:fldCharType="separate"/>
          </w:r>
          <w:r>
            <w:rPr>
              <w:rFonts w:eastAsia="仿宋_GB2312"/>
              <w:szCs w:val="28"/>
            </w:rPr>
            <w:t>4.</w:t>
          </w:r>
          <w:r>
            <w:rPr>
              <w:rFonts w:hint="eastAsia" w:eastAsia="仿宋_GB2312"/>
              <w:szCs w:val="28"/>
            </w:rPr>
            <w:t>3</w:t>
          </w:r>
          <w:r>
            <w:rPr>
              <w:rFonts w:eastAsia="仿宋_GB2312"/>
              <w:szCs w:val="28"/>
            </w:rPr>
            <w:t>应急指挥</w:t>
          </w:r>
          <w:r>
            <w:rPr>
              <w:rFonts w:hint="eastAsia" w:eastAsia="仿宋_GB2312"/>
              <w:szCs w:val="28"/>
            </w:rPr>
            <w:t>权的</w:t>
          </w:r>
          <w:r>
            <w:rPr>
              <w:rFonts w:eastAsia="仿宋_GB2312"/>
              <w:szCs w:val="28"/>
            </w:rPr>
            <w:t>调整</w:t>
          </w:r>
          <w:r>
            <w:rPr>
              <w:rFonts w:hint="eastAsia" w:eastAsia="仿宋_GB2312"/>
              <w:szCs w:val="28"/>
            </w:rPr>
            <w:t>与联动</w:t>
          </w:r>
          <w:r>
            <w:tab/>
          </w:r>
          <w:r>
            <w:fldChar w:fldCharType="begin"/>
          </w:r>
          <w:r>
            <w:instrText xml:space="preserve"> PAGEREF _Toc22751 \h </w:instrText>
          </w:r>
          <w:r>
            <w:fldChar w:fldCharType="separate"/>
          </w:r>
          <w:r>
            <w:t>31</w:t>
          </w:r>
          <w:r>
            <w:fldChar w:fldCharType="end"/>
          </w:r>
          <w:r>
            <w:rPr>
              <w:rFonts w:hint="eastAsia" w:ascii="仿宋" w:hAnsi="仿宋" w:eastAsia="仿宋" w:cs="仿宋"/>
              <w:szCs w:val="24"/>
            </w:rPr>
            <w:fldChar w:fldCharType="end"/>
          </w:r>
        </w:p>
        <w:p>
          <w:pPr>
            <w:pStyle w:val="22"/>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_Toc19993 </w:instrText>
          </w:r>
          <w:r>
            <w:rPr>
              <w:rFonts w:hint="eastAsia" w:ascii="仿宋" w:hAnsi="仿宋" w:eastAsia="仿宋" w:cs="仿宋"/>
              <w:szCs w:val="24"/>
            </w:rPr>
            <w:fldChar w:fldCharType="separate"/>
          </w:r>
          <w:r>
            <w:rPr>
              <w:rFonts w:eastAsia="仿宋_GB2312"/>
              <w:szCs w:val="28"/>
            </w:rPr>
            <w:t>5</w:t>
          </w:r>
          <w:r>
            <w:rPr>
              <w:rFonts w:hint="eastAsia" w:eastAsia="仿宋_GB2312"/>
              <w:szCs w:val="28"/>
            </w:rPr>
            <w:t>.</w:t>
          </w:r>
          <w:r>
            <w:rPr>
              <w:rFonts w:eastAsia="仿宋_GB2312"/>
              <w:szCs w:val="28"/>
            </w:rPr>
            <w:t>预防和预警</w:t>
          </w:r>
          <w:r>
            <w:tab/>
          </w:r>
          <w:r>
            <w:fldChar w:fldCharType="begin"/>
          </w:r>
          <w:r>
            <w:instrText xml:space="preserve"> PAGEREF _Toc19993 \h </w:instrText>
          </w:r>
          <w:r>
            <w:fldChar w:fldCharType="separate"/>
          </w:r>
          <w:r>
            <w:t>34</w:t>
          </w:r>
          <w:r>
            <w:fldChar w:fldCharType="end"/>
          </w:r>
          <w:r>
            <w:rPr>
              <w:rFonts w:hint="eastAsia" w:ascii="仿宋" w:hAnsi="仿宋" w:eastAsia="仿宋" w:cs="仿宋"/>
              <w:szCs w:val="24"/>
            </w:rPr>
            <w:fldChar w:fldCharType="end"/>
          </w:r>
        </w:p>
        <w:p>
          <w:pPr>
            <w:pStyle w:val="26"/>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_Toc9285 </w:instrText>
          </w:r>
          <w:r>
            <w:rPr>
              <w:rFonts w:hint="eastAsia" w:ascii="仿宋" w:hAnsi="仿宋" w:eastAsia="仿宋" w:cs="仿宋"/>
              <w:szCs w:val="24"/>
            </w:rPr>
            <w:fldChar w:fldCharType="separate"/>
          </w:r>
          <w:r>
            <w:rPr>
              <w:rFonts w:eastAsia="仿宋_GB2312"/>
              <w:szCs w:val="28"/>
            </w:rPr>
            <w:t>5.1环境风险源监控</w:t>
          </w:r>
          <w:r>
            <w:tab/>
          </w:r>
          <w:r>
            <w:fldChar w:fldCharType="begin"/>
          </w:r>
          <w:r>
            <w:instrText xml:space="preserve"> PAGEREF _Toc9285 \h </w:instrText>
          </w:r>
          <w:r>
            <w:fldChar w:fldCharType="separate"/>
          </w:r>
          <w:r>
            <w:t>34</w:t>
          </w:r>
          <w:r>
            <w:fldChar w:fldCharType="end"/>
          </w:r>
          <w:r>
            <w:rPr>
              <w:rFonts w:hint="eastAsia" w:ascii="仿宋" w:hAnsi="仿宋" w:eastAsia="仿宋" w:cs="仿宋"/>
              <w:szCs w:val="24"/>
            </w:rPr>
            <w:fldChar w:fldCharType="end"/>
          </w:r>
        </w:p>
        <w:p>
          <w:pPr>
            <w:pStyle w:val="26"/>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_Toc17315 </w:instrText>
          </w:r>
          <w:r>
            <w:rPr>
              <w:rFonts w:hint="eastAsia" w:ascii="仿宋" w:hAnsi="仿宋" w:eastAsia="仿宋" w:cs="仿宋"/>
              <w:szCs w:val="24"/>
            </w:rPr>
            <w:fldChar w:fldCharType="separate"/>
          </w:r>
          <w:r>
            <w:rPr>
              <w:rFonts w:eastAsia="仿宋_GB2312"/>
              <w:szCs w:val="28"/>
            </w:rPr>
            <w:t>5.2预警分级与准备</w:t>
          </w:r>
          <w:r>
            <w:tab/>
          </w:r>
          <w:r>
            <w:fldChar w:fldCharType="begin"/>
          </w:r>
          <w:r>
            <w:instrText xml:space="preserve"> PAGEREF _Toc17315 \h </w:instrText>
          </w:r>
          <w:r>
            <w:fldChar w:fldCharType="separate"/>
          </w:r>
          <w:r>
            <w:t>36</w:t>
          </w:r>
          <w:r>
            <w:fldChar w:fldCharType="end"/>
          </w:r>
          <w:r>
            <w:rPr>
              <w:rFonts w:hint="eastAsia" w:ascii="仿宋" w:hAnsi="仿宋" w:eastAsia="仿宋" w:cs="仿宋"/>
              <w:szCs w:val="24"/>
            </w:rPr>
            <w:fldChar w:fldCharType="end"/>
          </w:r>
        </w:p>
        <w:p>
          <w:pPr>
            <w:pStyle w:val="26"/>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_Toc30100 </w:instrText>
          </w:r>
          <w:r>
            <w:rPr>
              <w:rFonts w:hint="eastAsia" w:ascii="仿宋" w:hAnsi="仿宋" w:eastAsia="仿宋" w:cs="仿宋"/>
              <w:szCs w:val="24"/>
            </w:rPr>
            <w:fldChar w:fldCharType="separate"/>
          </w:r>
          <w:r>
            <w:rPr>
              <w:rFonts w:eastAsia="仿宋_GB2312"/>
              <w:szCs w:val="28"/>
            </w:rPr>
            <w:t>5.3预警行动</w:t>
          </w:r>
          <w:r>
            <w:tab/>
          </w:r>
          <w:r>
            <w:fldChar w:fldCharType="begin"/>
          </w:r>
          <w:r>
            <w:instrText xml:space="preserve"> PAGEREF _Toc30100 \h </w:instrText>
          </w:r>
          <w:r>
            <w:fldChar w:fldCharType="separate"/>
          </w:r>
          <w:r>
            <w:t>37</w:t>
          </w:r>
          <w:r>
            <w:fldChar w:fldCharType="end"/>
          </w:r>
          <w:r>
            <w:rPr>
              <w:rFonts w:hint="eastAsia" w:ascii="仿宋" w:hAnsi="仿宋" w:eastAsia="仿宋" w:cs="仿宋"/>
              <w:szCs w:val="24"/>
            </w:rPr>
            <w:fldChar w:fldCharType="end"/>
          </w:r>
        </w:p>
        <w:p>
          <w:pPr>
            <w:pStyle w:val="26"/>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_Toc3730 </w:instrText>
          </w:r>
          <w:r>
            <w:rPr>
              <w:rFonts w:hint="eastAsia" w:ascii="仿宋" w:hAnsi="仿宋" w:eastAsia="仿宋" w:cs="仿宋"/>
              <w:szCs w:val="24"/>
            </w:rPr>
            <w:fldChar w:fldCharType="separate"/>
          </w:r>
          <w:r>
            <w:rPr>
              <w:rFonts w:eastAsia="仿宋_GB2312"/>
              <w:szCs w:val="28"/>
            </w:rPr>
            <w:t>5.</w:t>
          </w:r>
          <w:r>
            <w:rPr>
              <w:rFonts w:hint="eastAsia" w:eastAsia="仿宋_GB2312"/>
              <w:szCs w:val="28"/>
            </w:rPr>
            <w:t>4</w:t>
          </w:r>
          <w:r>
            <w:rPr>
              <w:rFonts w:eastAsia="仿宋_GB2312"/>
              <w:szCs w:val="28"/>
            </w:rPr>
            <w:t>预警发布</w:t>
          </w:r>
          <w:r>
            <w:tab/>
          </w:r>
          <w:r>
            <w:fldChar w:fldCharType="begin"/>
          </w:r>
          <w:r>
            <w:instrText xml:space="preserve"> PAGEREF _Toc3730 \h </w:instrText>
          </w:r>
          <w:r>
            <w:fldChar w:fldCharType="separate"/>
          </w:r>
          <w:r>
            <w:t>38</w:t>
          </w:r>
          <w:r>
            <w:fldChar w:fldCharType="end"/>
          </w:r>
          <w:r>
            <w:rPr>
              <w:rFonts w:hint="eastAsia" w:ascii="仿宋" w:hAnsi="仿宋" w:eastAsia="仿宋" w:cs="仿宋"/>
              <w:szCs w:val="24"/>
            </w:rPr>
            <w:fldChar w:fldCharType="end"/>
          </w:r>
        </w:p>
        <w:p>
          <w:pPr>
            <w:pStyle w:val="26"/>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_Toc23131 </w:instrText>
          </w:r>
          <w:r>
            <w:rPr>
              <w:rFonts w:hint="eastAsia" w:ascii="仿宋" w:hAnsi="仿宋" w:eastAsia="仿宋" w:cs="仿宋"/>
              <w:szCs w:val="24"/>
            </w:rPr>
            <w:fldChar w:fldCharType="separate"/>
          </w:r>
          <w:r>
            <w:rPr>
              <w:rFonts w:eastAsia="仿宋_GB2312"/>
              <w:szCs w:val="28"/>
            </w:rPr>
            <w:t>5.</w:t>
          </w:r>
          <w:r>
            <w:rPr>
              <w:rFonts w:hint="eastAsia" w:eastAsia="仿宋_GB2312"/>
              <w:szCs w:val="28"/>
            </w:rPr>
            <w:t>5</w:t>
          </w:r>
          <w:r>
            <w:rPr>
              <w:rFonts w:eastAsia="仿宋_GB2312"/>
              <w:szCs w:val="28"/>
            </w:rPr>
            <w:t>预警结束</w:t>
          </w:r>
          <w:r>
            <w:tab/>
          </w:r>
          <w:r>
            <w:fldChar w:fldCharType="begin"/>
          </w:r>
          <w:r>
            <w:instrText xml:space="preserve"> PAGEREF _Toc23131 \h </w:instrText>
          </w:r>
          <w:r>
            <w:fldChar w:fldCharType="separate"/>
          </w:r>
          <w:r>
            <w:t>39</w:t>
          </w:r>
          <w:r>
            <w:fldChar w:fldCharType="end"/>
          </w:r>
          <w:r>
            <w:rPr>
              <w:rFonts w:hint="eastAsia" w:ascii="仿宋" w:hAnsi="仿宋" w:eastAsia="仿宋" w:cs="仿宋"/>
              <w:szCs w:val="24"/>
            </w:rPr>
            <w:fldChar w:fldCharType="end"/>
          </w:r>
        </w:p>
        <w:p>
          <w:pPr>
            <w:pStyle w:val="26"/>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_Toc2342 </w:instrText>
          </w:r>
          <w:r>
            <w:rPr>
              <w:rFonts w:hint="eastAsia" w:ascii="仿宋" w:hAnsi="仿宋" w:eastAsia="仿宋" w:cs="仿宋"/>
              <w:szCs w:val="24"/>
            </w:rPr>
            <w:fldChar w:fldCharType="separate"/>
          </w:r>
          <w:r>
            <w:rPr>
              <w:rFonts w:eastAsia="仿宋_GB2312"/>
              <w:szCs w:val="28"/>
            </w:rPr>
            <w:t>5.</w:t>
          </w:r>
          <w:r>
            <w:rPr>
              <w:rFonts w:hint="eastAsia" w:eastAsia="仿宋_GB2312"/>
              <w:szCs w:val="28"/>
            </w:rPr>
            <w:t>6</w:t>
          </w:r>
          <w:r>
            <w:rPr>
              <w:rFonts w:eastAsia="仿宋_GB2312"/>
              <w:szCs w:val="28"/>
            </w:rPr>
            <w:t>预警结束后行动</w:t>
          </w:r>
          <w:r>
            <w:tab/>
          </w:r>
          <w:r>
            <w:fldChar w:fldCharType="begin"/>
          </w:r>
          <w:r>
            <w:instrText xml:space="preserve"> PAGEREF _Toc2342 \h </w:instrText>
          </w:r>
          <w:r>
            <w:fldChar w:fldCharType="separate"/>
          </w:r>
          <w:r>
            <w:t>39</w:t>
          </w:r>
          <w:r>
            <w:fldChar w:fldCharType="end"/>
          </w:r>
          <w:r>
            <w:rPr>
              <w:rFonts w:hint="eastAsia" w:ascii="仿宋" w:hAnsi="仿宋" w:eastAsia="仿宋" w:cs="仿宋"/>
              <w:szCs w:val="24"/>
            </w:rPr>
            <w:fldChar w:fldCharType="end"/>
          </w:r>
        </w:p>
        <w:p>
          <w:pPr>
            <w:pStyle w:val="26"/>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_Toc768 </w:instrText>
          </w:r>
          <w:r>
            <w:rPr>
              <w:rFonts w:hint="eastAsia" w:ascii="仿宋" w:hAnsi="仿宋" w:eastAsia="仿宋" w:cs="仿宋"/>
              <w:szCs w:val="24"/>
            </w:rPr>
            <w:fldChar w:fldCharType="separate"/>
          </w:r>
          <w:r>
            <w:rPr>
              <w:rFonts w:eastAsia="仿宋_GB2312"/>
              <w:szCs w:val="28"/>
            </w:rPr>
            <w:t>5.</w:t>
          </w:r>
          <w:r>
            <w:rPr>
              <w:rFonts w:hint="eastAsia" w:eastAsia="仿宋_GB2312"/>
              <w:szCs w:val="28"/>
            </w:rPr>
            <w:t>7</w:t>
          </w:r>
          <w:r>
            <w:rPr>
              <w:rFonts w:eastAsia="仿宋_GB2312"/>
              <w:szCs w:val="28"/>
            </w:rPr>
            <w:t>报警、通讯及联络方式</w:t>
          </w:r>
          <w:r>
            <w:tab/>
          </w:r>
          <w:r>
            <w:fldChar w:fldCharType="begin"/>
          </w:r>
          <w:r>
            <w:instrText xml:space="preserve"> PAGEREF _Toc768 \h </w:instrText>
          </w:r>
          <w:r>
            <w:fldChar w:fldCharType="separate"/>
          </w:r>
          <w:r>
            <w:t>39</w:t>
          </w:r>
          <w:r>
            <w:fldChar w:fldCharType="end"/>
          </w:r>
          <w:r>
            <w:rPr>
              <w:rFonts w:hint="eastAsia" w:ascii="仿宋" w:hAnsi="仿宋" w:eastAsia="仿宋" w:cs="仿宋"/>
              <w:szCs w:val="24"/>
            </w:rPr>
            <w:fldChar w:fldCharType="end"/>
          </w:r>
        </w:p>
        <w:p>
          <w:pPr>
            <w:pStyle w:val="22"/>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_Toc3252 </w:instrText>
          </w:r>
          <w:r>
            <w:rPr>
              <w:rFonts w:hint="eastAsia" w:ascii="仿宋" w:hAnsi="仿宋" w:eastAsia="仿宋" w:cs="仿宋"/>
              <w:szCs w:val="24"/>
            </w:rPr>
            <w:fldChar w:fldCharType="separate"/>
          </w:r>
          <w:r>
            <w:rPr>
              <w:rFonts w:eastAsia="仿宋_GB2312"/>
              <w:szCs w:val="28"/>
            </w:rPr>
            <w:t>6</w:t>
          </w:r>
          <w:r>
            <w:rPr>
              <w:rFonts w:hint="eastAsia" w:eastAsia="仿宋_GB2312"/>
              <w:szCs w:val="28"/>
            </w:rPr>
            <w:t>.</w:t>
          </w:r>
          <w:r>
            <w:rPr>
              <w:rFonts w:eastAsia="仿宋_GB2312"/>
              <w:szCs w:val="28"/>
            </w:rPr>
            <w:t>信息报告与通报</w:t>
          </w:r>
          <w:r>
            <w:tab/>
          </w:r>
          <w:r>
            <w:fldChar w:fldCharType="begin"/>
          </w:r>
          <w:r>
            <w:instrText xml:space="preserve"> PAGEREF _Toc3252 \h </w:instrText>
          </w:r>
          <w:r>
            <w:fldChar w:fldCharType="separate"/>
          </w:r>
          <w:r>
            <w:t>41</w:t>
          </w:r>
          <w:r>
            <w:fldChar w:fldCharType="end"/>
          </w:r>
          <w:r>
            <w:rPr>
              <w:rFonts w:hint="eastAsia" w:ascii="仿宋" w:hAnsi="仿宋" w:eastAsia="仿宋" w:cs="仿宋"/>
              <w:szCs w:val="24"/>
            </w:rPr>
            <w:fldChar w:fldCharType="end"/>
          </w:r>
        </w:p>
        <w:p>
          <w:pPr>
            <w:pStyle w:val="26"/>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_Toc11265 </w:instrText>
          </w:r>
          <w:r>
            <w:rPr>
              <w:rFonts w:hint="eastAsia" w:ascii="仿宋" w:hAnsi="仿宋" w:eastAsia="仿宋" w:cs="仿宋"/>
              <w:szCs w:val="24"/>
            </w:rPr>
            <w:fldChar w:fldCharType="separate"/>
          </w:r>
          <w:r>
            <w:rPr>
              <w:rFonts w:eastAsia="仿宋_GB2312"/>
              <w:szCs w:val="28"/>
            </w:rPr>
            <w:t>6.1内部报告</w:t>
          </w:r>
          <w:r>
            <w:tab/>
          </w:r>
          <w:r>
            <w:fldChar w:fldCharType="begin"/>
          </w:r>
          <w:r>
            <w:instrText xml:space="preserve"> PAGEREF _Toc11265 \h </w:instrText>
          </w:r>
          <w:r>
            <w:fldChar w:fldCharType="separate"/>
          </w:r>
          <w:r>
            <w:t>41</w:t>
          </w:r>
          <w:r>
            <w:fldChar w:fldCharType="end"/>
          </w:r>
          <w:r>
            <w:rPr>
              <w:rFonts w:hint="eastAsia" w:ascii="仿宋" w:hAnsi="仿宋" w:eastAsia="仿宋" w:cs="仿宋"/>
              <w:szCs w:val="24"/>
            </w:rPr>
            <w:fldChar w:fldCharType="end"/>
          </w:r>
        </w:p>
        <w:p>
          <w:pPr>
            <w:pStyle w:val="26"/>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_Toc29266 </w:instrText>
          </w:r>
          <w:r>
            <w:rPr>
              <w:rFonts w:hint="eastAsia" w:ascii="仿宋" w:hAnsi="仿宋" w:eastAsia="仿宋" w:cs="仿宋"/>
              <w:szCs w:val="24"/>
            </w:rPr>
            <w:fldChar w:fldCharType="separate"/>
          </w:r>
          <w:r>
            <w:rPr>
              <w:rFonts w:eastAsia="仿宋_GB2312"/>
              <w:szCs w:val="28"/>
            </w:rPr>
            <w:t>6.2信息上报</w:t>
          </w:r>
          <w:r>
            <w:tab/>
          </w:r>
          <w:r>
            <w:fldChar w:fldCharType="begin"/>
          </w:r>
          <w:r>
            <w:instrText xml:space="preserve"> PAGEREF _Toc29266 \h </w:instrText>
          </w:r>
          <w:r>
            <w:fldChar w:fldCharType="separate"/>
          </w:r>
          <w:r>
            <w:t>43</w:t>
          </w:r>
          <w:r>
            <w:fldChar w:fldCharType="end"/>
          </w:r>
          <w:r>
            <w:rPr>
              <w:rFonts w:hint="eastAsia" w:ascii="仿宋" w:hAnsi="仿宋" w:eastAsia="仿宋" w:cs="仿宋"/>
              <w:szCs w:val="24"/>
            </w:rPr>
            <w:fldChar w:fldCharType="end"/>
          </w:r>
        </w:p>
        <w:p>
          <w:pPr>
            <w:pStyle w:val="26"/>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_Toc26212 </w:instrText>
          </w:r>
          <w:r>
            <w:rPr>
              <w:rFonts w:hint="eastAsia" w:ascii="仿宋" w:hAnsi="仿宋" w:eastAsia="仿宋" w:cs="仿宋"/>
              <w:szCs w:val="24"/>
            </w:rPr>
            <w:fldChar w:fldCharType="separate"/>
          </w:r>
          <w:r>
            <w:rPr>
              <w:rFonts w:eastAsia="仿宋_GB2312"/>
              <w:szCs w:val="28"/>
            </w:rPr>
            <w:t>6.3事件报告内容</w:t>
          </w:r>
          <w:r>
            <w:tab/>
          </w:r>
          <w:r>
            <w:fldChar w:fldCharType="begin"/>
          </w:r>
          <w:r>
            <w:instrText xml:space="preserve"> PAGEREF _Toc26212 \h </w:instrText>
          </w:r>
          <w:r>
            <w:fldChar w:fldCharType="separate"/>
          </w:r>
          <w:r>
            <w:t>44</w:t>
          </w:r>
          <w:r>
            <w:fldChar w:fldCharType="end"/>
          </w:r>
          <w:r>
            <w:rPr>
              <w:rFonts w:hint="eastAsia" w:ascii="仿宋" w:hAnsi="仿宋" w:eastAsia="仿宋" w:cs="仿宋"/>
              <w:szCs w:val="24"/>
            </w:rPr>
            <w:fldChar w:fldCharType="end"/>
          </w:r>
        </w:p>
        <w:p>
          <w:pPr>
            <w:pStyle w:val="26"/>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_Toc23055 </w:instrText>
          </w:r>
          <w:r>
            <w:rPr>
              <w:rFonts w:hint="eastAsia" w:ascii="仿宋" w:hAnsi="仿宋" w:eastAsia="仿宋" w:cs="仿宋"/>
              <w:szCs w:val="24"/>
            </w:rPr>
            <w:fldChar w:fldCharType="separate"/>
          </w:r>
          <w:r>
            <w:rPr>
              <w:rFonts w:hint="eastAsia"/>
            </w:rPr>
            <w:t>6.4报告要求</w:t>
          </w:r>
          <w:r>
            <w:tab/>
          </w:r>
          <w:r>
            <w:fldChar w:fldCharType="begin"/>
          </w:r>
          <w:r>
            <w:instrText xml:space="preserve"> PAGEREF _Toc23055 \h </w:instrText>
          </w:r>
          <w:r>
            <w:fldChar w:fldCharType="separate"/>
          </w:r>
          <w:r>
            <w:t>45</w:t>
          </w:r>
          <w:r>
            <w:fldChar w:fldCharType="end"/>
          </w:r>
          <w:r>
            <w:rPr>
              <w:rFonts w:hint="eastAsia" w:ascii="仿宋" w:hAnsi="仿宋" w:eastAsia="仿宋" w:cs="仿宋"/>
              <w:szCs w:val="24"/>
            </w:rPr>
            <w:fldChar w:fldCharType="end"/>
          </w:r>
        </w:p>
        <w:p>
          <w:pPr>
            <w:pStyle w:val="26"/>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_Toc24727 </w:instrText>
          </w:r>
          <w:r>
            <w:rPr>
              <w:rFonts w:hint="eastAsia" w:ascii="仿宋" w:hAnsi="仿宋" w:eastAsia="仿宋" w:cs="仿宋"/>
              <w:szCs w:val="24"/>
            </w:rPr>
            <w:fldChar w:fldCharType="separate"/>
          </w:r>
          <w:r>
            <w:rPr>
              <w:rFonts w:eastAsia="仿宋_GB2312"/>
              <w:szCs w:val="28"/>
            </w:rPr>
            <w:t>6.</w:t>
          </w:r>
          <w:r>
            <w:rPr>
              <w:rFonts w:hint="eastAsia" w:eastAsia="仿宋_GB2312"/>
              <w:szCs w:val="28"/>
            </w:rPr>
            <w:t>5</w:t>
          </w:r>
          <w:r>
            <w:rPr>
              <w:rFonts w:eastAsia="仿宋_GB2312"/>
              <w:szCs w:val="28"/>
            </w:rPr>
            <w:t>疏散通报</w:t>
          </w:r>
          <w:r>
            <w:tab/>
          </w:r>
          <w:r>
            <w:fldChar w:fldCharType="begin"/>
          </w:r>
          <w:r>
            <w:instrText xml:space="preserve"> PAGEREF _Toc24727 \h </w:instrText>
          </w:r>
          <w:r>
            <w:fldChar w:fldCharType="separate"/>
          </w:r>
          <w:r>
            <w:t>45</w:t>
          </w:r>
          <w:r>
            <w:fldChar w:fldCharType="end"/>
          </w:r>
          <w:r>
            <w:rPr>
              <w:rFonts w:hint="eastAsia" w:ascii="仿宋" w:hAnsi="仿宋" w:eastAsia="仿宋" w:cs="仿宋"/>
              <w:szCs w:val="24"/>
            </w:rPr>
            <w:fldChar w:fldCharType="end"/>
          </w:r>
        </w:p>
        <w:p>
          <w:pPr>
            <w:pStyle w:val="22"/>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_Toc29909 </w:instrText>
          </w:r>
          <w:r>
            <w:rPr>
              <w:rFonts w:hint="eastAsia" w:ascii="仿宋" w:hAnsi="仿宋" w:eastAsia="仿宋" w:cs="仿宋"/>
              <w:szCs w:val="24"/>
            </w:rPr>
            <w:fldChar w:fldCharType="separate"/>
          </w:r>
          <w:r>
            <w:rPr>
              <w:rFonts w:ascii="仿宋" w:hAnsi="仿宋"/>
              <w:szCs w:val="28"/>
            </w:rPr>
            <w:t>7</w:t>
          </w:r>
          <w:r>
            <w:rPr>
              <w:rFonts w:hint="eastAsia" w:ascii="仿宋" w:hAnsi="仿宋"/>
              <w:szCs w:val="28"/>
            </w:rPr>
            <w:t>.应急响应与措施</w:t>
          </w:r>
          <w:r>
            <w:tab/>
          </w:r>
          <w:r>
            <w:fldChar w:fldCharType="begin"/>
          </w:r>
          <w:r>
            <w:instrText xml:space="preserve"> PAGEREF _Toc29909 \h </w:instrText>
          </w:r>
          <w:r>
            <w:fldChar w:fldCharType="separate"/>
          </w:r>
          <w:r>
            <w:t>46</w:t>
          </w:r>
          <w:r>
            <w:fldChar w:fldCharType="end"/>
          </w:r>
          <w:r>
            <w:rPr>
              <w:rFonts w:hint="eastAsia" w:ascii="仿宋" w:hAnsi="仿宋" w:eastAsia="仿宋" w:cs="仿宋"/>
              <w:szCs w:val="24"/>
            </w:rPr>
            <w:fldChar w:fldCharType="end"/>
          </w:r>
        </w:p>
        <w:p>
          <w:pPr>
            <w:pStyle w:val="26"/>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_Toc6983 </w:instrText>
          </w:r>
          <w:r>
            <w:rPr>
              <w:rFonts w:hint="eastAsia" w:ascii="仿宋" w:hAnsi="仿宋" w:eastAsia="仿宋" w:cs="仿宋"/>
              <w:szCs w:val="24"/>
            </w:rPr>
            <w:fldChar w:fldCharType="separate"/>
          </w:r>
          <w:r>
            <w:rPr>
              <w:rFonts w:ascii="仿宋" w:hAnsi="仿宋"/>
              <w:szCs w:val="28"/>
            </w:rPr>
            <w:t>7.1分级响应机制</w:t>
          </w:r>
          <w:r>
            <w:tab/>
          </w:r>
          <w:r>
            <w:fldChar w:fldCharType="begin"/>
          </w:r>
          <w:r>
            <w:instrText xml:space="preserve"> PAGEREF _Toc6983 \h </w:instrText>
          </w:r>
          <w:r>
            <w:fldChar w:fldCharType="separate"/>
          </w:r>
          <w:r>
            <w:t>46</w:t>
          </w:r>
          <w:r>
            <w:fldChar w:fldCharType="end"/>
          </w:r>
          <w:r>
            <w:rPr>
              <w:rFonts w:hint="eastAsia" w:ascii="仿宋" w:hAnsi="仿宋" w:eastAsia="仿宋" w:cs="仿宋"/>
              <w:szCs w:val="24"/>
            </w:rPr>
            <w:fldChar w:fldCharType="end"/>
          </w:r>
        </w:p>
        <w:p>
          <w:pPr>
            <w:pStyle w:val="26"/>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_Toc11873 </w:instrText>
          </w:r>
          <w:r>
            <w:rPr>
              <w:rFonts w:hint="eastAsia" w:ascii="仿宋" w:hAnsi="仿宋" w:eastAsia="仿宋" w:cs="仿宋"/>
              <w:szCs w:val="24"/>
            </w:rPr>
            <w:fldChar w:fldCharType="separate"/>
          </w:r>
          <w:r>
            <w:rPr>
              <w:rFonts w:ascii="仿宋" w:hAnsi="仿宋"/>
              <w:szCs w:val="28"/>
            </w:rPr>
            <w:t>7.2响应程序</w:t>
          </w:r>
          <w:r>
            <w:tab/>
          </w:r>
          <w:r>
            <w:fldChar w:fldCharType="begin"/>
          </w:r>
          <w:r>
            <w:instrText xml:space="preserve"> PAGEREF _Toc11873 \h </w:instrText>
          </w:r>
          <w:r>
            <w:fldChar w:fldCharType="separate"/>
          </w:r>
          <w:r>
            <w:t>46</w:t>
          </w:r>
          <w:r>
            <w:fldChar w:fldCharType="end"/>
          </w:r>
          <w:r>
            <w:rPr>
              <w:rFonts w:hint="eastAsia" w:ascii="仿宋" w:hAnsi="仿宋" w:eastAsia="仿宋" w:cs="仿宋"/>
              <w:szCs w:val="24"/>
            </w:rPr>
            <w:fldChar w:fldCharType="end"/>
          </w:r>
        </w:p>
        <w:p>
          <w:pPr>
            <w:pStyle w:val="26"/>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_Toc4599 </w:instrText>
          </w:r>
          <w:r>
            <w:rPr>
              <w:rFonts w:hint="eastAsia" w:ascii="仿宋" w:hAnsi="仿宋" w:eastAsia="仿宋" w:cs="仿宋"/>
              <w:szCs w:val="24"/>
            </w:rPr>
            <w:fldChar w:fldCharType="separate"/>
          </w:r>
          <w:r>
            <w:rPr>
              <w:rFonts w:ascii="仿宋" w:hAnsi="仿宋"/>
              <w:szCs w:val="28"/>
            </w:rPr>
            <w:t>7.3</w:t>
          </w:r>
          <w:r>
            <w:rPr>
              <w:rFonts w:hint="eastAsia" w:ascii="仿宋_GB2312" w:hAnsi="仿宋_GB2312" w:eastAsia="仿宋_GB2312" w:cs="仿宋_GB2312"/>
              <w:kern w:val="0"/>
              <w:szCs w:val="28"/>
            </w:rPr>
            <w:t>应急措施</w:t>
          </w:r>
          <w:r>
            <w:tab/>
          </w:r>
          <w:r>
            <w:fldChar w:fldCharType="begin"/>
          </w:r>
          <w:r>
            <w:instrText xml:space="preserve"> PAGEREF _Toc4599 \h </w:instrText>
          </w:r>
          <w:r>
            <w:fldChar w:fldCharType="separate"/>
          </w:r>
          <w:r>
            <w:t>48</w:t>
          </w:r>
          <w:r>
            <w:fldChar w:fldCharType="end"/>
          </w:r>
          <w:r>
            <w:rPr>
              <w:rFonts w:hint="eastAsia" w:ascii="仿宋" w:hAnsi="仿宋" w:eastAsia="仿宋" w:cs="仿宋"/>
              <w:szCs w:val="24"/>
            </w:rPr>
            <w:fldChar w:fldCharType="end"/>
          </w:r>
        </w:p>
        <w:p>
          <w:pPr>
            <w:pStyle w:val="26"/>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_Toc16374 </w:instrText>
          </w:r>
          <w:r>
            <w:rPr>
              <w:rFonts w:hint="eastAsia" w:ascii="仿宋" w:hAnsi="仿宋" w:eastAsia="仿宋" w:cs="仿宋"/>
              <w:szCs w:val="24"/>
            </w:rPr>
            <w:fldChar w:fldCharType="separate"/>
          </w:r>
          <w:r>
            <w:rPr>
              <w:rFonts w:ascii="仿宋" w:hAnsi="仿宋"/>
              <w:szCs w:val="28"/>
            </w:rPr>
            <w:t>7.</w:t>
          </w:r>
          <w:r>
            <w:rPr>
              <w:rFonts w:hint="eastAsia" w:ascii="仿宋" w:hAnsi="仿宋"/>
              <w:szCs w:val="28"/>
            </w:rPr>
            <w:t>4</w:t>
          </w:r>
          <w:r>
            <w:rPr>
              <w:rFonts w:ascii="仿宋" w:hAnsi="仿宋"/>
              <w:szCs w:val="28"/>
            </w:rPr>
            <w:t>应急监测</w:t>
          </w:r>
          <w:r>
            <w:tab/>
          </w:r>
          <w:r>
            <w:fldChar w:fldCharType="begin"/>
          </w:r>
          <w:r>
            <w:instrText xml:space="preserve"> PAGEREF _Toc16374 \h </w:instrText>
          </w:r>
          <w:r>
            <w:fldChar w:fldCharType="separate"/>
          </w:r>
          <w:r>
            <w:t>51</w:t>
          </w:r>
          <w:r>
            <w:fldChar w:fldCharType="end"/>
          </w:r>
          <w:r>
            <w:rPr>
              <w:rFonts w:hint="eastAsia" w:ascii="仿宋" w:hAnsi="仿宋" w:eastAsia="仿宋" w:cs="仿宋"/>
              <w:szCs w:val="24"/>
            </w:rPr>
            <w:fldChar w:fldCharType="end"/>
          </w:r>
        </w:p>
        <w:p>
          <w:pPr>
            <w:pStyle w:val="26"/>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_Toc23912 </w:instrText>
          </w:r>
          <w:r>
            <w:rPr>
              <w:rFonts w:hint="eastAsia" w:ascii="仿宋" w:hAnsi="仿宋" w:eastAsia="仿宋" w:cs="仿宋"/>
              <w:szCs w:val="24"/>
            </w:rPr>
            <w:fldChar w:fldCharType="separate"/>
          </w:r>
          <w:r>
            <w:rPr>
              <w:rFonts w:ascii="仿宋" w:hAnsi="仿宋"/>
              <w:szCs w:val="28"/>
            </w:rPr>
            <w:t>7.</w:t>
          </w:r>
          <w:r>
            <w:rPr>
              <w:rFonts w:hint="eastAsia" w:ascii="仿宋" w:hAnsi="仿宋"/>
              <w:szCs w:val="28"/>
            </w:rPr>
            <w:t>5应急终止</w:t>
          </w:r>
          <w:r>
            <w:tab/>
          </w:r>
          <w:r>
            <w:fldChar w:fldCharType="begin"/>
          </w:r>
          <w:r>
            <w:instrText xml:space="preserve"> PAGEREF _Toc23912 \h </w:instrText>
          </w:r>
          <w:r>
            <w:fldChar w:fldCharType="separate"/>
          </w:r>
          <w:r>
            <w:t>56</w:t>
          </w:r>
          <w:r>
            <w:fldChar w:fldCharType="end"/>
          </w:r>
          <w:r>
            <w:rPr>
              <w:rFonts w:hint="eastAsia" w:ascii="仿宋" w:hAnsi="仿宋" w:eastAsia="仿宋" w:cs="仿宋"/>
              <w:szCs w:val="24"/>
            </w:rPr>
            <w:fldChar w:fldCharType="end"/>
          </w:r>
        </w:p>
        <w:p>
          <w:pPr>
            <w:pStyle w:val="26"/>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_Toc14776 </w:instrText>
          </w:r>
          <w:r>
            <w:rPr>
              <w:rFonts w:hint="eastAsia" w:ascii="仿宋" w:hAnsi="仿宋" w:eastAsia="仿宋" w:cs="仿宋"/>
              <w:szCs w:val="24"/>
            </w:rPr>
            <w:fldChar w:fldCharType="separate"/>
          </w:r>
          <w:r>
            <w:rPr>
              <w:rFonts w:ascii="仿宋" w:hAnsi="仿宋"/>
              <w:szCs w:val="28"/>
            </w:rPr>
            <w:t>7.</w:t>
          </w:r>
          <w:r>
            <w:rPr>
              <w:rFonts w:hint="eastAsia" w:ascii="仿宋" w:hAnsi="仿宋"/>
              <w:szCs w:val="28"/>
            </w:rPr>
            <w:t>6应急终止后的行动</w:t>
          </w:r>
          <w:r>
            <w:tab/>
          </w:r>
          <w:r>
            <w:fldChar w:fldCharType="begin"/>
          </w:r>
          <w:r>
            <w:instrText xml:space="preserve"> PAGEREF _Toc14776 \h </w:instrText>
          </w:r>
          <w:r>
            <w:fldChar w:fldCharType="separate"/>
          </w:r>
          <w:r>
            <w:t>57</w:t>
          </w:r>
          <w:r>
            <w:fldChar w:fldCharType="end"/>
          </w:r>
          <w:r>
            <w:rPr>
              <w:rFonts w:hint="eastAsia" w:ascii="仿宋" w:hAnsi="仿宋" w:eastAsia="仿宋" w:cs="仿宋"/>
              <w:szCs w:val="24"/>
            </w:rPr>
            <w:fldChar w:fldCharType="end"/>
          </w:r>
        </w:p>
        <w:p>
          <w:pPr>
            <w:pStyle w:val="22"/>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_Toc17925 </w:instrText>
          </w:r>
          <w:r>
            <w:rPr>
              <w:rFonts w:hint="eastAsia" w:ascii="仿宋" w:hAnsi="仿宋" w:eastAsia="仿宋" w:cs="仿宋"/>
              <w:szCs w:val="24"/>
            </w:rPr>
            <w:fldChar w:fldCharType="separate"/>
          </w:r>
          <w:r>
            <w:rPr>
              <w:rFonts w:ascii="仿宋" w:hAnsi="仿宋"/>
              <w:szCs w:val="28"/>
            </w:rPr>
            <w:t>8</w:t>
          </w:r>
          <w:r>
            <w:rPr>
              <w:rFonts w:hint="eastAsia" w:ascii="仿宋" w:hAnsi="仿宋"/>
              <w:szCs w:val="28"/>
            </w:rPr>
            <w:t>.</w:t>
          </w:r>
          <w:r>
            <w:rPr>
              <w:rFonts w:ascii="仿宋" w:hAnsi="仿宋"/>
              <w:szCs w:val="28"/>
            </w:rPr>
            <w:t>后期处置</w:t>
          </w:r>
          <w:r>
            <w:tab/>
          </w:r>
          <w:r>
            <w:fldChar w:fldCharType="begin"/>
          </w:r>
          <w:r>
            <w:instrText xml:space="preserve"> PAGEREF _Toc17925 \h </w:instrText>
          </w:r>
          <w:r>
            <w:fldChar w:fldCharType="separate"/>
          </w:r>
          <w:r>
            <w:t>58</w:t>
          </w:r>
          <w:r>
            <w:fldChar w:fldCharType="end"/>
          </w:r>
          <w:r>
            <w:rPr>
              <w:rFonts w:hint="eastAsia" w:ascii="仿宋" w:hAnsi="仿宋" w:eastAsia="仿宋" w:cs="仿宋"/>
              <w:szCs w:val="24"/>
            </w:rPr>
            <w:fldChar w:fldCharType="end"/>
          </w:r>
        </w:p>
        <w:p>
          <w:pPr>
            <w:pStyle w:val="26"/>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_Toc16339 </w:instrText>
          </w:r>
          <w:r>
            <w:rPr>
              <w:rFonts w:hint="eastAsia" w:ascii="仿宋" w:hAnsi="仿宋" w:eastAsia="仿宋" w:cs="仿宋"/>
              <w:szCs w:val="24"/>
            </w:rPr>
            <w:fldChar w:fldCharType="separate"/>
          </w:r>
          <w:r>
            <w:rPr>
              <w:rFonts w:ascii="仿宋" w:hAnsi="仿宋"/>
              <w:szCs w:val="28"/>
            </w:rPr>
            <w:t>8.1</w:t>
          </w:r>
          <w:r>
            <w:rPr>
              <w:rFonts w:hint="eastAsia" w:ascii="仿宋" w:hAnsi="仿宋"/>
              <w:szCs w:val="28"/>
            </w:rPr>
            <w:t>善后处置</w:t>
          </w:r>
          <w:r>
            <w:tab/>
          </w:r>
          <w:r>
            <w:fldChar w:fldCharType="begin"/>
          </w:r>
          <w:r>
            <w:instrText xml:space="preserve"> PAGEREF _Toc16339 \h </w:instrText>
          </w:r>
          <w:r>
            <w:fldChar w:fldCharType="separate"/>
          </w:r>
          <w:r>
            <w:t>58</w:t>
          </w:r>
          <w:r>
            <w:fldChar w:fldCharType="end"/>
          </w:r>
          <w:r>
            <w:rPr>
              <w:rFonts w:hint="eastAsia" w:ascii="仿宋" w:hAnsi="仿宋" w:eastAsia="仿宋" w:cs="仿宋"/>
              <w:szCs w:val="24"/>
            </w:rPr>
            <w:fldChar w:fldCharType="end"/>
          </w:r>
        </w:p>
        <w:p>
          <w:pPr>
            <w:pStyle w:val="26"/>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_Toc25047 </w:instrText>
          </w:r>
          <w:r>
            <w:rPr>
              <w:rFonts w:hint="eastAsia" w:ascii="仿宋" w:hAnsi="仿宋" w:eastAsia="仿宋" w:cs="仿宋"/>
              <w:szCs w:val="24"/>
            </w:rPr>
            <w:fldChar w:fldCharType="separate"/>
          </w:r>
          <w:r>
            <w:rPr>
              <w:rFonts w:ascii="仿宋" w:hAnsi="仿宋"/>
              <w:szCs w:val="28"/>
            </w:rPr>
            <w:t>8.2保险</w:t>
          </w:r>
          <w:r>
            <w:tab/>
          </w:r>
          <w:r>
            <w:fldChar w:fldCharType="begin"/>
          </w:r>
          <w:r>
            <w:instrText xml:space="preserve"> PAGEREF _Toc25047 \h </w:instrText>
          </w:r>
          <w:r>
            <w:fldChar w:fldCharType="separate"/>
          </w:r>
          <w:r>
            <w:t>58</w:t>
          </w:r>
          <w:r>
            <w:fldChar w:fldCharType="end"/>
          </w:r>
          <w:r>
            <w:rPr>
              <w:rFonts w:hint="eastAsia" w:ascii="仿宋" w:hAnsi="仿宋" w:eastAsia="仿宋" w:cs="仿宋"/>
              <w:szCs w:val="24"/>
            </w:rPr>
            <w:fldChar w:fldCharType="end"/>
          </w:r>
        </w:p>
        <w:p>
          <w:pPr>
            <w:pStyle w:val="26"/>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_Toc18056 </w:instrText>
          </w:r>
          <w:r>
            <w:rPr>
              <w:rFonts w:hint="eastAsia" w:ascii="仿宋" w:hAnsi="仿宋" w:eastAsia="仿宋" w:cs="仿宋"/>
              <w:szCs w:val="24"/>
            </w:rPr>
            <w:fldChar w:fldCharType="separate"/>
          </w:r>
          <w:r>
            <w:rPr>
              <w:rFonts w:ascii="仿宋" w:hAnsi="仿宋"/>
              <w:szCs w:val="28"/>
            </w:rPr>
            <w:t>8.3</w:t>
          </w:r>
          <w:r>
            <w:rPr>
              <w:rFonts w:hint="eastAsia" w:ascii="仿宋" w:hAnsi="仿宋"/>
              <w:szCs w:val="28"/>
            </w:rPr>
            <w:t>事故调查报告、经验教训总结及改进建议</w:t>
          </w:r>
          <w:r>
            <w:tab/>
          </w:r>
          <w:r>
            <w:fldChar w:fldCharType="begin"/>
          </w:r>
          <w:r>
            <w:instrText xml:space="preserve"> PAGEREF _Toc18056 \h </w:instrText>
          </w:r>
          <w:r>
            <w:fldChar w:fldCharType="separate"/>
          </w:r>
          <w:r>
            <w:t>58</w:t>
          </w:r>
          <w:r>
            <w:fldChar w:fldCharType="end"/>
          </w:r>
          <w:r>
            <w:rPr>
              <w:rFonts w:hint="eastAsia" w:ascii="仿宋" w:hAnsi="仿宋" w:eastAsia="仿宋" w:cs="仿宋"/>
              <w:szCs w:val="24"/>
            </w:rPr>
            <w:fldChar w:fldCharType="end"/>
          </w:r>
        </w:p>
        <w:p>
          <w:pPr>
            <w:pStyle w:val="22"/>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_Toc26093 </w:instrText>
          </w:r>
          <w:r>
            <w:rPr>
              <w:rFonts w:hint="eastAsia" w:ascii="仿宋" w:hAnsi="仿宋" w:eastAsia="仿宋" w:cs="仿宋"/>
              <w:szCs w:val="24"/>
            </w:rPr>
            <w:fldChar w:fldCharType="separate"/>
          </w:r>
          <w:r>
            <w:rPr>
              <w:rFonts w:ascii="仿宋" w:hAnsi="仿宋"/>
              <w:szCs w:val="28"/>
            </w:rPr>
            <w:t>9</w:t>
          </w:r>
          <w:r>
            <w:rPr>
              <w:rFonts w:hint="eastAsia" w:ascii="仿宋" w:hAnsi="仿宋"/>
              <w:szCs w:val="28"/>
            </w:rPr>
            <w:t>.保障措施</w:t>
          </w:r>
          <w:r>
            <w:tab/>
          </w:r>
          <w:r>
            <w:fldChar w:fldCharType="begin"/>
          </w:r>
          <w:r>
            <w:instrText xml:space="preserve"> PAGEREF _Toc26093 \h </w:instrText>
          </w:r>
          <w:r>
            <w:fldChar w:fldCharType="separate"/>
          </w:r>
          <w:r>
            <w:t>60</w:t>
          </w:r>
          <w:r>
            <w:fldChar w:fldCharType="end"/>
          </w:r>
          <w:r>
            <w:rPr>
              <w:rFonts w:hint="eastAsia" w:ascii="仿宋" w:hAnsi="仿宋" w:eastAsia="仿宋" w:cs="仿宋"/>
              <w:szCs w:val="24"/>
            </w:rPr>
            <w:fldChar w:fldCharType="end"/>
          </w:r>
        </w:p>
        <w:p>
          <w:pPr>
            <w:pStyle w:val="26"/>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_Toc3843 </w:instrText>
          </w:r>
          <w:r>
            <w:rPr>
              <w:rFonts w:hint="eastAsia" w:ascii="仿宋" w:hAnsi="仿宋" w:eastAsia="仿宋" w:cs="仿宋"/>
              <w:szCs w:val="24"/>
            </w:rPr>
            <w:fldChar w:fldCharType="separate"/>
          </w:r>
          <w:r>
            <w:rPr>
              <w:rFonts w:ascii="仿宋" w:hAnsi="仿宋"/>
              <w:szCs w:val="28"/>
            </w:rPr>
            <w:t>9.1</w:t>
          </w:r>
          <w:r>
            <w:rPr>
              <w:rFonts w:hint="eastAsia" w:ascii="仿宋" w:hAnsi="仿宋"/>
              <w:szCs w:val="28"/>
            </w:rPr>
            <w:t>通信与信息保障</w:t>
          </w:r>
          <w:r>
            <w:tab/>
          </w:r>
          <w:r>
            <w:fldChar w:fldCharType="begin"/>
          </w:r>
          <w:r>
            <w:instrText xml:space="preserve"> PAGEREF _Toc3843 \h </w:instrText>
          </w:r>
          <w:r>
            <w:fldChar w:fldCharType="separate"/>
          </w:r>
          <w:r>
            <w:t>60</w:t>
          </w:r>
          <w:r>
            <w:fldChar w:fldCharType="end"/>
          </w:r>
          <w:r>
            <w:rPr>
              <w:rFonts w:hint="eastAsia" w:ascii="仿宋" w:hAnsi="仿宋" w:eastAsia="仿宋" w:cs="仿宋"/>
              <w:szCs w:val="24"/>
            </w:rPr>
            <w:fldChar w:fldCharType="end"/>
          </w:r>
        </w:p>
        <w:p>
          <w:pPr>
            <w:pStyle w:val="26"/>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_Toc28379 </w:instrText>
          </w:r>
          <w:r>
            <w:rPr>
              <w:rFonts w:hint="eastAsia" w:ascii="仿宋" w:hAnsi="仿宋" w:eastAsia="仿宋" w:cs="仿宋"/>
              <w:szCs w:val="24"/>
            </w:rPr>
            <w:fldChar w:fldCharType="separate"/>
          </w:r>
          <w:r>
            <w:rPr>
              <w:rFonts w:ascii="仿宋" w:hAnsi="仿宋"/>
              <w:szCs w:val="28"/>
            </w:rPr>
            <w:t>9.2</w:t>
          </w:r>
          <w:r>
            <w:rPr>
              <w:rFonts w:hint="eastAsia" w:ascii="仿宋" w:hAnsi="仿宋"/>
              <w:szCs w:val="28"/>
            </w:rPr>
            <w:t>应急队伍保障</w:t>
          </w:r>
          <w:r>
            <w:tab/>
          </w:r>
          <w:r>
            <w:fldChar w:fldCharType="begin"/>
          </w:r>
          <w:r>
            <w:instrText xml:space="preserve"> PAGEREF _Toc28379 \h </w:instrText>
          </w:r>
          <w:r>
            <w:fldChar w:fldCharType="separate"/>
          </w:r>
          <w:r>
            <w:t>60</w:t>
          </w:r>
          <w:r>
            <w:fldChar w:fldCharType="end"/>
          </w:r>
          <w:r>
            <w:rPr>
              <w:rFonts w:hint="eastAsia" w:ascii="仿宋" w:hAnsi="仿宋" w:eastAsia="仿宋" w:cs="仿宋"/>
              <w:szCs w:val="24"/>
            </w:rPr>
            <w:fldChar w:fldCharType="end"/>
          </w:r>
        </w:p>
        <w:p>
          <w:pPr>
            <w:pStyle w:val="26"/>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_Toc11064 </w:instrText>
          </w:r>
          <w:r>
            <w:rPr>
              <w:rFonts w:hint="eastAsia" w:ascii="仿宋" w:hAnsi="仿宋" w:eastAsia="仿宋" w:cs="仿宋"/>
              <w:szCs w:val="24"/>
            </w:rPr>
            <w:fldChar w:fldCharType="separate"/>
          </w:r>
          <w:r>
            <w:rPr>
              <w:rFonts w:ascii="仿宋" w:hAnsi="仿宋"/>
              <w:szCs w:val="28"/>
            </w:rPr>
            <w:t>9.3</w:t>
          </w:r>
          <w:r>
            <w:rPr>
              <w:rFonts w:hint="eastAsia" w:ascii="仿宋" w:hAnsi="仿宋"/>
              <w:szCs w:val="28"/>
            </w:rPr>
            <w:t>应急物资装备保障</w:t>
          </w:r>
          <w:r>
            <w:tab/>
          </w:r>
          <w:r>
            <w:fldChar w:fldCharType="begin"/>
          </w:r>
          <w:r>
            <w:instrText xml:space="preserve"> PAGEREF _Toc11064 \h </w:instrText>
          </w:r>
          <w:r>
            <w:fldChar w:fldCharType="separate"/>
          </w:r>
          <w:r>
            <w:t>60</w:t>
          </w:r>
          <w:r>
            <w:fldChar w:fldCharType="end"/>
          </w:r>
          <w:r>
            <w:rPr>
              <w:rFonts w:hint="eastAsia" w:ascii="仿宋" w:hAnsi="仿宋" w:eastAsia="仿宋" w:cs="仿宋"/>
              <w:szCs w:val="24"/>
            </w:rPr>
            <w:fldChar w:fldCharType="end"/>
          </w:r>
        </w:p>
        <w:p>
          <w:pPr>
            <w:pStyle w:val="26"/>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_Toc23271 </w:instrText>
          </w:r>
          <w:r>
            <w:rPr>
              <w:rFonts w:hint="eastAsia" w:ascii="仿宋" w:hAnsi="仿宋" w:eastAsia="仿宋" w:cs="仿宋"/>
              <w:szCs w:val="24"/>
            </w:rPr>
            <w:fldChar w:fldCharType="separate"/>
          </w:r>
          <w:r>
            <w:rPr>
              <w:rFonts w:ascii="仿宋" w:hAnsi="仿宋"/>
              <w:szCs w:val="28"/>
            </w:rPr>
            <w:t>9.4</w:t>
          </w:r>
          <w:r>
            <w:rPr>
              <w:rFonts w:hint="eastAsia" w:ascii="仿宋" w:hAnsi="仿宋"/>
              <w:szCs w:val="28"/>
            </w:rPr>
            <w:t>经费保障</w:t>
          </w:r>
          <w:r>
            <w:tab/>
          </w:r>
          <w:r>
            <w:fldChar w:fldCharType="begin"/>
          </w:r>
          <w:r>
            <w:instrText xml:space="preserve"> PAGEREF _Toc23271 \h </w:instrText>
          </w:r>
          <w:r>
            <w:fldChar w:fldCharType="separate"/>
          </w:r>
          <w:r>
            <w:t>61</w:t>
          </w:r>
          <w:r>
            <w:fldChar w:fldCharType="end"/>
          </w:r>
          <w:r>
            <w:rPr>
              <w:rFonts w:hint="eastAsia" w:ascii="仿宋" w:hAnsi="仿宋" w:eastAsia="仿宋" w:cs="仿宋"/>
              <w:szCs w:val="24"/>
            </w:rPr>
            <w:fldChar w:fldCharType="end"/>
          </w:r>
        </w:p>
        <w:p>
          <w:pPr>
            <w:pStyle w:val="26"/>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_Toc29751 </w:instrText>
          </w:r>
          <w:r>
            <w:rPr>
              <w:rFonts w:hint="eastAsia" w:ascii="仿宋" w:hAnsi="仿宋" w:eastAsia="仿宋" w:cs="仿宋"/>
              <w:szCs w:val="24"/>
            </w:rPr>
            <w:fldChar w:fldCharType="separate"/>
          </w:r>
          <w:r>
            <w:rPr>
              <w:rFonts w:ascii="仿宋" w:hAnsi="仿宋"/>
              <w:szCs w:val="28"/>
            </w:rPr>
            <w:t>9.5</w:t>
          </w:r>
          <w:r>
            <w:rPr>
              <w:rFonts w:hint="eastAsia" w:ascii="仿宋" w:hAnsi="仿宋"/>
              <w:szCs w:val="28"/>
            </w:rPr>
            <w:t>其他保障</w:t>
          </w:r>
          <w:r>
            <w:tab/>
          </w:r>
          <w:r>
            <w:fldChar w:fldCharType="begin"/>
          </w:r>
          <w:r>
            <w:instrText xml:space="preserve"> PAGEREF _Toc29751 \h </w:instrText>
          </w:r>
          <w:r>
            <w:fldChar w:fldCharType="separate"/>
          </w:r>
          <w:r>
            <w:t>61</w:t>
          </w:r>
          <w:r>
            <w:fldChar w:fldCharType="end"/>
          </w:r>
          <w:r>
            <w:rPr>
              <w:rFonts w:hint="eastAsia" w:ascii="仿宋" w:hAnsi="仿宋" w:eastAsia="仿宋" w:cs="仿宋"/>
              <w:szCs w:val="24"/>
            </w:rPr>
            <w:fldChar w:fldCharType="end"/>
          </w:r>
        </w:p>
        <w:p>
          <w:pPr>
            <w:pStyle w:val="22"/>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_Toc27422 </w:instrText>
          </w:r>
          <w:r>
            <w:rPr>
              <w:rFonts w:hint="eastAsia" w:ascii="仿宋" w:hAnsi="仿宋" w:eastAsia="仿宋" w:cs="仿宋"/>
              <w:szCs w:val="24"/>
            </w:rPr>
            <w:fldChar w:fldCharType="separate"/>
          </w:r>
          <w:r>
            <w:rPr>
              <w:rFonts w:ascii="仿宋" w:hAnsi="仿宋"/>
              <w:szCs w:val="28"/>
            </w:rPr>
            <w:t>10</w:t>
          </w:r>
          <w:r>
            <w:rPr>
              <w:rFonts w:hint="eastAsia" w:ascii="仿宋" w:hAnsi="仿宋"/>
              <w:szCs w:val="28"/>
            </w:rPr>
            <w:t>.培训和演练</w:t>
          </w:r>
          <w:r>
            <w:tab/>
          </w:r>
          <w:r>
            <w:fldChar w:fldCharType="begin"/>
          </w:r>
          <w:r>
            <w:instrText xml:space="preserve"> PAGEREF _Toc27422 \h </w:instrText>
          </w:r>
          <w:r>
            <w:fldChar w:fldCharType="separate"/>
          </w:r>
          <w:r>
            <w:t>63</w:t>
          </w:r>
          <w:r>
            <w:fldChar w:fldCharType="end"/>
          </w:r>
          <w:r>
            <w:rPr>
              <w:rFonts w:hint="eastAsia" w:ascii="仿宋" w:hAnsi="仿宋" w:eastAsia="仿宋" w:cs="仿宋"/>
              <w:szCs w:val="24"/>
            </w:rPr>
            <w:fldChar w:fldCharType="end"/>
          </w:r>
        </w:p>
        <w:p>
          <w:pPr>
            <w:pStyle w:val="26"/>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_Toc18967 </w:instrText>
          </w:r>
          <w:r>
            <w:rPr>
              <w:rFonts w:hint="eastAsia" w:ascii="仿宋" w:hAnsi="仿宋" w:eastAsia="仿宋" w:cs="仿宋"/>
              <w:szCs w:val="24"/>
            </w:rPr>
            <w:fldChar w:fldCharType="separate"/>
          </w:r>
          <w:r>
            <w:rPr>
              <w:rFonts w:ascii="仿宋" w:hAnsi="仿宋"/>
              <w:szCs w:val="28"/>
            </w:rPr>
            <w:t>10.1</w:t>
          </w:r>
          <w:r>
            <w:rPr>
              <w:rFonts w:hint="eastAsia" w:ascii="仿宋" w:hAnsi="仿宋"/>
              <w:szCs w:val="28"/>
            </w:rPr>
            <w:t>培训</w:t>
          </w:r>
          <w:r>
            <w:tab/>
          </w:r>
          <w:r>
            <w:fldChar w:fldCharType="begin"/>
          </w:r>
          <w:r>
            <w:instrText xml:space="preserve"> PAGEREF _Toc18967 \h </w:instrText>
          </w:r>
          <w:r>
            <w:fldChar w:fldCharType="separate"/>
          </w:r>
          <w:r>
            <w:t>63</w:t>
          </w:r>
          <w:r>
            <w:fldChar w:fldCharType="end"/>
          </w:r>
          <w:r>
            <w:rPr>
              <w:rFonts w:hint="eastAsia" w:ascii="仿宋" w:hAnsi="仿宋" w:eastAsia="仿宋" w:cs="仿宋"/>
              <w:szCs w:val="24"/>
            </w:rPr>
            <w:fldChar w:fldCharType="end"/>
          </w:r>
        </w:p>
        <w:p>
          <w:pPr>
            <w:pStyle w:val="26"/>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_Toc32139 </w:instrText>
          </w:r>
          <w:r>
            <w:rPr>
              <w:rFonts w:hint="eastAsia" w:ascii="仿宋" w:hAnsi="仿宋" w:eastAsia="仿宋" w:cs="仿宋"/>
              <w:szCs w:val="24"/>
            </w:rPr>
            <w:fldChar w:fldCharType="separate"/>
          </w:r>
          <w:r>
            <w:rPr>
              <w:rFonts w:ascii="仿宋" w:hAnsi="仿宋"/>
              <w:szCs w:val="28"/>
            </w:rPr>
            <w:t>10.2</w:t>
          </w:r>
          <w:r>
            <w:rPr>
              <w:rFonts w:hint="eastAsia" w:ascii="仿宋" w:hAnsi="仿宋"/>
              <w:szCs w:val="28"/>
            </w:rPr>
            <w:t>演练</w:t>
          </w:r>
          <w:r>
            <w:tab/>
          </w:r>
          <w:r>
            <w:fldChar w:fldCharType="begin"/>
          </w:r>
          <w:r>
            <w:instrText xml:space="preserve"> PAGEREF _Toc32139 \h </w:instrText>
          </w:r>
          <w:r>
            <w:fldChar w:fldCharType="separate"/>
          </w:r>
          <w:r>
            <w:t>63</w:t>
          </w:r>
          <w:r>
            <w:fldChar w:fldCharType="end"/>
          </w:r>
          <w:r>
            <w:rPr>
              <w:rFonts w:hint="eastAsia" w:ascii="仿宋" w:hAnsi="仿宋" w:eastAsia="仿宋" w:cs="仿宋"/>
              <w:szCs w:val="24"/>
            </w:rPr>
            <w:fldChar w:fldCharType="end"/>
          </w:r>
        </w:p>
        <w:p>
          <w:pPr>
            <w:pStyle w:val="26"/>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_Toc24513 </w:instrText>
          </w:r>
          <w:r>
            <w:rPr>
              <w:rFonts w:hint="eastAsia" w:ascii="仿宋" w:hAnsi="仿宋" w:eastAsia="仿宋" w:cs="仿宋"/>
              <w:szCs w:val="24"/>
            </w:rPr>
            <w:fldChar w:fldCharType="separate"/>
          </w:r>
          <w:r>
            <w:rPr>
              <w:rFonts w:ascii="仿宋" w:hAnsi="仿宋"/>
              <w:szCs w:val="28"/>
            </w:rPr>
            <w:t>10.3</w:t>
          </w:r>
          <w:r>
            <w:rPr>
              <w:rFonts w:hint="eastAsia" w:ascii="仿宋" w:hAnsi="仿宋"/>
              <w:szCs w:val="28"/>
            </w:rPr>
            <w:t>记录与考核</w:t>
          </w:r>
          <w:r>
            <w:tab/>
          </w:r>
          <w:r>
            <w:fldChar w:fldCharType="begin"/>
          </w:r>
          <w:r>
            <w:instrText xml:space="preserve"> PAGEREF _Toc24513 \h </w:instrText>
          </w:r>
          <w:r>
            <w:fldChar w:fldCharType="separate"/>
          </w:r>
          <w:r>
            <w:t>64</w:t>
          </w:r>
          <w:r>
            <w:fldChar w:fldCharType="end"/>
          </w:r>
          <w:r>
            <w:rPr>
              <w:rFonts w:hint="eastAsia" w:ascii="仿宋" w:hAnsi="仿宋" w:eastAsia="仿宋" w:cs="仿宋"/>
              <w:szCs w:val="24"/>
            </w:rPr>
            <w:fldChar w:fldCharType="end"/>
          </w:r>
        </w:p>
        <w:p>
          <w:pPr>
            <w:pStyle w:val="22"/>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_Toc14940 </w:instrText>
          </w:r>
          <w:r>
            <w:rPr>
              <w:rFonts w:hint="eastAsia" w:ascii="仿宋" w:hAnsi="仿宋" w:eastAsia="仿宋" w:cs="仿宋"/>
              <w:szCs w:val="24"/>
            </w:rPr>
            <w:fldChar w:fldCharType="separate"/>
          </w:r>
          <w:r>
            <w:rPr>
              <w:rFonts w:ascii="仿宋" w:hAnsi="仿宋"/>
              <w:szCs w:val="28"/>
            </w:rPr>
            <w:t>11</w:t>
          </w:r>
          <w:r>
            <w:rPr>
              <w:rFonts w:hint="eastAsia" w:ascii="仿宋" w:hAnsi="仿宋"/>
              <w:szCs w:val="28"/>
            </w:rPr>
            <w:t>.</w:t>
          </w:r>
          <w:r>
            <w:rPr>
              <w:rFonts w:ascii="仿宋" w:hAnsi="仿宋"/>
              <w:szCs w:val="28"/>
            </w:rPr>
            <w:t>奖惩</w:t>
          </w:r>
          <w:r>
            <w:tab/>
          </w:r>
          <w:r>
            <w:fldChar w:fldCharType="begin"/>
          </w:r>
          <w:r>
            <w:instrText xml:space="preserve"> PAGEREF _Toc14940 \h </w:instrText>
          </w:r>
          <w:r>
            <w:fldChar w:fldCharType="separate"/>
          </w:r>
          <w:r>
            <w:t>65</w:t>
          </w:r>
          <w:r>
            <w:fldChar w:fldCharType="end"/>
          </w:r>
          <w:r>
            <w:rPr>
              <w:rFonts w:hint="eastAsia" w:ascii="仿宋" w:hAnsi="仿宋" w:eastAsia="仿宋" w:cs="仿宋"/>
              <w:szCs w:val="24"/>
            </w:rPr>
            <w:fldChar w:fldCharType="end"/>
          </w:r>
        </w:p>
        <w:p>
          <w:pPr>
            <w:pStyle w:val="26"/>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_Toc517 </w:instrText>
          </w:r>
          <w:r>
            <w:rPr>
              <w:rFonts w:hint="eastAsia" w:ascii="仿宋" w:hAnsi="仿宋" w:eastAsia="仿宋" w:cs="仿宋"/>
              <w:szCs w:val="24"/>
            </w:rPr>
            <w:fldChar w:fldCharType="separate"/>
          </w:r>
          <w:r>
            <w:rPr>
              <w:rFonts w:ascii="仿宋" w:hAnsi="仿宋"/>
              <w:szCs w:val="28"/>
            </w:rPr>
            <w:t>11.1</w:t>
          </w:r>
          <w:r>
            <w:rPr>
              <w:rFonts w:hint="eastAsia" w:ascii="仿宋" w:hAnsi="仿宋"/>
              <w:szCs w:val="28"/>
            </w:rPr>
            <w:t>事件应急救援工作实行责任追究制</w:t>
          </w:r>
          <w:r>
            <w:tab/>
          </w:r>
          <w:r>
            <w:fldChar w:fldCharType="begin"/>
          </w:r>
          <w:r>
            <w:instrText xml:space="preserve"> PAGEREF _Toc517 \h </w:instrText>
          </w:r>
          <w:r>
            <w:fldChar w:fldCharType="separate"/>
          </w:r>
          <w:r>
            <w:t>65</w:t>
          </w:r>
          <w:r>
            <w:fldChar w:fldCharType="end"/>
          </w:r>
          <w:r>
            <w:rPr>
              <w:rFonts w:hint="eastAsia" w:ascii="仿宋" w:hAnsi="仿宋" w:eastAsia="仿宋" w:cs="仿宋"/>
              <w:szCs w:val="24"/>
            </w:rPr>
            <w:fldChar w:fldCharType="end"/>
          </w:r>
        </w:p>
        <w:p>
          <w:pPr>
            <w:pStyle w:val="26"/>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_Toc21262 </w:instrText>
          </w:r>
          <w:r>
            <w:rPr>
              <w:rFonts w:hint="eastAsia" w:ascii="仿宋" w:hAnsi="仿宋" w:eastAsia="仿宋" w:cs="仿宋"/>
              <w:szCs w:val="24"/>
            </w:rPr>
            <w:fldChar w:fldCharType="separate"/>
          </w:r>
          <w:r>
            <w:rPr>
              <w:rFonts w:ascii="仿宋" w:hAnsi="仿宋"/>
              <w:szCs w:val="28"/>
            </w:rPr>
            <w:t>11.2</w:t>
          </w:r>
          <w:r>
            <w:rPr>
              <w:rFonts w:hint="eastAsia" w:ascii="仿宋" w:hAnsi="仿宋"/>
              <w:szCs w:val="28"/>
            </w:rPr>
            <w:t>事件应急救援工作实行奖励制</w:t>
          </w:r>
          <w:r>
            <w:tab/>
          </w:r>
          <w:r>
            <w:fldChar w:fldCharType="begin"/>
          </w:r>
          <w:r>
            <w:instrText xml:space="preserve"> PAGEREF _Toc21262 \h </w:instrText>
          </w:r>
          <w:r>
            <w:fldChar w:fldCharType="separate"/>
          </w:r>
          <w:r>
            <w:t>65</w:t>
          </w:r>
          <w:r>
            <w:fldChar w:fldCharType="end"/>
          </w:r>
          <w:r>
            <w:rPr>
              <w:rFonts w:hint="eastAsia" w:ascii="仿宋" w:hAnsi="仿宋" w:eastAsia="仿宋" w:cs="仿宋"/>
              <w:szCs w:val="24"/>
            </w:rPr>
            <w:fldChar w:fldCharType="end"/>
          </w:r>
        </w:p>
        <w:p>
          <w:pPr>
            <w:pStyle w:val="22"/>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_Toc7315 </w:instrText>
          </w:r>
          <w:r>
            <w:rPr>
              <w:rFonts w:hint="eastAsia" w:ascii="仿宋" w:hAnsi="仿宋" w:eastAsia="仿宋" w:cs="仿宋"/>
              <w:szCs w:val="24"/>
            </w:rPr>
            <w:fldChar w:fldCharType="separate"/>
          </w:r>
          <w:r>
            <w:rPr>
              <w:rFonts w:ascii="仿宋" w:hAnsi="仿宋"/>
              <w:szCs w:val="28"/>
            </w:rPr>
            <w:t>12</w:t>
          </w:r>
          <w:r>
            <w:rPr>
              <w:rFonts w:hint="eastAsia" w:ascii="仿宋" w:hAnsi="仿宋"/>
              <w:szCs w:val="28"/>
            </w:rPr>
            <w:t>.预案的评审、备案、发布和更新</w:t>
          </w:r>
          <w:r>
            <w:tab/>
          </w:r>
          <w:r>
            <w:fldChar w:fldCharType="begin"/>
          </w:r>
          <w:r>
            <w:instrText xml:space="preserve"> PAGEREF _Toc7315 \h </w:instrText>
          </w:r>
          <w:r>
            <w:fldChar w:fldCharType="separate"/>
          </w:r>
          <w:r>
            <w:t>66</w:t>
          </w:r>
          <w:r>
            <w:fldChar w:fldCharType="end"/>
          </w:r>
          <w:r>
            <w:rPr>
              <w:rFonts w:hint="eastAsia" w:ascii="仿宋" w:hAnsi="仿宋" w:eastAsia="仿宋" w:cs="仿宋"/>
              <w:szCs w:val="24"/>
            </w:rPr>
            <w:fldChar w:fldCharType="end"/>
          </w:r>
        </w:p>
        <w:p>
          <w:pPr>
            <w:pStyle w:val="26"/>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_Toc11284 </w:instrText>
          </w:r>
          <w:r>
            <w:rPr>
              <w:rFonts w:hint="eastAsia" w:ascii="仿宋" w:hAnsi="仿宋" w:eastAsia="仿宋" w:cs="仿宋"/>
              <w:szCs w:val="24"/>
            </w:rPr>
            <w:fldChar w:fldCharType="separate"/>
          </w:r>
          <w:r>
            <w:rPr>
              <w:rFonts w:hint="eastAsia" w:ascii="Times New Roman" w:hAnsi="Times New Roman" w:cs="Times New Roman"/>
            </w:rPr>
            <w:t>12.1预案的评审、发布及备案</w:t>
          </w:r>
          <w:r>
            <w:tab/>
          </w:r>
          <w:r>
            <w:fldChar w:fldCharType="begin"/>
          </w:r>
          <w:r>
            <w:instrText xml:space="preserve"> PAGEREF _Toc11284 \h </w:instrText>
          </w:r>
          <w:r>
            <w:fldChar w:fldCharType="separate"/>
          </w:r>
          <w:r>
            <w:t>66</w:t>
          </w:r>
          <w:r>
            <w:fldChar w:fldCharType="end"/>
          </w:r>
          <w:r>
            <w:rPr>
              <w:rFonts w:hint="eastAsia" w:ascii="仿宋" w:hAnsi="仿宋" w:eastAsia="仿宋" w:cs="仿宋"/>
              <w:szCs w:val="24"/>
            </w:rPr>
            <w:fldChar w:fldCharType="end"/>
          </w:r>
        </w:p>
        <w:p>
          <w:pPr>
            <w:pStyle w:val="26"/>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_Toc19605 </w:instrText>
          </w:r>
          <w:r>
            <w:rPr>
              <w:rFonts w:hint="eastAsia" w:ascii="仿宋" w:hAnsi="仿宋" w:eastAsia="仿宋" w:cs="仿宋"/>
              <w:szCs w:val="24"/>
            </w:rPr>
            <w:fldChar w:fldCharType="separate"/>
          </w:r>
          <w:r>
            <w:rPr>
              <w:rFonts w:hint="eastAsia"/>
            </w:rPr>
            <w:t>12.2预案的更新</w:t>
          </w:r>
          <w:r>
            <w:tab/>
          </w:r>
          <w:r>
            <w:fldChar w:fldCharType="begin"/>
          </w:r>
          <w:r>
            <w:instrText xml:space="preserve"> PAGEREF _Toc19605 \h </w:instrText>
          </w:r>
          <w:r>
            <w:fldChar w:fldCharType="separate"/>
          </w:r>
          <w:r>
            <w:t>66</w:t>
          </w:r>
          <w:r>
            <w:fldChar w:fldCharType="end"/>
          </w:r>
          <w:r>
            <w:rPr>
              <w:rFonts w:hint="eastAsia" w:ascii="仿宋" w:hAnsi="仿宋" w:eastAsia="仿宋" w:cs="仿宋"/>
              <w:szCs w:val="24"/>
            </w:rPr>
            <w:fldChar w:fldCharType="end"/>
          </w:r>
        </w:p>
        <w:p>
          <w:pPr>
            <w:pStyle w:val="22"/>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_Toc32463 </w:instrText>
          </w:r>
          <w:r>
            <w:rPr>
              <w:rFonts w:hint="eastAsia" w:ascii="仿宋" w:hAnsi="仿宋" w:eastAsia="仿宋" w:cs="仿宋"/>
              <w:szCs w:val="24"/>
            </w:rPr>
            <w:fldChar w:fldCharType="separate"/>
          </w:r>
          <w:r>
            <w:rPr>
              <w:rFonts w:ascii="仿宋" w:hAnsi="仿宋"/>
              <w:szCs w:val="28"/>
            </w:rPr>
            <w:t>13</w:t>
          </w:r>
          <w:r>
            <w:rPr>
              <w:rFonts w:hint="eastAsia" w:ascii="仿宋" w:hAnsi="仿宋"/>
              <w:szCs w:val="28"/>
            </w:rPr>
            <w:t>.预案的实施与生效</w:t>
          </w:r>
          <w:r>
            <w:tab/>
          </w:r>
          <w:r>
            <w:fldChar w:fldCharType="begin"/>
          </w:r>
          <w:r>
            <w:instrText xml:space="preserve"> PAGEREF _Toc32463 \h </w:instrText>
          </w:r>
          <w:r>
            <w:fldChar w:fldCharType="separate"/>
          </w:r>
          <w:r>
            <w:t>67</w:t>
          </w:r>
          <w:r>
            <w:fldChar w:fldCharType="end"/>
          </w:r>
          <w:r>
            <w:rPr>
              <w:rFonts w:hint="eastAsia" w:ascii="仿宋" w:hAnsi="仿宋" w:eastAsia="仿宋" w:cs="仿宋"/>
              <w:szCs w:val="24"/>
            </w:rPr>
            <w:fldChar w:fldCharType="end"/>
          </w:r>
        </w:p>
        <w:p>
          <w:pPr>
            <w:pStyle w:val="22"/>
            <w:tabs>
              <w:tab w:val="right" w:leader="dot" w:pos="8313"/>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_Toc3377 </w:instrText>
          </w:r>
          <w:r>
            <w:rPr>
              <w:rFonts w:hint="eastAsia" w:ascii="仿宋" w:hAnsi="仿宋" w:eastAsia="仿宋" w:cs="仿宋"/>
              <w:szCs w:val="24"/>
            </w:rPr>
            <w:fldChar w:fldCharType="separate"/>
          </w:r>
          <w:r>
            <w:rPr>
              <w:rFonts w:ascii="仿宋" w:hAnsi="仿宋"/>
              <w:szCs w:val="28"/>
            </w:rPr>
            <w:t>14</w:t>
          </w:r>
          <w:r>
            <w:rPr>
              <w:rFonts w:hint="eastAsia" w:ascii="仿宋" w:hAnsi="仿宋"/>
              <w:szCs w:val="28"/>
            </w:rPr>
            <w:t>.附则   术语和定义</w:t>
          </w:r>
          <w:r>
            <w:tab/>
          </w:r>
          <w:r>
            <w:fldChar w:fldCharType="begin"/>
          </w:r>
          <w:r>
            <w:instrText xml:space="preserve"> PAGEREF _Toc3377 \h </w:instrText>
          </w:r>
          <w:r>
            <w:fldChar w:fldCharType="separate"/>
          </w:r>
          <w:r>
            <w:t>68</w:t>
          </w:r>
          <w:r>
            <w:fldChar w:fldCharType="end"/>
          </w:r>
          <w:r>
            <w:rPr>
              <w:rFonts w:hint="eastAsia" w:ascii="仿宋" w:hAnsi="仿宋" w:eastAsia="仿宋" w:cs="仿宋"/>
              <w:szCs w:val="24"/>
            </w:rPr>
            <w:fldChar w:fldCharType="end"/>
          </w:r>
        </w:p>
        <w:p>
          <w:pPr>
            <w:pStyle w:val="69"/>
            <w:tabs>
              <w:tab w:val="right" w:leader="dot" w:pos="8313"/>
            </w:tabs>
            <w:sectPr>
              <w:headerReference r:id="rId5" w:type="default"/>
              <w:footerReference r:id="rId6" w:type="default"/>
              <w:pgSz w:w="11907" w:h="16840"/>
              <w:pgMar w:top="1440" w:right="1797" w:bottom="1440" w:left="1797" w:header="851" w:footer="992" w:gutter="0"/>
              <w:pgNumType w:fmt="upperRoman" w:start="1"/>
              <w:cols w:space="425" w:num="1"/>
              <w:docGrid w:linePitch="312" w:charSpace="0"/>
            </w:sectPr>
          </w:pPr>
          <w:r>
            <w:rPr>
              <w:rFonts w:hint="eastAsia" w:ascii="仿宋" w:hAnsi="仿宋" w:eastAsia="仿宋" w:cs="仿宋"/>
              <w:szCs w:val="24"/>
            </w:rPr>
            <w:fldChar w:fldCharType="end"/>
          </w:r>
        </w:p>
      </w:sdtContent>
    </w:sdt>
    <w:p>
      <w:pPr>
        <w:pStyle w:val="5"/>
        <w:rPr>
          <w:sz w:val="28"/>
          <w:szCs w:val="28"/>
        </w:rPr>
      </w:pPr>
      <w:bookmarkStart w:id="0" w:name="_Toc433795475"/>
      <w:bookmarkStart w:id="1" w:name="_Toc491785473"/>
      <w:bookmarkStart w:id="2" w:name="_Toc4057_WPSOffice_Level1"/>
      <w:bookmarkStart w:id="3" w:name="_Toc23211"/>
      <w:bookmarkStart w:id="4" w:name="_Toc27434_WPSOffice_Level1"/>
      <w:bookmarkStart w:id="5" w:name="_Toc24344"/>
      <w:bookmarkStart w:id="6" w:name="_Toc6861_WPSOffice_Level1"/>
      <w:r>
        <w:rPr>
          <w:sz w:val="28"/>
          <w:szCs w:val="28"/>
        </w:rPr>
        <w:t>1总则</w:t>
      </w:r>
      <w:bookmarkEnd w:id="0"/>
      <w:bookmarkEnd w:id="1"/>
      <w:bookmarkEnd w:id="2"/>
      <w:bookmarkEnd w:id="3"/>
      <w:bookmarkEnd w:id="4"/>
      <w:bookmarkEnd w:id="5"/>
      <w:bookmarkEnd w:id="6"/>
    </w:p>
    <w:p>
      <w:pPr>
        <w:spacing w:after="0" w:line="360" w:lineRule="auto"/>
        <w:ind w:firstLine="480" w:firstLineChars="200"/>
        <w:rPr>
          <w:rFonts w:ascii="Times New Roman" w:hAnsi="Times New Roman" w:eastAsia="仿宋" w:cs="Times New Roman"/>
          <w:sz w:val="24"/>
          <w:szCs w:val="24"/>
        </w:rPr>
      </w:pPr>
      <w:r>
        <w:rPr>
          <w:rFonts w:ascii="Times New Roman" w:hAnsi="Times New Roman" w:eastAsia="仿宋" w:cs="Times New Roman"/>
          <w:sz w:val="24"/>
          <w:szCs w:val="24"/>
        </w:rPr>
        <w:t>环境应急预案是针对加油站内可能发生的突发环境事件，以保证迅速、有效、有序的开展公司内突发环境事件应急救援行动，以预防、降低事故损失而预先制定的应对方案，是我公司开展突发环境事件应急救援的行动指南。</w:t>
      </w:r>
    </w:p>
    <w:p>
      <w:pPr>
        <w:pStyle w:val="6"/>
        <w:rPr>
          <w:sz w:val="28"/>
          <w:szCs w:val="28"/>
        </w:rPr>
      </w:pPr>
      <w:bookmarkStart w:id="7" w:name="_Toc433795476"/>
      <w:bookmarkStart w:id="8" w:name="_Toc491785474"/>
      <w:bookmarkStart w:id="9" w:name="_Toc7903"/>
      <w:bookmarkStart w:id="10" w:name="_Toc7794_WPSOffice_Level2"/>
      <w:bookmarkStart w:id="11" w:name="_Toc26970_WPSOffice_Level2"/>
      <w:bookmarkStart w:id="12" w:name="_Toc12898_WPSOffice_Level2"/>
      <w:bookmarkStart w:id="13" w:name="_Toc9828"/>
      <w:r>
        <w:rPr>
          <w:sz w:val="28"/>
          <w:szCs w:val="28"/>
        </w:rPr>
        <w:t>1.1编制目的</w:t>
      </w:r>
      <w:bookmarkEnd w:id="7"/>
      <w:bookmarkEnd w:id="8"/>
      <w:bookmarkEnd w:id="9"/>
      <w:bookmarkEnd w:id="10"/>
      <w:bookmarkEnd w:id="11"/>
      <w:bookmarkEnd w:id="12"/>
      <w:bookmarkEnd w:id="13"/>
    </w:p>
    <w:p>
      <w:pPr>
        <w:spacing w:after="0" w:line="360" w:lineRule="auto"/>
        <w:ind w:firstLine="480" w:firstLineChars="200"/>
        <w:rPr>
          <w:rFonts w:ascii="Times New Roman" w:hAnsi="Times New Roman" w:eastAsia="仿宋" w:cs="Times New Roman"/>
          <w:sz w:val="24"/>
          <w:szCs w:val="24"/>
        </w:rPr>
      </w:pPr>
      <w:r>
        <w:rPr>
          <w:rFonts w:ascii="Times New Roman" w:hAnsi="Times New Roman" w:eastAsia="仿宋" w:cs="Times New Roman"/>
          <w:sz w:val="24"/>
          <w:szCs w:val="24"/>
        </w:rPr>
        <w:t>为了积极防范和有效应对突发环境事件，避免和降低突发环境事件给环境带来的污染危害及损失，保证企业、社会及人民生命财产的安全；为了在事件发生后采取迅速有效的控制处理措施，防止事件蔓延、扩大，积极组织抢救、抢险、抢修，发挥各职能部门、社会力量的作用，使事件发生的损失减少至最低限度；使应急管理机制得以完善，做到突发环境事件发生时，应急措施稳健有序，保护生态环境安全和人民群众身体健康，特编制本预案。</w:t>
      </w:r>
    </w:p>
    <w:p>
      <w:pPr>
        <w:pStyle w:val="6"/>
        <w:rPr>
          <w:sz w:val="28"/>
          <w:szCs w:val="28"/>
        </w:rPr>
      </w:pPr>
      <w:bookmarkStart w:id="14" w:name="_Toc433795477"/>
      <w:bookmarkStart w:id="15" w:name="_Toc215_WPSOffice_Level2"/>
      <w:bookmarkStart w:id="16" w:name="_Toc491785475"/>
      <w:bookmarkStart w:id="17" w:name="_Toc17364_WPSOffice_Level2"/>
      <w:bookmarkStart w:id="18" w:name="_Toc30320_WPSOffice_Level2"/>
      <w:bookmarkStart w:id="19" w:name="_Toc29079"/>
      <w:bookmarkStart w:id="20" w:name="_Toc19578"/>
      <w:r>
        <w:rPr>
          <w:sz w:val="28"/>
          <w:szCs w:val="28"/>
        </w:rPr>
        <w:t>1.2编制依据</w:t>
      </w:r>
      <w:bookmarkEnd w:id="14"/>
      <w:bookmarkEnd w:id="15"/>
      <w:bookmarkEnd w:id="16"/>
      <w:bookmarkEnd w:id="17"/>
      <w:bookmarkEnd w:id="18"/>
      <w:bookmarkEnd w:id="19"/>
      <w:bookmarkEnd w:id="20"/>
    </w:p>
    <w:p>
      <w:pPr>
        <w:pStyle w:val="6"/>
        <w:rPr>
          <w:sz w:val="28"/>
          <w:szCs w:val="28"/>
        </w:rPr>
      </w:pPr>
      <w:bookmarkStart w:id="21" w:name="_Toc433795478"/>
      <w:bookmarkStart w:id="22" w:name="_Toc22322"/>
      <w:bookmarkStart w:id="23" w:name="_Toc491785476"/>
      <w:bookmarkStart w:id="24" w:name="_Toc22121"/>
      <w:r>
        <w:rPr>
          <w:sz w:val="28"/>
          <w:szCs w:val="28"/>
        </w:rPr>
        <w:t>1.2.1法律法规</w:t>
      </w:r>
      <w:bookmarkEnd w:id="21"/>
      <w:bookmarkEnd w:id="22"/>
      <w:bookmarkEnd w:id="23"/>
      <w:bookmarkEnd w:id="24"/>
    </w:p>
    <w:p>
      <w:pPr>
        <w:pStyle w:val="73"/>
        <w:spacing w:after="0"/>
        <w:ind w:firstLine="480"/>
        <w:rPr>
          <w:rFonts w:ascii="仿宋" w:hAnsi="仿宋" w:eastAsia="仿宋" w:cs="仿宋"/>
          <w:sz w:val="24"/>
          <w:szCs w:val="24"/>
        </w:rPr>
      </w:pPr>
      <w:bookmarkStart w:id="25" w:name="_Toc491785477"/>
      <w:bookmarkStart w:id="26" w:name="_Toc433795479"/>
      <w:r>
        <w:rPr>
          <w:rFonts w:hint="eastAsia" w:ascii="仿宋" w:hAnsi="仿宋" w:eastAsia="仿宋" w:cs="仿宋"/>
          <w:sz w:val="24"/>
          <w:szCs w:val="24"/>
        </w:rPr>
        <w:t>（1）《中华人民共和国环境保护法》（2015 年 1 月 1 日施行）；</w:t>
      </w:r>
    </w:p>
    <w:p>
      <w:pPr>
        <w:pStyle w:val="73"/>
        <w:spacing w:after="0"/>
        <w:ind w:firstLine="480"/>
        <w:rPr>
          <w:rFonts w:ascii="仿宋" w:hAnsi="仿宋" w:eastAsia="仿宋" w:cs="仿宋"/>
          <w:sz w:val="24"/>
          <w:szCs w:val="24"/>
        </w:rPr>
      </w:pPr>
      <w:r>
        <w:rPr>
          <w:rFonts w:hint="eastAsia" w:ascii="仿宋" w:hAnsi="仿宋" w:eastAsia="仿宋" w:cs="仿宋"/>
          <w:sz w:val="24"/>
          <w:szCs w:val="24"/>
        </w:rPr>
        <w:t>（2）《中华人民共和国突发事件应对法》（中华人民共和国主席令第六十九 号， 2007 年 11 月 1 日施行）；</w:t>
      </w:r>
    </w:p>
    <w:p>
      <w:pPr>
        <w:pStyle w:val="73"/>
        <w:spacing w:after="0"/>
        <w:ind w:firstLine="480"/>
        <w:rPr>
          <w:rFonts w:ascii="仿宋" w:hAnsi="仿宋" w:eastAsia="仿宋" w:cs="仿宋"/>
          <w:sz w:val="24"/>
          <w:szCs w:val="24"/>
        </w:rPr>
      </w:pPr>
      <w:r>
        <w:rPr>
          <w:rFonts w:hint="eastAsia" w:ascii="仿宋" w:hAnsi="仿宋" w:eastAsia="仿宋" w:cs="仿宋"/>
          <w:sz w:val="24"/>
          <w:szCs w:val="24"/>
        </w:rPr>
        <w:t xml:space="preserve">（3）《中华人民共和国大气污染防治法》（2018年修订， 2018年10月26日起施行）； </w:t>
      </w:r>
    </w:p>
    <w:p>
      <w:pPr>
        <w:pStyle w:val="73"/>
        <w:spacing w:after="0"/>
        <w:ind w:firstLine="480"/>
        <w:rPr>
          <w:rFonts w:ascii="仿宋" w:hAnsi="仿宋" w:eastAsia="仿宋" w:cs="仿宋"/>
          <w:sz w:val="24"/>
          <w:szCs w:val="24"/>
          <w:lang w:bidi="zh-CN"/>
        </w:rPr>
      </w:pPr>
      <w:r>
        <w:rPr>
          <w:rFonts w:hint="eastAsia" w:ascii="仿宋" w:hAnsi="仿宋" w:eastAsia="仿宋" w:cs="仿宋"/>
          <w:sz w:val="24"/>
          <w:szCs w:val="24"/>
        </w:rPr>
        <w:t xml:space="preserve">（4）《中华人民共和国水污染防治法》（2017年修订，2018年1月1日起施行）； </w:t>
      </w:r>
    </w:p>
    <w:p>
      <w:pPr>
        <w:pStyle w:val="73"/>
        <w:spacing w:after="0"/>
        <w:ind w:firstLine="480"/>
        <w:rPr>
          <w:rFonts w:ascii="仿宋" w:hAnsi="仿宋" w:eastAsia="仿宋" w:cs="仿宋"/>
          <w:sz w:val="24"/>
          <w:szCs w:val="24"/>
          <w:lang w:bidi="zh-CN"/>
        </w:rPr>
      </w:pPr>
      <w:r>
        <w:rPr>
          <w:rFonts w:hint="eastAsia" w:ascii="仿宋" w:hAnsi="仿宋" w:eastAsia="仿宋" w:cs="仿宋"/>
          <w:sz w:val="24"/>
          <w:szCs w:val="24"/>
        </w:rPr>
        <w:t xml:space="preserve">（5）《中华人民共和国固体废物污染环境防治法》（2020年9月1日施行）； </w:t>
      </w:r>
    </w:p>
    <w:p>
      <w:pPr>
        <w:pStyle w:val="73"/>
        <w:spacing w:after="0"/>
        <w:ind w:firstLine="480"/>
        <w:rPr>
          <w:rFonts w:ascii="仿宋" w:hAnsi="仿宋" w:eastAsia="仿宋" w:cs="仿宋"/>
          <w:sz w:val="24"/>
          <w:szCs w:val="24"/>
          <w:lang w:bidi="zh-CN"/>
        </w:rPr>
      </w:pPr>
      <w:r>
        <w:rPr>
          <w:rFonts w:hint="eastAsia" w:ascii="仿宋" w:hAnsi="仿宋" w:eastAsia="仿宋" w:cs="仿宋"/>
          <w:sz w:val="24"/>
          <w:szCs w:val="24"/>
        </w:rPr>
        <w:t xml:space="preserve">（6）《突发环境事件应急管理办法》（环保部令第 34 号， 2015 年 6 月 5 日施行）； </w:t>
      </w:r>
    </w:p>
    <w:p>
      <w:pPr>
        <w:pStyle w:val="73"/>
        <w:spacing w:after="0"/>
        <w:ind w:firstLine="480"/>
        <w:rPr>
          <w:rFonts w:ascii="仿宋" w:hAnsi="仿宋" w:eastAsia="仿宋" w:cs="仿宋"/>
          <w:sz w:val="24"/>
          <w:szCs w:val="24"/>
        </w:rPr>
      </w:pPr>
      <w:r>
        <w:rPr>
          <w:rFonts w:hint="eastAsia" w:ascii="仿宋" w:hAnsi="仿宋" w:eastAsia="仿宋" w:cs="仿宋"/>
          <w:sz w:val="24"/>
          <w:szCs w:val="24"/>
        </w:rPr>
        <w:t xml:space="preserve">（7）《中华人民共和国安全生产法（2014年修正）》（2014年12月1日起施行）； </w:t>
      </w:r>
    </w:p>
    <w:p>
      <w:pPr>
        <w:pStyle w:val="73"/>
        <w:spacing w:after="0"/>
        <w:ind w:firstLine="480"/>
        <w:rPr>
          <w:rFonts w:hint="eastAsia" w:ascii="仿宋" w:hAnsi="仿宋" w:eastAsia="仿宋" w:cs="仿宋"/>
          <w:sz w:val="24"/>
          <w:szCs w:val="24"/>
          <w:lang w:bidi="zh-CN"/>
        </w:rPr>
      </w:pPr>
      <w:r>
        <w:rPr>
          <w:rFonts w:hint="eastAsia" w:ascii="仿宋" w:hAnsi="仿宋" w:eastAsia="仿宋" w:cs="仿宋"/>
          <w:sz w:val="24"/>
          <w:szCs w:val="24"/>
          <w:lang w:bidi="zh-CN"/>
        </w:rPr>
        <w:t>（8）《中华人民共和国消防法》（2021年修订， 2021年4月29日施行）；</w:t>
      </w:r>
    </w:p>
    <w:p>
      <w:pPr>
        <w:pStyle w:val="73"/>
        <w:spacing w:after="0"/>
        <w:ind w:firstLine="480"/>
        <w:rPr>
          <w:rFonts w:hint="eastAsia" w:ascii="仿宋" w:hAnsi="仿宋" w:eastAsia="仿宋" w:cs="仿宋"/>
          <w:sz w:val="24"/>
          <w:szCs w:val="24"/>
          <w:lang w:bidi="zh-CN"/>
        </w:rPr>
      </w:pPr>
      <w:r>
        <w:rPr>
          <w:rFonts w:hint="eastAsia" w:ascii="仿宋" w:hAnsi="仿宋" w:eastAsia="仿宋" w:cs="仿宋"/>
          <w:sz w:val="24"/>
          <w:szCs w:val="24"/>
          <w:lang w:bidi="zh-CN"/>
        </w:rPr>
        <w:t>（</w:t>
      </w:r>
      <w:r>
        <w:rPr>
          <w:rFonts w:hint="eastAsia" w:ascii="仿宋" w:hAnsi="仿宋" w:eastAsia="仿宋" w:cs="仿宋"/>
          <w:sz w:val="24"/>
          <w:szCs w:val="24"/>
          <w:lang w:val="en-US" w:bidi="zh-CN"/>
        </w:rPr>
        <w:t>9</w:t>
      </w:r>
      <w:r>
        <w:rPr>
          <w:rFonts w:hint="eastAsia" w:ascii="仿宋" w:hAnsi="仿宋" w:eastAsia="仿宋" w:cs="仿宋"/>
          <w:sz w:val="24"/>
          <w:szCs w:val="24"/>
          <w:lang w:bidi="zh-CN"/>
        </w:rPr>
        <w:t>）</w:t>
      </w:r>
      <w:r>
        <w:rPr>
          <w:rFonts w:hint="eastAsia" w:ascii="仿宋" w:hAnsi="仿宋" w:eastAsia="仿宋" w:cs="仿宋"/>
          <w:sz w:val="24"/>
          <w:szCs w:val="24"/>
          <w:lang w:val="en-US" w:bidi="zh-CN"/>
        </w:rPr>
        <w:t xml:space="preserve"> </w:t>
      </w:r>
      <w:r>
        <w:rPr>
          <w:rFonts w:hint="eastAsia" w:ascii="仿宋" w:hAnsi="仿宋" w:eastAsia="仿宋" w:cs="仿宋"/>
          <w:sz w:val="24"/>
          <w:szCs w:val="24"/>
          <w:lang w:bidi="zh-CN"/>
        </w:rPr>
        <w:t>中华人民共和国环境影响评价法》（2018年修订）；</w:t>
      </w:r>
    </w:p>
    <w:p>
      <w:pPr>
        <w:pStyle w:val="73"/>
        <w:spacing w:after="0"/>
        <w:ind w:firstLine="480"/>
        <w:rPr>
          <w:rFonts w:hint="eastAsia" w:ascii="仿宋" w:hAnsi="仿宋" w:eastAsia="仿宋" w:cs="仿宋"/>
          <w:sz w:val="24"/>
          <w:szCs w:val="24"/>
          <w:lang w:bidi="zh-CN"/>
        </w:rPr>
      </w:pPr>
      <w:r>
        <w:rPr>
          <w:rFonts w:hint="eastAsia" w:ascii="仿宋" w:hAnsi="仿宋" w:eastAsia="仿宋" w:cs="仿宋"/>
          <w:sz w:val="24"/>
          <w:szCs w:val="24"/>
          <w:lang w:bidi="zh-CN"/>
        </w:rPr>
        <w:t>（</w:t>
      </w:r>
      <w:r>
        <w:rPr>
          <w:rFonts w:hint="eastAsia" w:ascii="仿宋" w:hAnsi="仿宋" w:eastAsia="仿宋" w:cs="仿宋"/>
          <w:sz w:val="24"/>
          <w:szCs w:val="24"/>
          <w:lang w:val="en-US" w:bidi="zh-CN"/>
        </w:rPr>
        <w:t>10</w:t>
      </w:r>
      <w:r>
        <w:rPr>
          <w:rFonts w:hint="eastAsia" w:ascii="仿宋" w:hAnsi="仿宋" w:eastAsia="仿宋" w:cs="仿宋"/>
          <w:sz w:val="24"/>
          <w:szCs w:val="24"/>
          <w:lang w:bidi="zh-CN"/>
        </w:rPr>
        <w:t>）《中华人民共和国土壤污染防治法》（2018年8月31日）；</w:t>
      </w:r>
    </w:p>
    <w:p>
      <w:pPr>
        <w:pStyle w:val="73"/>
        <w:spacing w:after="0"/>
        <w:ind w:firstLine="480"/>
        <w:rPr>
          <w:rFonts w:hint="default" w:ascii="仿宋" w:hAnsi="仿宋" w:eastAsia="仿宋" w:cs="仿宋"/>
          <w:sz w:val="24"/>
          <w:szCs w:val="24"/>
          <w:lang w:val="en-US" w:bidi="zh-CN"/>
        </w:rPr>
      </w:pPr>
      <w:r>
        <w:rPr>
          <w:rFonts w:hint="eastAsia" w:ascii="仿宋" w:hAnsi="仿宋" w:eastAsia="仿宋" w:cs="仿宋"/>
          <w:sz w:val="24"/>
          <w:szCs w:val="24"/>
          <w:lang w:bidi="zh-CN"/>
        </w:rPr>
        <w:t>（</w:t>
      </w:r>
      <w:r>
        <w:rPr>
          <w:rFonts w:hint="eastAsia" w:ascii="仿宋" w:hAnsi="仿宋" w:eastAsia="仿宋" w:cs="仿宋"/>
          <w:sz w:val="24"/>
          <w:szCs w:val="24"/>
          <w:lang w:val="en-US" w:bidi="zh-CN"/>
        </w:rPr>
        <w:t>11</w:t>
      </w:r>
      <w:r>
        <w:rPr>
          <w:rFonts w:hint="eastAsia" w:ascii="仿宋" w:hAnsi="仿宋" w:eastAsia="仿宋" w:cs="仿宋"/>
          <w:sz w:val="24"/>
          <w:szCs w:val="24"/>
          <w:lang w:bidi="zh-CN"/>
        </w:rPr>
        <w:t>）《中华人民共和国固体废物污染环境防治法》（2020年9月1日起施行）</w:t>
      </w:r>
      <w:r>
        <w:rPr>
          <w:rFonts w:hint="eastAsia" w:ascii="仿宋" w:hAnsi="仿宋" w:eastAsia="仿宋" w:cs="仿宋"/>
          <w:sz w:val="24"/>
          <w:szCs w:val="24"/>
          <w:lang w:val="en-US" w:bidi="zh-CN"/>
        </w:rPr>
        <w:t>;</w:t>
      </w:r>
    </w:p>
    <w:p>
      <w:pPr>
        <w:pStyle w:val="73"/>
        <w:spacing w:after="0"/>
        <w:ind w:firstLine="480"/>
        <w:rPr>
          <w:rFonts w:ascii="仿宋" w:hAnsi="仿宋" w:eastAsia="仿宋" w:cs="仿宋"/>
          <w:sz w:val="24"/>
          <w:szCs w:val="24"/>
          <w:lang w:bidi="zh-CN"/>
        </w:rPr>
      </w:pPr>
      <w:r>
        <w:rPr>
          <w:rFonts w:hint="eastAsia" w:ascii="仿宋" w:hAnsi="仿宋" w:eastAsia="仿宋" w:cs="仿宋"/>
          <w:sz w:val="24"/>
          <w:szCs w:val="24"/>
        </w:rPr>
        <w:t>（</w:t>
      </w:r>
      <w:r>
        <w:rPr>
          <w:rFonts w:hint="eastAsia" w:ascii="仿宋" w:hAnsi="仿宋" w:eastAsia="仿宋" w:cs="仿宋"/>
          <w:sz w:val="24"/>
          <w:szCs w:val="24"/>
          <w:lang w:val="en-US" w:eastAsia="zh-CN"/>
        </w:rPr>
        <w:t>12</w:t>
      </w:r>
      <w:r>
        <w:rPr>
          <w:rFonts w:hint="eastAsia" w:ascii="仿宋" w:hAnsi="仿宋" w:eastAsia="仿宋" w:cs="仿宋"/>
          <w:sz w:val="24"/>
          <w:szCs w:val="24"/>
        </w:rPr>
        <w:t xml:space="preserve">）《国务院关于加强环境保护重点工作的意见》（国发〔2011〕35号）； </w:t>
      </w:r>
    </w:p>
    <w:p>
      <w:pPr>
        <w:pStyle w:val="73"/>
        <w:spacing w:after="0"/>
        <w:ind w:firstLine="480"/>
        <w:rPr>
          <w:rFonts w:ascii="仿宋" w:hAnsi="仿宋" w:eastAsia="仿宋" w:cs="仿宋"/>
          <w:sz w:val="24"/>
          <w:szCs w:val="24"/>
          <w:lang w:bidi="zh-CN"/>
        </w:rPr>
      </w:pPr>
      <w:r>
        <w:rPr>
          <w:rFonts w:hint="eastAsia" w:ascii="仿宋" w:hAnsi="仿宋" w:eastAsia="仿宋" w:cs="仿宋"/>
          <w:sz w:val="24"/>
          <w:szCs w:val="24"/>
        </w:rPr>
        <w:t>（1</w:t>
      </w:r>
      <w:r>
        <w:rPr>
          <w:rFonts w:hint="eastAsia" w:ascii="仿宋" w:hAnsi="仿宋" w:eastAsia="仿宋" w:cs="仿宋"/>
          <w:sz w:val="24"/>
          <w:szCs w:val="24"/>
          <w:lang w:val="en-US" w:eastAsia="zh-CN"/>
        </w:rPr>
        <w:t>3</w:t>
      </w:r>
      <w:r>
        <w:rPr>
          <w:rFonts w:hint="eastAsia" w:ascii="仿宋" w:hAnsi="仿宋" w:eastAsia="仿宋" w:cs="仿宋"/>
          <w:sz w:val="24"/>
          <w:szCs w:val="24"/>
        </w:rPr>
        <w:t xml:space="preserve">）《危险化学品重大危险源监督管理暂行规定》（国家安全生产监督管理 总局令第 40 号，2015年修订，2015年7月1日起施行）； </w:t>
      </w:r>
    </w:p>
    <w:p>
      <w:pPr>
        <w:pStyle w:val="73"/>
        <w:spacing w:after="0"/>
        <w:ind w:firstLine="480"/>
        <w:rPr>
          <w:rFonts w:ascii="仿宋" w:hAnsi="仿宋" w:eastAsia="仿宋" w:cs="仿宋"/>
          <w:sz w:val="24"/>
          <w:szCs w:val="24"/>
          <w:lang w:bidi="zh-CN"/>
        </w:rPr>
      </w:pPr>
      <w:r>
        <w:rPr>
          <w:rFonts w:hint="eastAsia" w:ascii="仿宋" w:hAnsi="仿宋" w:eastAsia="仿宋" w:cs="仿宋"/>
          <w:sz w:val="24"/>
          <w:szCs w:val="24"/>
        </w:rPr>
        <w:t>（1</w:t>
      </w:r>
      <w:r>
        <w:rPr>
          <w:rFonts w:hint="eastAsia" w:ascii="仿宋" w:hAnsi="仿宋" w:eastAsia="仿宋" w:cs="仿宋"/>
          <w:sz w:val="24"/>
          <w:szCs w:val="24"/>
          <w:lang w:val="en-US" w:eastAsia="zh-CN"/>
        </w:rPr>
        <w:t>4</w:t>
      </w:r>
      <w:r>
        <w:rPr>
          <w:rFonts w:hint="eastAsia" w:ascii="仿宋" w:hAnsi="仿宋" w:eastAsia="仿宋" w:cs="仿宋"/>
          <w:sz w:val="24"/>
          <w:szCs w:val="24"/>
        </w:rPr>
        <w:t xml:space="preserve">）《危险化学品建设项目安全监督管理办法》（国家安全生产监督管理总 局令第 45 号，2015年修订，2015年7月1日起施行）； </w:t>
      </w:r>
    </w:p>
    <w:p>
      <w:pPr>
        <w:pStyle w:val="73"/>
        <w:spacing w:after="0"/>
        <w:ind w:firstLine="480"/>
        <w:jc w:val="both"/>
        <w:rPr>
          <w:rFonts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5</w:t>
      </w:r>
      <w:r>
        <w:rPr>
          <w:rFonts w:hint="eastAsia" w:ascii="仿宋" w:hAnsi="仿宋" w:eastAsia="仿宋" w:cs="仿宋"/>
          <w:sz w:val="24"/>
          <w:szCs w:val="24"/>
        </w:rPr>
        <w:t xml:space="preserve">）《危险化学品安全管理条例》（中华人民共和国国务院令第645号，2013年12月7日起施行）； </w:t>
      </w:r>
    </w:p>
    <w:p>
      <w:pPr>
        <w:pStyle w:val="73"/>
        <w:spacing w:after="0"/>
        <w:ind w:firstLine="480"/>
        <w:rPr>
          <w:rFonts w:hint="eastAsia" w:ascii="仿宋" w:hAnsi="仿宋" w:eastAsia="仿宋" w:cs="仿宋"/>
          <w:sz w:val="24"/>
          <w:szCs w:val="24"/>
          <w:lang w:eastAsia="zh-CN" w:bidi="zh-CN"/>
        </w:rPr>
      </w:pPr>
      <w:r>
        <w:rPr>
          <w:rFonts w:hint="eastAsia" w:ascii="仿宋" w:hAnsi="仿宋" w:eastAsia="仿宋" w:cs="仿宋"/>
          <w:sz w:val="24"/>
          <w:szCs w:val="24"/>
        </w:rPr>
        <w:t>（1</w:t>
      </w:r>
      <w:r>
        <w:rPr>
          <w:rFonts w:hint="eastAsia" w:ascii="仿宋" w:hAnsi="仿宋" w:eastAsia="仿宋" w:cs="仿宋"/>
          <w:sz w:val="24"/>
          <w:szCs w:val="24"/>
          <w:lang w:val="en-US" w:eastAsia="zh-CN"/>
        </w:rPr>
        <w:t>6</w:t>
      </w:r>
      <w:r>
        <w:rPr>
          <w:rFonts w:hint="eastAsia" w:ascii="仿宋" w:hAnsi="仿宋" w:eastAsia="仿宋" w:cs="仿宋"/>
          <w:sz w:val="24"/>
          <w:szCs w:val="24"/>
        </w:rPr>
        <w:t>）《危险化学品名录（2015 年版）》（2015 年 5 月 1 日起实施）</w:t>
      </w:r>
      <w:r>
        <w:rPr>
          <w:rFonts w:hint="eastAsia" w:ascii="仿宋" w:hAnsi="仿宋" w:eastAsia="仿宋" w:cs="仿宋"/>
          <w:sz w:val="24"/>
          <w:szCs w:val="24"/>
          <w:lang w:val="en-US" w:eastAsia="zh-CN"/>
        </w:rPr>
        <w:t>；</w:t>
      </w:r>
    </w:p>
    <w:p>
      <w:pPr>
        <w:pStyle w:val="17"/>
        <w:spacing w:line="360" w:lineRule="auto"/>
        <w:ind w:firstLine="480" w:firstLineChars="200"/>
        <w:rPr>
          <w:rFonts w:ascii="Times New Roman" w:hAnsi="Times New Roman" w:eastAsia="仿宋" w:cs="Times New Roman"/>
          <w:kern w:val="0"/>
          <w:sz w:val="28"/>
          <w:szCs w:val="22"/>
        </w:rPr>
      </w:pPr>
      <w:r>
        <w:rPr>
          <w:rFonts w:hint="eastAsia" w:ascii="仿宋" w:hAnsi="仿宋" w:eastAsia="仿宋" w:cs="仿宋"/>
          <w:sz w:val="24"/>
          <w:szCs w:val="24"/>
        </w:rPr>
        <w:t>（1</w:t>
      </w:r>
      <w:r>
        <w:rPr>
          <w:rFonts w:hint="eastAsia" w:ascii="仿宋" w:hAnsi="仿宋" w:eastAsia="仿宋" w:cs="仿宋"/>
          <w:sz w:val="24"/>
          <w:szCs w:val="24"/>
          <w:lang w:val="en-US" w:eastAsia="zh-CN"/>
        </w:rPr>
        <w:t>7</w:t>
      </w:r>
      <w:r>
        <w:rPr>
          <w:rFonts w:hint="eastAsia" w:ascii="仿宋" w:hAnsi="仿宋" w:eastAsia="仿宋" w:cs="仿宋"/>
          <w:sz w:val="24"/>
          <w:szCs w:val="24"/>
        </w:rPr>
        <w:t>）《突发环境事件信息报告方法》（中华人民共和国环境保护部令第 17 号，自 2011 年 5 月 1 日起施行）。</w:t>
      </w:r>
    </w:p>
    <w:bookmarkEnd w:id="25"/>
    <w:bookmarkEnd w:id="26"/>
    <w:p>
      <w:pPr>
        <w:pStyle w:val="6"/>
        <w:rPr>
          <w:rFonts w:hint="default"/>
          <w:sz w:val="28"/>
          <w:szCs w:val="28"/>
          <w:lang w:val="en-US" w:eastAsia="zh-CN"/>
        </w:rPr>
      </w:pPr>
      <w:bookmarkStart w:id="27" w:name="_Toc74855952"/>
      <w:bookmarkStart w:id="28" w:name="_Toc12180"/>
      <w:bookmarkStart w:id="29" w:name="_Toc433795482"/>
      <w:r>
        <w:rPr>
          <w:sz w:val="28"/>
          <w:szCs w:val="28"/>
        </w:rPr>
        <w:t>1.2.2</w:t>
      </w:r>
      <w:bookmarkEnd w:id="27"/>
      <w:r>
        <w:rPr>
          <w:rFonts w:hint="eastAsia"/>
          <w:sz w:val="28"/>
          <w:szCs w:val="28"/>
          <w:lang w:val="en-US" w:eastAsia="zh-CN"/>
        </w:rPr>
        <w:t>标准、规范、技术导则</w:t>
      </w:r>
      <w:bookmarkEnd w:id="28"/>
    </w:p>
    <w:p>
      <w:pPr>
        <w:pStyle w:val="73"/>
        <w:spacing w:after="0"/>
        <w:ind w:firstLine="480"/>
        <w:jc w:val="both"/>
        <w:rPr>
          <w:rFonts w:ascii="仿宋" w:hAnsi="仿宋" w:eastAsia="仿宋" w:cs="仿宋"/>
          <w:sz w:val="24"/>
          <w:szCs w:val="24"/>
        </w:rPr>
      </w:pPr>
      <w:r>
        <w:rPr>
          <w:rFonts w:hint="eastAsia" w:ascii="仿宋" w:hAnsi="仿宋" w:eastAsia="仿宋" w:cs="仿宋"/>
          <w:sz w:val="24"/>
          <w:szCs w:val="24"/>
        </w:rPr>
        <w:t>（1）《企业突发环境事件风险评估指南(试行)》(环办[2014]34号)；</w:t>
      </w:r>
    </w:p>
    <w:p>
      <w:pPr>
        <w:pStyle w:val="73"/>
        <w:spacing w:after="0"/>
        <w:ind w:firstLine="480"/>
        <w:jc w:val="both"/>
        <w:rPr>
          <w:rFonts w:ascii="仿宋" w:hAnsi="仿宋" w:eastAsia="仿宋" w:cs="仿宋"/>
          <w:sz w:val="24"/>
          <w:szCs w:val="24"/>
        </w:rPr>
      </w:pPr>
      <w:r>
        <w:rPr>
          <w:rFonts w:hint="eastAsia" w:ascii="仿宋" w:hAnsi="仿宋" w:eastAsia="仿宋" w:cs="仿宋"/>
          <w:sz w:val="24"/>
          <w:szCs w:val="24"/>
        </w:rPr>
        <w:t>（2）《企业突发环境事件风险分级方法》（HJ941-2018）；</w:t>
      </w:r>
    </w:p>
    <w:p>
      <w:pPr>
        <w:pStyle w:val="73"/>
        <w:spacing w:after="0"/>
        <w:ind w:firstLine="480"/>
        <w:jc w:val="both"/>
        <w:rPr>
          <w:rFonts w:ascii="仿宋" w:hAnsi="仿宋" w:eastAsia="仿宋" w:cs="仿宋"/>
          <w:sz w:val="24"/>
          <w:szCs w:val="24"/>
        </w:rPr>
      </w:pPr>
      <w:r>
        <w:rPr>
          <w:rFonts w:hint="eastAsia" w:ascii="仿宋" w:hAnsi="仿宋" w:eastAsia="仿宋" w:cs="仿宋"/>
          <w:sz w:val="24"/>
          <w:szCs w:val="24"/>
        </w:rPr>
        <w:t>（3）《污水综合排放标准》（GB8978-1996）；</w:t>
      </w:r>
    </w:p>
    <w:p>
      <w:pPr>
        <w:pStyle w:val="73"/>
        <w:spacing w:after="0"/>
        <w:ind w:firstLine="480"/>
        <w:jc w:val="both"/>
        <w:rPr>
          <w:rFonts w:ascii="仿宋" w:hAnsi="仿宋" w:eastAsia="仿宋" w:cs="仿宋"/>
          <w:sz w:val="24"/>
          <w:szCs w:val="24"/>
        </w:rPr>
      </w:pPr>
      <w:r>
        <w:rPr>
          <w:rFonts w:hint="eastAsia" w:ascii="仿宋" w:hAnsi="仿宋" w:eastAsia="仿宋" w:cs="仿宋"/>
          <w:sz w:val="24"/>
          <w:szCs w:val="24"/>
        </w:rPr>
        <w:t>（4）《大气污染物综合排放标准》（GB16297-1996）；</w:t>
      </w:r>
    </w:p>
    <w:p>
      <w:pPr>
        <w:pStyle w:val="73"/>
        <w:spacing w:after="0"/>
        <w:ind w:firstLine="480"/>
        <w:jc w:val="both"/>
        <w:rPr>
          <w:rFonts w:ascii="仿宋" w:hAnsi="仿宋" w:eastAsia="仿宋" w:cs="仿宋"/>
          <w:sz w:val="24"/>
          <w:szCs w:val="24"/>
        </w:rPr>
      </w:pPr>
      <w:r>
        <w:rPr>
          <w:rFonts w:hint="eastAsia" w:ascii="仿宋" w:hAnsi="仿宋" w:eastAsia="仿宋" w:cs="仿宋"/>
          <w:sz w:val="24"/>
          <w:szCs w:val="24"/>
        </w:rPr>
        <w:t>（5）《污水监测技术规范》(HJ 91.1-2019 )；</w:t>
      </w:r>
    </w:p>
    <w:p>
      <w:pPr>
        <w:pStyle w:val="73"/>
        <w:spacing w:after="0"/>
        <w:ind w:firstLine="480"/>
        <w:jc w:val="both"/>
        <w:rPr>
          <w:rFonts w:ascii="仿宋" w:hAnsi="仿宋" w:eastAsia="仿宋" w:cs="仿宋"/>
          <w:sz w:val="24"/>
          <w:szCs w:val="24"/>
        </w:rPr>
      </w:pPr>
      <w:r>
        <w:rPr>
          <w:rFonts w:hint="eastAsia" w:ascii="仿宋" w:hAnsi="仿宋" w:eastAsia="仿宋" w:cs="仿宋"/>
          <w:sz w:val="24"/>
          <w:szCs w:val="24"/>
        </w:rPr>
        <w:t>（6）《危险废物储存污染控制标准》（GB185</w:t>
      </w:r>
      <w:r>
        <w:rPr>
          <w:rFonts w:hint="eastAsia" w:ascii="仿宋" w:hAnsi="仿宋" w:eastAsia="仿宋" w:cs="仿宋"/>
          <w:sz w:val="24"/>
          <w:szCs w:val="24"/>
          <w:lang w:val="en-US" w:eastAsia="zh-CN"/>
        </w:rPr>
        <w:t>97</w:t>
      </w:r>
      <w:r>
        <w:rPr>
          <w:rFonts w:hint="eastAsia" w:ascii="仿宋" w:hAnsi="仿宋" w:eastAsia="仿宋" w:cs="仿宋"/>
          <w:sz w:val="24"/>
          <w:szCs w:val="24"/>
        </w:rPr>
        <w:t>-2001）；</w:t>
      </w:r>
    </w:p>
    <w:p>
      <w:pPr>
        <w:pStyle w:val="73"/>
        <w:spacing w:after="0"/>
        <w:ind w:firstLine="480"/>
        <w:jc w:val="both"/>
        <w:rPr>
          <w:rFonts w:ascii="仿宋" w:hAnsi="仿宋" w:eastAsia="仿宋" w:cs="仿宋"/>
          <w:sz w:val="24"/>
          <w:szCs w:val="24"/>
        </w:rPr>
      </w:pPr>
      <w:r>
        <w:rPr>
          <w:rFonts w:hint="eastAsia" w:ascii="仿宋" w:hAnsi="仿宋" w:eastAsia="仿宋" w:cs="仿宋"/>
          <w:sz w:val="24"/>
          <w:szCs w:val="24"/>
        </w:rPr>
        <w:t>（7）《危险化学品重大危险源辨识》（GB18218-2018）；</w:t>
      </w:r>
    </w:p>
    <w:p>
      <w:pPr>
        <w:pStyle w:val="73"/>
        <w:spacing w:after="0"/>
        <w:ind w:firstLine="480"/>
        <w:jc w:val="both"/>
        <w:rPr>
          <w:rFonts w:ascii="仿宋" w:hAnsi="仿宋" w:eastAsia="仿宋" w:cs="仿宋"/>
          <w:sz w:val="24"/>
          <w:szCs w:val="24"/>
        </w:rPr>
      </w:pPr>
      <w:r>
        <w:rPr>
          <w:rFonts w:hint="eastAsia" w:ascii="仿宋" w:hAnsi="仿宋" w:eastAsia="仿宋" w:cs="仿宋"/>
          <w:sz w:val="24"/>
          <w:szCs w:val="24"/>
        </w:rPr>
        <w:t>（8）《建筑设计防火规范》（GB50016-2014）；</w:t>
      </w:r>
    </w:p>
    <w:p>
      <w:pPr>
        <w:pStyle w:val="73"/>
        <w:spacing w:after="0"/>
        <w:ind w:firstLine="480"/>
        <w:jc w:val="both"/>
        <w:rPr>
          <w:rFonts w:ascii="仿宋" w:hAnsi="仿宋" w:eastAsia="仿宋" w:cs="仿宋"/>
          <w:sz w:val="24"/>
          <w:szCs w:val="24"/>
        </w:rPr>
      </w:pPr>
      <w:r>
        <w:rPr>
          <w:rFonts w:hint="eastAsia" w:ascii="仿宋" w:hAnsi="仿宋" w:eastAsia="仿宋" w:cs="仿宋"/>
          <w:sz w:val="24"/>
          <w:szCs w:val="24"/>
        </w:rPr>
        <w:t>（9）《汽车加油加气站设计与施工规范》（GB50156-2012）；</w:t>
      </w:r>
    </w:p>
    <w:p>
      <w:pPr>
        <w:pStyle w:val="73"/>
        <w:spacing w:after="0"/>
        <w:ind w:firstLine="480"/>
        <w:jc w:val="both"/>
        <w:rPr>
          <w:rFonts w:ascii="仿宋" w:hAnsi="仿宋" w:eastAsia="仿宋" w:cs="仿宋"/>
          <w:sz w:val="24"/>
          <w:szCs w:val="24"/>
        </w:rPr>
      </w:pPr>
      <w:r>
        <w:rPr>
          <w:rFonts w:hint="eastAsia" w:ascii="仿宋" w:hAnsi="仿宋" w:eastAsia="仿宋" w:cs="仿宋"/>
          <w:sz w:val="24"/>
          <w:szCs w:val="24"/>
        </w:rPr>
        <w:t>（10）《建设项目环境风险评价技术导则》(HJ169-2018)；</w:t>
      </w:r>
    </w:p>
    <w:p>
      <w:pPr>
        <w:pStyle w:val="73"/>
        <w:spacing w:after="0"/>
        <w:ind w:firstLine="480"/>
        <w:jc w:val="both"/>
        <w:rPr>
          <w:rFonts w:ascii="仿宋" w:hAnsi="仿宋" w:eastAsia="仿宋" w:cs="仿宋"/>
          <w:sz w:val="24"/>
          <w:szCs w:val="24"/>
        </w:rPr>
      </w:pPr>
      <w:r>
        <w:rPr>
          <w:rFonts w:hint="eastAsia" w:ascii="仿宋" w:hAnsi="仿宋" w:eastAsia="仿宋" w:cs="仿宋"/>
          <w:sz w:val="24"/>
          <w:szCs w:val="24"/>
        </w:rPr>
        <w:t>（11）《环境影响评价技术导则地下水环境》(HJ610-2016) ；</w:t>
      </w:r>
    </w:p>
    <w:p>
      <w:pPr>
        <w:pStyle w:val="73"/>
        <w:spacing w:after="0"/>
        <w:ind w:firstLine="480"/>
        <w:jc w:val="both"/>
        <w:rPr>
          <w:rFonts w:ascii="仿宋" w:hAnsi="仿宋" w:eastAsia="仿宋" w:cs="仿宋"/>
          <w:sz w:val="24"/>
          <w:szCs w:val="24"/>
        </w:rPr>
      </w:pPr>
      <w:r>
        <w:rPr>
          <w:rFonts w:hint="eastAsia" w:ascii="仿宋" w:hAnsi="仿宋" w:eastAsia="仿宋" w:cs="仿宋"/>
          <w:sz w:val="24"/>
          <w:szCs w:val="24"/>
        </w:rPr>
        <w:t>（12）《突发事件应急预案管理办法》（国办发[2013]101 号）；</w:t>
      </w:r>
    </w:p>
    <w:p>
      <w:pPr>
        <w:pStyle w:val="73"/>
        <w:spacing w:after="0"/>
        <w:ind w:firstLine="480"/>
        <w:jc w:val="both"/>
        <w:rPr>
          <w:rFonts w:ascii="仿宋" w:hAnsi="仿宋" w:eastAsia="仿宋" w:cs="仿宋"/>
          <w:sz w:val="24"/>
          <w:szCs w:val="24"/>
        </w:rPr>
      </w:pPr>
      <w:bookmarkStart w:id="30" w:name="_Toc72068633"/>
      <w:r>
        <w:rPr>
          <w:rFonts w:hint="eastAsia" w:ascii="仿宋" w:hAnsi="仿宋" w:eastAsia="仿宋" w:cs="仿宋"/>
          <w:sz w:val="24"/>
          <w:szCs w:val="24"/>
        </w:rPr>
        <w:t>（13）《重点监管危险化学品名录》（2013 年完整版）；</w:t>
      </w:r>
      <w:bookmarkEnd w:id="30"/>
    </w:p>
    <w:p>
      <w:pPr>
        <w:pStyle w:val="73"/>
        <w:spacing w:after="0"/>
        <w:ind w:firstLine="480"/>
        <w:jc w:val="both"/>
        <w:rPr>
          <w:rFonts w:ascii="仿宋" w:hAnsi="仿宋" w:eastAsia="仿宋" w:cs="仿宋"/>
          <w:sz w:val="24"/>
          <w:szCs w:val="24"/>
        </w:rPr>
      </w:pPr>
      <w:r>
        <w:rPr>
          <w:rFonts w:hint="eastAsia" w:ascii="仿宋" w:hAnsi="仿宋" w:eastAsia="仿宋" w:cs="仿宋"/>
          <w:sz w:val="24"/>
          <w:szCs w:val="24"/>
        </w:rPr>
        <w:t>（14）《石油化工企业环境应急预案编制指南》（环办[2010]10号）；</w:t>
      </w:r>
    </w:p>
    <w:p>
      <w:pPr>
        <w:pStyle w:val="73"/>
        <w:spacing w:after="0"/>
        <w:ind w:firstLine="480"/>
        <w:jc w:val="both"/>
        <w:rPr>
          <w:rFonts w:ascii="仿宋" w:hAnsi="仿宋" w:eastAsia="仿宋" w:cs="仿宋"/>
          <w:sz w:val="24"/>
          <w:szCs w:val="24"/>
        </w:rPr>
      </w:pPr>
      <w:bookmarkStart w:id="31" w:name="_Toc72068634"/>
      <w:r>
        <w:rPr>
          <w:rFonts w:hint="eastAsia" w:ascii="仿宋" w:hAnsi="仿宋" w:eastAsia="仿宋" w:cs="仿宋"/>
          <w:sz w:val="24"/>
          <w:szCs w:val="24"/>
        </w:rPr>
        <w:t>（15）《中国石化环境风险评估指南（试行）》（2016年9月）；</w:t>
      </w:r>
      <w:bookmarkEnd w:id="31"/>
    </w:p>
    <w:p>
      <w:pPr>
        <w:pStyle w:val="73"/>
        <w:spacing w:after="0"/>
        <w:ind w:firstLine="480"/>
        <w:jc w:val="both"/>
        <w:rPr>
          <w:rFonts w:ascii="仿宋" w:hAnsi="仿宋" w:eastAsia="仿宋" w:cs="仿宋"/>
          <w:sz w:val="24"/>
          <w:szCs w:val="24"/>
        </w:rPr>
      </w:pPr>
      <w:r>
        <w:rPr>
          <w:rFonts w:hint="eastAsia" w:ascii="仿宋" w:hAnsi="仿宋" w:eastAsia="仿宋" w:cs="仿宋"/>
          <w:sz w:val="24"/>
          <w:szCs w:val="24"/>
        </w:rPr>
        <w:t>（16）《国家突发公共事件总体应急预案》（ 2006 年 1 月 8 日施行）；</w:t>
      </w:r>
    </w:p>
    <w:p>
      <w:pPr>
        <w:pStyle w:val="73"/>
        <w:spacing w:after="0"/>
        <w:ind w:firstLine="480"/>
        <w:jc w:val="both"/>
        <w:rPr>
          <w:rFonts w:ascii="仿宋" w:hAnsi="仿宋" w:eastAsia="仿宋" w:cs="仿宋"/>
          <w:sz w:val="24"/>
          <w:szCs w:val="24"/>
        </w:rPr>
      </w:pPr>
      <w:r>
        <w:rPr>
          <w:rFonts w:hint="eastAsia" w:ascii="仿宋" w:hAnsi="仿宋" w:eastAsia="仿宋" w:cs="仿宋"/>
          <w:sz w:val="24"/>
          <w:szCs w:val="24"/>
        </w:rPr>
        <w:t>（17）《企业事业单位突发环境事件应急预案评审工作指南（试行）》（环办应急[2018]8 号）；</w:t>
      </w:r>
    </w:p>
    <w:p>
      <w:pPr>
        <w:pStyle w:val="73"/>
        <w:spacing w:after="0"/>
        <w:ind w:firstLine="480"/>
        <w:jc w:val="both"/>
        <w:rPr>
          <w:rFonts w:ascii="仿宋" w:hAnsi="仿宋" w:eastAsia="仿宋" w:cs="仿宋"/>
          <w:sz w:val="24"/>
          <w:szCs w:val="24"/>
        </w:rPr>
      </w:pPr>
      <w:r>
        <w:rPr>
          <w:rFonts w:hint="eastAsia" w:ascii="仿宋" w:hAnsi="仿宋" w:eastAsia="仿宋" w:cs="仿宋"/>
          <w:sz w:val="24"/>
          <w:szCs w:val="24"/>
        </w:rPr>
        <w:t>（18） 《企业事业单位突发环境事件应急预案备案管理办法（试行）》（环境保护部文件，环发[2015]4 号）；</w:t>
      </w:r>
    </w:p>
    <w:p>
      <w:pPr>
        <w:pStyle w:val="73"/>
        <w:spacing w:after="0"/>
        <w:ind w:firstLine="480"/>
        <w:jc w:val="both"/>
        <w:rPr>
          <w:rFonts w:ascii="仿宋" w:hAnsi="仿宋" w:eastAsia="仿宋" w:cs="仿宋"/>
          <w:sz w:val="24"/>
          <w:szCs w:val="24"/>
        </w:rPr>
      </w:pPr>
      <w:r>
        <w:rPr>
          <w:rFonts w:hint="eastAsia" w:ascii="仿宋" w:hAnsi="仿宋" w:eastAsia="仿宋" w:cs="仿宋"/>
          <w:sz w:val="24"/>
          <w:szCs w:val="24"/>
        </w:rPr>
        <w:t>（19）《云南省人民政府突发公共事件总体应急预案》（云政发[2004]203 号，自 2004 年 11 月 12 日起施行）；</w:t>
      </w:r>
    </w:p>
    <w:p>
      <w:pPr>
        <w:pStyle w:val="73"/>
        <w:spacing w:after="0"/>
        <w:ind w:firstLine="480"/>
        <w:jc w:val="both"/>
        <w:rPr>
          <w:rFonts w:ascii="仿宋" w:hAnsi="仿宋" w:eastAsia="仿宋" w:cs="仿宋"/>
          <w:sz w:val="24"/>
          <w:szCs w:val="24"/>
        </w:rPr>
      </w:pPr>
      <w:r>
        <w:rPr>
          <w:rFonts w:hint="eastAsia" w:ascii="仿宋" w:hAnsi="仿宋" w:eastAsia="仿宋" w:cs="仿宋"/>
          <w:sz w:val="24"/>
          <w:szCs w:val="24"/>
        </w:rPr>
        <w:t>（20）《云南省环境保护厅关于转发企业事业单位突发环境事件应急预案备案管理办法的通知》(云环发〔2015〕39 号)；</w:t>
      </w:r>
    </w:p>
    <w:p>
      <w:pPr>
        <w:pStyle w:val="73"/>
        <w:spacing w:after="0"/>
        <w:ind w:firstLine="480"/>
        <w:jc w:val="both"/>
        <w:rPr>
          <w:rFonts w:ascii="仿宋" w:hAnsi="仿宋" w:eastAsia="仿宋" w:cs="仿宋"/>
          <w:sz w:val="24"/>
          <w:szCs w:val="24"/>
        </w:rPr>
      </w:pPr>
      <w:r>
        <w:rPr>
          <w:rFonts w:hint="eastAsia" w:ascii="仿宋" w:hAnsi="仿宋" w:eastAsia="仿宋" w:cs="仿宋"/>
          <w:sz w:val="24"/>
          <w:szCs w:val="24"/>
        </w:rPr>
        <w:t>（21）《云南省环境保护厅应急中心关于进一步加强全省企业事业单位突发环境事件应急预案管理的通知》(云环应发〔2013〕12 号)；</w:t>
      </w:r>
    </w:p>
    <w:p>
      <w:pPr>
        <w:pStyle w:val="73"/>
        <w:spacing w:after="0"/>
        <w:ind w:firstLine="480"/>
        <w:jc w:val="both"/>
        <w:rPr>
          <w:rFonts w:ascii="仿宋" w:hAnsi="仿宋" w:eastAsia="仿宋" w:cs="仿宋"/>
          <w:sz w:val="24"/>
          <w:szCs w:val="24"/>
        </w:rPr>
      </w:pPr>
      <w:bookmarkStart w:id="32" w:name="_Toc72068635"/>
      <w:r>
        <w:rPr>
          <w:rFonts w:hint="eastAsia" w:ascii="仿宋" w:hAnsi="仿宋" w:eastAsia="仿宋" w:cs="仿宋"/>
          <w:sz w:val="24"/>
          <w:szCs w:val="24"/>
        </w:rPr>
        <w:t>（22） 《突发环境事件应急预案管理暂行办法》(环发〔2010〕113 号)；</w:t>
      </w:r>
      <w:bookmarkEnd w:id="32"/>
    </w:p>
    <w:p>
      <w:pPr>
        <w:pStyle w:val="73"/>
        <w:spacing w:after="0"/>
        <w:ind w:firstLine="480"/>
        <w:jc w:val="both"/>
        <w:rPr>
          <w:rFonts w:ascii="仿宋" w:hAnsi="仿宋" w:eastAsia="仿宋" w:cs="仿宋"/>
          <w:sz w:val="24"/>
          <w:szCs w:val="24"/>
        </w:rPr>
      </w:pPr>
      <w:r>
        <w:rPr>
          <w:rFonts w:hint="eastAsia" w:ascii="仿宋" w:hAnsi="仿宋" w:eastAsia="仿宋" w:cs="仿宋"/>
          <w:sz w:val="24"/>
          <w:szCs w:val="24"/>
        </w:rPr>
        <w:t>（23） 《云南省环境保护厅关于贯彻实施突发环境事件应急预案管理办法的通知》（云环发[2011]50 号）；</w:t>
      </w:r>
    </w:p>
    <w:p>
      <w:pPr>
        <w:pStyle w:val="73"/>
        <w:spacing w:after="0"/>
        <w:ind w:firstLine="480"/>
        <w:jc w:val="both"/>
        <w:rPr>
          <w:rFonts w:ascii="仿宋" w:hAnsi="仿宋" w:eastAsia="仿宋" w:cs="仿宋"/>
          <w:sz w:val="24"/>
          <w:szCs w:val="24"/>
        </w:rPr>
      </w:pPr>
      <w:r>
        <w:rPr>
          <w:rFonts w:hint="eastAsia" w:ascii="仿宋" w:hAnsi="仿宋" w:eastAsia="仿宋" w:cs="仿宋"/>
          <w:sz w:val="24"/>
          <w:szCs w:val="24"/>
        </w:rPr>
        <w:t>（24）《化学品分类、警示标签和警示性说明安全规程》（GB20576-GB20602）；</w:t>
      </w:r>
    </w:p>
    <w:p>
      <w:pPr>
        <w:pStyle w:val="73"/>
        <w:spacing w:after="0"/>
        <w:ind w:firstLine="480"/>
        <w:jc w:val="both"/>
        <w:rPr>
          <w:rFonts w:ascii="仿宋" w:hAnsi="仿宋" w:eastAsia="仿宋" w:cs="仿宋"/>
          <w:sz w:val="24"/>
          <w:szCs w:val="24"/>
        </w:rPr>
      </w:pPr>
      <w:bookmarkStart w:id="33" w:name="_Toc72068636"/>
      <w:r>
        <w:rPr>
          <w:rFonts w:hint="eastAsia" w:ascii="仿宋" w:hAnsi="仿宋" w:eastAsia="仿宋" w:cs="仿宋"/>
          <w:sz w:val="24"/>
          <w:szCs w:val="24"/>
        </w:rPr>
        <w:t>（25）《突发环境事件应急监测技术规范》（HJ589-2010）；</w:t>
      </w:r>
      <w:bookmarkEnd w:id="33"/>
    </w:p>
    <w:p>
      <w:pPr>
        <w:pStyle w:val="73"/>
        <w:spacing w:after="0"/>
        <w:ind w:firstLine="480"/>
        <w:jc w:val="both"/>
        <w:rPr>
          <w:rFonts w:hint="eastAsia" w:ascii="仿宋" w:hAnsi="仿宋" w:eastAsia="仿宋" w:cs="仿宋"/>
          <w:sz w:val="24"/>
          <w:szCs w:val="24"/>
        </w:rPr>
      </w:pPr>
      <w:r>
        <w:rPr>
          <w:rFonts w:hint="eastAsia" w:ascii="仿宋" w:hAnsi="仿宋" w:eastAsia="仿宋" w:cs="仿宋"/>
          <w:sz w:val="24"/>
          <w:szCs w:val="24"/>
        </w:rPr>
        <w:t>（26）《国家突发环境事件应急预案》（国办函〔2014〕119 号）；</w:t>
      </w:r>
    </w:p>
    <w:p>
      <w:pPr>
        <w:pStyle w:val="73"/>
        <w:spacing w:after="0"/>
        <w:ind w:firstLine="480"/>
        <w:jc w:val="both"/>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27</w:t>
      </w:r>
      <w:r>
        <w:rPr>
          <w:rFonts w:hint="eastAsia" w:ascii="仿宋" w:hAnsi="仿宋" w:eastAsia="仿宋" w:cs="仿宋"/>
          <w:sz w:val="24"/>
          <w:szCs w:val="24"/>
        </w:rPr>
        <w:t>）《突发环境事件信息报告办法》（国家环境保护部第17号令，2011年5月1日起施行）；</w:t>
      </w:r>
    </w:p>
    <w:p>
      <w:pPr>
        <w:pStyle w:val="73"/>
        <w:spacing w:after="0"/>
        <w:ind w:firstLine="480"/>
        <w:jc w:val="both"/>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28</w:t>
      </w:r>
      <w:r>
        <w:rPr>
          <w:rFonts w:hint="eastAsia" w:ascii="仿宋" w:hAnsi="仿宋" w:eastAsia="仿宋" w:cs="仿宋"/>
          <w:sz w:val="24"/>
          <w:szCs w:val="24"/>
        </w:rPr>
        <w:t>）《突发环境事件调查处理办法》（国家环境保护部第32号令，2015年3月1日起施行）；</w:t>
      </w:r>
    </w:p>
    <w:p>
      <w:pPr>
        <w:pStyle w:val="73"/>
        <w:spacing w:after="0"/>
        <w:ind w:firstLine="480"/>
        <w:jc w:val="both"/>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29</w:t>
      </w:r>
      <w:r>
        <w:rPr>
          <w:rFonts w:hint="eastAsia" w:ascii="仿宋" w:hAnsi="仿宋" w:eastAsia="仿宋" w:cs="仿宋"/>
          <w:sz w:val="24"/>
          <w:szCs w:val="24"/>
        </w:rPr>
        <w:t>）《突发环境事件应急管理办法》（国家环境保护部第34号令，2015年6月5日起施行）；</w:t>
      </w:r>
    </w:p>
    <w:p>
      <w:pPr>
        <w:pStyle w:val="73"/>
        <w:spacing w:after="0"/>
        <w:ind w:firstLine="480"/>
        <w:jc w:val="both"/>
        <w:rPr>
          <w:rFonts w:hint="eastAsia" w:ascii="仿宋" w:hAnsi="仿宋" w:eastAsia="仿宋" w:cs="仿宋"/>
          <w:sz w:val="24"/>
          <w:szCs w:val="24"/>
          <w:lang w:eastAsia="zh-CN"/>
        </w:rPr>
      </w:pPr>
      <w:r>
        <w:rPr>
          <w:rFonts w:hint="eastAsia" w:ascii="仿宋" w:hAnsi="仿宋" w:eastAsia="仿宋" w:cs="仿宋"/>
          <w:sz w:val="24"/>
          <w:szCs w:val="24"/>
        </w:rPr>
        <w:t>（</w:t>
      </w:r>
      <w:r>
        <w:rPr>
          <w:rFonts w:hint="eastAsia" w:ascii="仿宋" w:hAnsi="仿宋" w:eastAsia="仿宋" w:cs="仿宋"/>
          <w:sz w:val="24"/>
          <w:szCs w:val="24"/>
          <w:lang w:val="en-US" w:eastAsia="zh-CN"/>
        </w:rPr>
        <w:t>30</w:t>
      </w:r>
      <w:r>
        <w:rPr>
          <w:rFonts w:hint="eastAsia" w:ascii="仿宋" w:hAnsi="仿宋" w:eastAsia="仿宋" w:cs="仿宋"/>
          <w:sz w:val="24"/>
          <w:szCs w:val="24"/>
        </w:rPr>
        <w:t>）《环境应急物资调查指南（试行）》的通知（环办应急[2019]17号）</w:t>
      </w:r>
      <w:r>
        <w:rPr>
          <w:rFonts w:hint="eastAsia" w:ascii="仿宋" w:hAnsi="仿宋" w:eastAsia="仿宋" w:cs="仿宋"/>
          <w:sz w:val="24"/>
          <w:szCs w:val="24"/>
          <w:lang w:val="en-US" w:eastAsia="zh-CN"/>
        </w:rPr>
        <w:t>；</w:t>
      </w:r>
    </w:p>
    <w:p>
      <w:pPr>
        <w:pStyle w:val="73"/>
        <w:spacing w:after="0"/>
        <w:ind w:firstLine="480"/>
        <w:jc w:val="both"/>
        <w:rPr>
          <w:rFonts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31</w:t>
      </w:r>
      <w:r>
        <w:rPr>
          <w:rFonts w:hint="eastAsia" w:ascii="仿宋" w:hAnsi="仿宋" w:eastAsia="仿宋" w:cs="仿宋"/>
          <w:sz w:val="24"/>
          <w:szCs w:val="24"/>
        </w:rPr>
        <w:t>）《文山州突发环境事件应急预案》（2020版）。</w:t>
      </w:r>
    </w:p>
    <w:p>
      <w:pPr>
        <w:pStyle w:val="7"/>
        <w:rPr>
          <w:rFonts w:eastAsia="仿宋_GB2312"/>
          <w:szCs w:val="28"/>
        </w:rPr>
      </w:pPr>
      <w:bookmarkStart w:id="34" w:name="_Toc74855953"/>
      <w:r>
        <w:rPr>
          <w:rFonts w:eastAsia="仿宋_GB2312"/>
          <w:szCs w:val="28"/>
        </w:rPr>
        <w:t>1.2.3相关资料</w:t>
      </w:r>
      <w:bookmarkEnd w:id="34"/>
    </w:p>
    <w:p>
      <w:pPr>
        <w:pStyle w:val="73"/>
        <w:spacing w:after="0"/>
        <w:ind w:firstLine="482"/>
        <w:rPr>
          <w:rFonts w:ascii="仿宋" w:hAnsi="仿宋" w:eastAsia="仿宋" w:cs="仿宋"/>
          <w:sz w:val="24"/>
          <w:szCs w:val="24"/>
          <w:lang w:bidi="zh-CN"/>
        </w:rPr>
      </w:pPr>
      <w:r>
        <w:rPr>
          <w:rFonts w:hint="eastAsia" w:ascii="仿宋" w:hAnsi="仿宋" w:eastAsia="仿宋" w:cs="仿宋"/>
          <w:sz w:val="24"/>
          <w:szCs w:val="24"/>
          <w:lang w:bidi="zh-CN"/>
        </w:rPr>
        <w:t>（1）《中国石化销售有限公司云南文山石油分公司西畴县金玉加油站项目环境影响报告表》（2007年6月）；</w:t>
      </w:r>
    </w:p>
    <w:p>
      <w:pPr>
        <w:pStyle w:val="73"/>
        <w:spacing w:after="0"/>
        <w:ind w:firstLine="482"/>
        <w:rPr>
          <w:rFonts w:ascii="仿宋" w:hAnsi="仿宋" w:eastAsia="仿宋" w:cs="仿宋"/>
          <w:sz w:val="24"/>
          <w:szCs w:val="24"/>
          <w:lang w:bidi="zh-CN"/>
        </w:rPr>
      </w:pPr>
      <w:r>
        <w:rPr>
          <w:rFonts w:hint="eastAsia" w:ascii="仿宋" w:hAnsi="仿宋" w:eastAsia="仿宋" w:cs="仿宋"/>
          <w:sz w:val="24"/>
          <w:szCs w:val="24"/>
          <w:lang w:bidi="zh-CN"/>
        </w:rPr>
        <w:t>（2）《中国石化销售有限公司云南文山石油分公司西畴县金玉加油站建设项目竣工环境保护验收意见》（2008年8月）。</w:t>
      </w:r>
    </w:p>
    <w:p>
      <w:pPr>
        <w:pStyle w:val="6"/>
        <w:rPr>
          <w:sz w:val="28"/>
          <w:szCs w:val="28"/>
        </w:rPr>
      </w:pPr>
      <w:bookmarkStart w:id="35" w:name="_Toc10579_WPSOffice_Level2"/>
      <w:bookmarkStart w:id="36" w:name="_Toc15610_WPSOffice_Level2"/>
      <w:bookmarkStart w:id="37" w:name="_Toc491785480"/>
      <w:bookmarkStart w:id="38" w:name="_Toc4951"/>
      <w:bookmarkStart w:id="39" w:name="_Toc24773_WPSOffice_Level2"/>
      <w:bookmarkStart w:id="40" w:name="_Toc12967"/>
      <w:r>
        <w:rPr>
          <w:sz w:val="28"/>
          <w:szCs w:val="28"/>
        </w:rPr>
        <w:t>1.3适用范围</w:t>
      </w:r>
      <w:bookmarkEnd w:id="29"/>
      <w:bookmarkEnd w:id="35"/>
      <w:bookmarkEnd w:id="36"/>
      <w:bookmarkEnd w:id="37"/>
      <w:bookmarkEnd w:id="38"/>
      <w:bookmarkEnd w:id="39"/>
      <w:bookmarkEnd w:id="40"/>
    </w:p>
    <w:p>
      <w:pPr>
        <w:widowControl w:val="0"/>
        <w:spacing w:line="360" w:lineRule="auto"/>
        <w:ind w:firstLine="480"/>
        <w:rPr>
          <w:rFonts w:ascii="仿宋" w:hAnsi="仿宋" w:eastAsia="仿宋" w:cs="仿宋"/>
          <w:sz w:val="24"/>
          <w:szCs w:val="24"/>
        </w:rPr>
      </w:pPr>
      <w:r>
        <w:rPr>
          <w:rFonts w:hint="eastAsia" w:ascii="仿宋" w:hAnsi="仿宋" w:eastAsia="仿宋" w:cs="仿宋"/>
          <w:sz w:val="24"/>
          <w:szCs w:val="24"/>
        </w:rPr>
        <w:t>本预案适用于中国石化销售股份有限公司云南文山石油分公司西畴县金玉加油站在运营过程中发生或可能发生突发环境事件的预警、报告、处置救援和应急终止等工作。</w:t>
      </w:r>
    </w:p>
    <w:p>
      <w:pPr>
        <w:pStyle w:val="6"/>
        <w:rPr>
          <w:sz w:val="28"/>
          <w:szCs w:val="28"/>
        </w:rPr>
      </w:pPr>
      <w:bookmarkStart w:id="41" w:name="_Toc8612"/>
      <w:bookmarkStart w:id="42" w:name="_Toc29904_WPSOffice_Level2"/>
      <w:bookmarkStart w:id="43" w:name="_Toc15241_WPSOffice_Level2"/>
      <w:bookmarkStart w:id="44" w:name="_Toc491785481"/>
      <w:bookmarkStart w:id="45" w:name="_Toc433795483"/>
      <w:bookmarkStart w:id="46" w:name="_Toc9268_WPSOffice_Level2"/>
      <w:bookmarkStart w:id="47" w:name="_Toc26484"/>
      <w:r>
        <w:rPr>
          <w:sz w:val="28"/>
          <w:szCs w:val="28"/>
        </w:rPr>
        <w:t>1.4应急预案体系</w:t>
      </w:r>
      <w:bookmarkEnd w:id="41"/>
      <w:bookmarkEnd w:id="42"/>
      <w:bookmarkEnd w:id="43"/>
      <w:bookmarkEnd w:id="44"/>
      <w:bookmarkEnd w:id="45"/>
      <w:bookmarkEnd w:id="46"/>
      <w:bookmarkEnd w:id="47"/>
    </w:p>
    <w:p>
      <w:pPr>
        <w:spacing w:after="0" w:line="360" w:lineRule="auto"/>
        <w:ind w:firstLine="480" w:firstLineChars="200"/>
        <w:rPr>
          <w:rFonts w:ascii="仿宋" w:hAnsi="仿宋" w:eastAsia="仿宋" w:cs="仿宋"/>
          <w:sz w:val="24"/>
          <w:szCs w:val="24"/>
        </w:rPr>
      </w:pPr>
      <w:bookmarkStart w:id="48" w:name="_Toc433795484"/>
      <w:bookmarkStart w:id="49" w:name="_Toc491785482"/>
      <w:r>
        <w:rPr>
          <w:rFonts w:hint="eastAsia" w:ascii="仿宋" w:hAnsi="仿宋" w:eastAsia="仿宋" w:cs="仿宋"/>
          <w:sz w:val="24"/>
          <w:szCs w:val="24"/>
        </w:rPr>
        <w:t>本预案为突发环境事件预案，主要是通过分析加油站内易导致环境事件的危险源与风险，建立预警机制，确定组织机构、人员配置、应急原则和应急措施，为应急处置提供依据和准备。</w:t>
      </w:r>
    </w:p>
    <w:p>
      <w:pPr>
        <w:spacing w:after="0" w:line="360" w:lineRule="auto"/>
        <w:ind w:firstLine="480" w:firstLineChars="200"/>
        <w:rPr>
          <w:rFonts w:ascii="仿宋" w:hAnsi="仿宋" w:eastAsia="仿宋" w:cs="仿宋"/>
          <w:sz w:val="24"/>
          <w:szCs w:val="24"/>
        </w:rPr>
      </w:pPr>
      <w:r>
        <w:rPr>
          <w:rFonts w:hint="eastAsia" w:ascii="仿宋" w:hAnsi="仿宋" w:eastAsia="仿宋" w:cs="仿宋"/>
          <w:sz w:val="24"/>
          <w:szCs w:val="24"/>
        </w:rPr>
        <w:t>本加油站建立了应急预案文件体系，文件体系主要包括突发环境事件应急预案、应急资源调查报告、风险评估报告三部分。</w:t>
      </w:r>
    </w:p>
    <w:p>
      <w:pPr>
        <w:spacing w:after="0" w:line="360" w:lineRule="auto"/>
        <w:ind w:firstLine="480" w:firstLineChars="200"/>
        <w:rPr>
          <w:rFonts w:ascii="仿宋" w:hAnsi="仿宋" w:eastAsia="仿宋" w:cs="仿宋"/>
          <w:sz w:val="24"/>
          <w:szCs w:val="24"/>
        </w:rPr>
      </w:pPr>
      <w:r>
        <w:rPr>
          <w:rFonts w:hint="eastAsia" w:ascii="仿宋" w:hAnsi="仿宋" w:eastAsia="仿宋" w:cs="仿宋"/>
          <w:sz w:val="24"/>
          <w:szCs w:val="24"/>
        </w:rPr>
        <w:t>（1）突发环境事件应急预案</w:t>
      </w:r>
    </w:p>
    <w:p>
      <w:pPr>
        <w:spacing w:after="0" w:line="360" w:lineRule="auto"/>
        <w:ind w:firstLine="480" w:firstLineChars="200"/>
        <w:rPr>
          <w:rFonts w:ascii="仿宋" w:hAnsi="仿宋" w:eastAsia="仿宋" w:cs="仿宋"/>
          <w:sz w:val="24"/>
          <w:szCs w:val="24"/>
        </w:rPr>
      </w:pPr>
      <w:r>
        <w:rPr>
          <w:rFonts w:hint="eastAsia" w:ascii="仿宋" w:hAnsi="仿宋" w:eastAsia="仿宋" w:cs="仿宋"/>
          <w:sz w:val="24"/>
          <w:szCs w:val="24"/>
        </w:rPr>
        <w:t>本加油站应急预案是针对各类突发环境事件从总体上阐述了公司基本概况、所涉及的风险源及环境风险评价、组织机构及职责、预防预警、相关信息及通报、应急响应与措施、后期处置、保障措施、培训与演练、备案实施及附件（包括加油站地理位置图、平面布置图、周边环境关系图、应急救援及疏散路线示意图、环境风险源示意图）等，是应对公司突发的各类环境事件的综合性文件。</w:t>
      </w:r>
    </w:p>
    <w:p>
      <w:pPr>
        <w:spacing w:after="0" w:line="360" w:lineRule="auto"/>
        <w:ind w:firstLine="480" w:firstLineChars="200"/>
        <w:rPr>
          <w:rFonts w:ascii="仿宋" w:hAnsi="仿宋" w:eastAsia="仿宋" w:cs="仿宋"/>
          <w:sz w:val="24"/>
          <w:szCs w:val="24"/>
        </w:rPr>
      </w:pPr>
      <w:r>
        <w:rPr>
          <w:rFonts w:hint="eastAsia" w:ascii="仿宋" w:hAnsi="仿宋" w:eastAsia="仿宋" w:cs="仿宋"/>
          <w:sz w:val="24"/>
          <w:szCs w:val="24"/>
        </w:rPr>
        <w:t>（2）应急资源调查报告</w:t>
      </w:r>
    </w:p>
    <w:p>
      <w:pPr>
        <w:spacing w:after="0" w:line="360" w:lineRule="auto"/>
        <w:ind w:firstLine="480" w:firstLineChars="200"/>
        <w:rPr>
          <w:rFonts w:ascii="仿宋" w:hAnsi="仿宋" w:eastAsia="仿宋" w:cs="仿宋"/>
          <w:sz w:val="24"/>
          <w:szCs w:val="24"/>
        </w:rPr>
      </w:pPr>
      <w:r>
        <w:rPr>
          <w:rFonts w:hint="eastAsia" w:ascii="仿宋" w:hAnsi="仿宋" w:eastAsia="仿宋" w:cs="仿宋"/>
          <w:sz w:val="24"/>
          <w:szCs w:val="24"/>
        </w:rPr>
        <w:t>从公司的人力、物力、财力及周围资源、政府资源等综合的多方面调查了应急资源，保障在突发环境事件发生时能够有效的开展和救援，为应急救援提供多方面的应急资源，保障应急救援的有效进行。</w:t>
      </w:r>
    </w:p>
    <w:p>
      <w:pPr>
        <w:spacing w:after="0" w:line="360" w:lineRule="auto"/>
        <w:ind w:firstLine="480" w:firstLineChars="200"/>
        <w:rPr>
          <w:rFonts w:ascii="仿宋" w:hAnsi="仿宋" w:eastAsia="仿宋" w:cs="仿宋"/>
          <w:sz w:val="24"/>
          <w:szCs w:val="24"/>
        </w:rPr>
      </w:pPr>
      <w:r>
        <w:rPr>
          <w:rFonts w:hint="eastAsia" w:ascii="仿宋" w:hAnsi="仿宋" w:eastAsia="仿宋" w:cs="仿宋"/>
          <w:sz w:val="24"/>
          <w:szCs w:val="24"/>
        </w:rPr>
        <w:t>（3）风险评估报告</w:t>
      </w:r>
    </w:p>
    <w:p>
      <w:pPr>
        <w:spacing w:after="0" w:line="360" w:lineRule="auto"/>
        <w:ind w:firstLine="480" w:firstLineChars="200"/>
        <w:rPr>
          <w:rFonts w:ascii="仿宋" w:hAnsi="仿宋" w:eastAsia="仿宋" w:cs="仿宋"/>
          <w:sz w:val="24"/>
          <w:szCs w:val="24"/>
        </w:rPr>
      </w:pPr>
      <w:r>
        <w:rPr>
          <w:rFonts w:hint="eastAsia" w:ascii="仿宋" w:hAnsi="仿宋" w:eastAsia="仿宋" w:cs="仿宋"/>
          <w:sz w:val="24"/>
          <w:szCs w:val="24"/>
        </w:rPr>
        <w:t>针对突发事件特点，识别事件的危害因素，分析事件可能产生的直接后果以及次性、衍生后果，评估各种后果的危害程度，提出控制风险、治理隐患的措施。</w:t>
      </w:r>
    </w:p>
    <w:p>
      <w:pPr>
        <w:pStyle w:val="6"/>
      </w:pPr>
      <w:bookmarkStart w:id="50" w:name="_Toc12905_WPSOffice_Level2"/>
      <w:bookmarkStart w:id="51" w:name="_Toc1532_WPSOffice_Level2"/>
      <w:bookmarkStart w:id="52" w:name="_Toc9967"/>
      <w:bookmarkStart w:id="53" w:name="_Toc1763_WPSOffice_Level2"/>
      <w:bookmarkStart w:id="54" w:name="_Toc15441"/>
      <w:r>
        <w:t>1.5应急工作原则</w:t>
      </w:r>
      <w:bookmarkEnd w:id="48"/>
      <w:bookmarkEnd w:id="49"/>
      <w:bookmarkEnd w:id="50"/>
      <w:bookmarkEnd w:id="51"/>
      <w:bookmarkEnd w:id="52"/>
      <w:bookmarkEnd w:id="53"/>
      <w:bookmarkEnd w:id="54"/>
    </w:p>
    <w:p>
      <w:pPr>
        <w:spacing w:after="0" w:line="360" w:lineRule="auto"/>
        <w:ind w:firstLine="480" w:firstLineChars="200"/>
        <w:rPr>
          <w:rFonts w:ascii="仿宋" w:hAnsi="仿宋" w:eastAsia="仿宋" w:cs="仿宋"/>
          <w:sz w:val="24"/>
          <w:szCs w:val="24"/>
        </w:rPr>
      </w:pPr>
      <w:bookmarkStart w:id="55" w:name="_Toc9329_WPSOffice_Level2"/>
      <w:bookmarkStart w:id="56" w:name="_Toc28702_WPSOffice_Level2"/>
      <w:bookmarkStart w:id="57" w:name="_Toc421095319"/>
      <w:bookmarkStart w:id="58" w:name="_Toc28919"/>
      <w:bookmarkStart w:id="59" w:name="_Toc426010323"/>
      <w:bookmarkStart w:id="60" w:name="_Toc433795485"/>
      <w:bookmarkStart w:id="61" w:name="_Toc491785483"/>
      <w:bookmarkStart w:id="62" w:name="_Toc31509_WPSOffice_Level2"/>
      <w:r>
        <w:rPr>
          <w:rFonts w:hint="eastAsia" w:ascii="仿宋" w:hAnsi="仿宋" w:eastAsia="仿宋" w:cs="仿宋"/>
          <w:sz w:val="24"/>
          <w:szCs w:val="24"/>
        </w:rPr>
        <w:t>加油站在建立突发性环境污染事故应急系统及其响应程序时，应本着实事求是、切实可行的方针，贯彻如下原则：</w:t>
      </w:r>
    </w:p>
    <w:p>
      <w:pPr>
        <w:spacing w:after="0" w:line="360" w:lineRule="auto"/>
        <w:ind w:firstLine="480" w:firstLineChars="200"/>
        <w:rPr>
          <w:rFonts w:ascii="仿宋" w:hAnsi="仿宋" w:eastAsia="仿宋" w:cs="仿宋"/>
          <w:sz w:val="24"/>
          <w:szCs w:val="24"/>
        </w:rPr>
      </w:pPr>
      <w:bookmarkStart w:id="63" w:name="_Toc23466_WPSOffice_Level2"/>
      <w:bookmarkStart w:id="64" w:name="_Toc522025624"/>
      <w:r>
        <w:rPr>
          <w:rFonts w:hint="eastAsia" w:ascii="仿宋" w:hAnsi="仿宋" w:eastAsia="仿宋" w:cs="仿宋"/>
          <w:sz w:val="24"/>
          <w:szCs w:val="24"/>
        </w:rPr>
        <w:t>（1）救人第一、环境优先</w:t>
      </w:r>
      <w:bookmarkEnd w:id="63"/>
    </w:p>
    <w:p>
      <w:pPr>
        <w:spacing w:after="0" w:line="360" w:lineRule="auto"/>
        <w:ind w:firstLine="480" w:firstLineChars="200"/>
        <w:rPr>
          <w:rFonts w:ascii="仿宋" w:hAnsi="仿宋" w:eastAsia="仿宋" w:cs="仿宋"/>
          <w:sz w:val="24"/>
          <w:szCs w:val="24"/>
        </w:rPr>
      </w:pPr>
      <w:r>
        <w:rPr>
          <w:rFonts w:hint="eastAsia" w:ascii="仿宋" w:hAnsi="仿宋" w:eastAsia="仿宋" w:cs="仿宋"/>
          <w:sz w:val="24"/>
          <w:szCs w:val="24"/>
        </w:rPr>
        <w:t>以保障员工和周边群众的生命安全和身体健康为原则，加强应急救援人员的安全防护，把最大程度地预防和减少安全生产事故灾难造成的人员伤亡作为首要任务。提高突发环境事件防范和处理能力，尽可能地避免或减少突发环境事件的发生，最大限度的减少突发环境事件造成的影响。</w:t>
      </w:r>
    </w:p>
    <w:p>
      <w:pPr>
        <w:spacing w:after="0" w:line="360" w:lineRule="auto"/>
        <w:ind w:firstLine="480" w:firstLineChars="200"/>
        <w:rPr>
          <w:rFonts w:ascii="仿宋" w:hAnsi="仿宋" w:eastAsia="仿宋" w:cs="仿宋"/>
          <w:sz w:val="24"/>
          <w:szCs w:val="24"/>
        </w:rPr>
      </w:pPr>
      <w:bookmarkStart w:id="65" w:name="_Toc8427_WPSOffice_Level2"/>
      <w:r>
        <w:rPr>
          <w:rFonts w:hint="eastAsia" w:ascii="仿宋" w:hAnsi="仿宋" w:eastAsia="仿宋" w:cs="仿宋"/>
          <w:sz w:val="24"/>
          <w:szCs w:val="24"/>
        </w:rPr>
        <w:t>（2）先期处置、防止危害扩大</w:t>
      </w:r>
      <w:bookmarkEnd w:id="65"/>
    </w:p>
    <w:p>
      <w:pPr>
        <w:spacing w:after="0" w:line="360" w:lineRule="auto"/>
        <w:ind w:firstLine="480" w:firstLineChars="200"/>
        <w:rPr>
          <w:rFonts w:ascii="仿宋" w:hAnsi="仿宋" w:eastAsia="仿宋" w:cs="仿宋"/>
          <w:sz w:val="24"/>
          <w:szCs w:val="24"/>
        </w:rPr>
      </w:pPr>
      <w:r>
        <w:rPr>
          <w:rFonts w:hint="eastAsia" w:ascii="仿宋" w:hAnsi="仿宋" w:eastAsia="仿宋" w:cs="仿宋"/>
          <w:sz w:val="24"/>
          <w:szCs w:val="24"/>
        </w:rPr>
        <w:t>加强对突发环境事件监测、监控并实施监督管理，建立环境污染和生态破坏事故风险防范体系，积极预防、及时控制、消除隐患，提高突发环境事件防范和处理能力，尽可能地避免或减少突发环境事件的发生，消除或减轻突发环境事件造成的中长期影响。接受并切实履行政府环保部门的领导和指示，确定突发环境事件级别并及时启动相应应急方案，充分发挥各应急部门专业优势，采取措施与突发环境事件造成的危害范围和社会影响相适应，防止危害扩大。</w:t>
      </w:r>
    </w:p>
    <w:p>
      <w:pPr>
        <w:spacing w:after="0" w:line="360" w:lineRule="auto"/>
        <w:ind w:firstLine="480" w:firstLineChars="200"/>
        <w:rPr>
          <w:rFonts w:ascii="仿宋" w:hAnsi="仿宋" w:eastAsia="仿宋" w:cs="仿宋"/>
          <w:sz w:val="24"/>
          <w:szCs w:val="24"/>
        </w:rPr>
      </w:pPr>
      <w:bookmarkStart w:id="66" w:name="_Toc15773_WPSOffice_Level2"/>
      <w:r>
        <w:rPr>
          <w:rFonts w:hint="eastAsia" w:ascii="仿宋" w:hAnsi="仿宋" w:eastAsia="仿宋" w:cs="仿宋"/>
          <w:sz w:val="24"/>
          <w:szCs w:val="24"/>
        </w:rPr>
        <w:t>（3）快速响应、科学应对</w:t>
      </w:r>
      <w:bookmarkEnd w:id="66"/>
    </w:p>
    <w:p>
      <w:pPr>
        <w:spacing w:after="0" w:line="360" w:lineRule="auto"/>
        <w:ind w:firstLine="480" w:firstLineChars="200"/>
        <w:rPr>
          <w:rFonts w:ascii="仿宋" w:hAnsi="仿宋" w:eastAsia="仿宋" w:cs="仿宋"/>
          <w:sz w:val="24"/>
          <w:szCs w:val="24"/>
        </w:rPr>
      </w:pPr>
      <w:r>
        <w:rPr>
          <w:rFonts w:hint="eastAsia" w:ascii="仿宋" w:hAnsi="仿宋" w:eastAsia="仿宋" w:cs="仿宋"/>
          <w:sz w:val="24"/>
          <w:szCs w:val="24"/>
        </w:rPr>
        <w:t>针对不同污染源所造成的环境污染、生态污染的特点，实行分类管理，充分发挥各专业应急指挥机构和应急救援分队的作用，加强企业各部门之间协同与合作，提高快速反应能力。加强环境安全科技投入，采用先进的监测、预测、预警、预防和环境应急处置技术及设施，充分发挥专家队伍和专业人员的作用，提高应对突发环境事件的科学技术水平和指挥能力。</w:t>
      </w:r>
    </w:p>
    <w:p>
      <w:pPr>
        <w:spacing w:after="0" w:line="360" w:lineRule="auto"/>
        <w:ind w:firstLine="480" w:firstLineChars="200"/>
        <w:rPr>
          <w:rFonts w:ascii="仿宋" w:hAnsi="仿宋" w:eastAsia="仿宋" w:cs="仿宋"/>
          <w:sz w:val="24"/>
          <w:szCs w:val="24"/>
        </w:rPr>
      </w:pPr>
      <w:bookmarkStart w:id="67" w:name="_Toc22551_WPSOffice_Level2"/>
      <w:bookmarkStart w:id="68" w:name="_Toc18239"/>
      <w:r>
        <w:rPr>
          <w:rFonts w:hint="eastAsia" w:ascii="仿宋" w:hAnsi="仿宋" w:eastAsia="仿宋" w:cs="仿宋"/>
          <w:sz w:val="24"/>
          <w:szCs w:val="24"/>
        </w:rPr>
        <w:t>（4）应急工作与岗位职责相结合</w:t>
      </w:r>
      <w:bookmarkEnd w:id="67"/>
    </w:p>
    <w:p>
      <w:pPr>
        <w:spacing w:after="0" w:line="360" w:lineRule="auto"/>
        <w:ind w:firstLine="480" w:firstLineChars="200"/>
        <w:rPr>
          <w:rFonts w:ascii="仿宋" w:hAnsi="仿宋" w:eastAsia="仿宋" w:cs="仿宋"/>
          <w:sz w:val="24"/>
          <w:szCs w:val="24"/>
        </w:rPr>
      </w:pPr>
      <w:r>
        <w:rPr>
          <w:rFonts w:hint="eastAsia" w:ascii="仿宋" w:hAnsi="仿宋" w:eastAsia="仿宋" w:cs="仿宋"/>
          <w:sz w:val="24"/>
          <w:szCs w:val="24"/>
        </w:rPr>
        <w:t>应急工作既要与公司日常行政管理、生产管理、安全管理、环境管理、消防管理和突发事故管理协调一致，又要在应急工作时全面调动公司内部各职务部门的力量，分级、分部门负责，相互配合协同应对，并与岗位职责相结合。</w:t>
      </w:r>
    </w:p>
    <w:bookmarkEnd w:id="64"/>
    <w:bookmarkEnd w:id="68"/>
    <w:p>
      <w:pPr>
        <w:pStyle w:val="6"/>
        <w:rPr>
          <w:sz w:val="28"/>
          <w:szCs w:val="28"/>
        </w:rPr>
      </w:pPr>
      <w:bookmarkStart w:id="69" w:name="_Toc18189"/>
      <w:r>
        <w:rPr>
          <w:sz w:val="28"/>
          <w:szCs w:val="28"/>
        </w:rPr>
        <w:t>1.6突发环境事件级别</w:t>
      </w:r>
      <w:bookmarkEnd w:id="55"/>
      <w:bookmarkEnd w:id="56"/>
      <w:bookmarkEnd w:id="57"/>
      <w:bookmarkEnd w:id="58"/>
      <w:bookmarkEnd w:id="59"/>
      <w:bookmarkEnd w:id="60"/>
      <w:bookmarkEnd w:id="61"/>
      <w:bookmarkEnd w:id="62"/>
      <w:bookmarkEnd w:id="69"/>
    </w:p>
    <w:p>
      <w:pPr>
        <w:spacing w:after="0" w:line="360" w:lineRule="auto"/>
        <w:ind w:firstLine="480" w:firstLineChars="200"/>
        <w:rPr>
          <w:rFonts w:ascii="仿宋" w:hAnsi="仿宋" w:eastAsia="仿宋" w:cs="仿宋"/>
          <w:sz w:val="24"/>
          <w:szCs w:val="24"/>
        </w:rPr>
      </w:pPr>
      <w:bookmarkStart w:id="70" w:name="_Toc16824_WPSOffice_Level2"/>
      <w:bookmarkStart w:id="71" w:name="_Toc17872_WPSOffice_Level2"/>
      <w:bookmarkStart w:id="72" w:name="_Toc18221_WPSOffice_Level2"/>
      <w:r>
        <w:rPr>
          <w:rFonts w:hint="eastAsia" w:ascii="仿宋" w:hAnsi="仿宋" w:eastAsia="仿宋" w:cs="仿宋"/>
          <w:sz w:val="24"/>
          <w:szCs w:val="24"/>
        </w:rPr>
        <w:t>根据《国家突发环境事件应急预案》（国办函〔2014〕119号），按照突发事件严重性和紧急程度，突发环境事件分为特别重大（Ⅰ级）、重大（Ⅱ级）、较大（Ⅲ级）、一般（Ⅳ级）四级。</w:t>
      </w:r>
    </w:p>
    <w:p>
      <w:pPr>
        <w:spacing w:after="0" w:line="360" w:lineRule="auto"/>
        <w:ind w:firstLine="480" w:firstLineChars="200"/>
        <w:rPr>
          <w:rFonts w:ascii="仿宋" w:hAnsi="仿宋" w:eastAsia="仿宋" w:cs="仿宋"/>
          <w:sz w:val="24"/>
          <w:szCs w:val="24"/>
        </w:rPr>
      </w:pPr>
      <w:bookmarkStart w:id="73" w:name="_Toc30701_WPSOffice_Level2"/>
      <w:r>
        <w:rPr>
          <w:rFonts w:hint="eastAsia" w:ascii="仿宋" w:hAnsi="仿宋" w:eastAsia="仿宋" w:cs="仿宋"/>
          <w:sz w:val="24"/>
          <w:szCs w:val="24"/>
        </w:rPr>
        <w:t>1、特别重大（Ⅰ级）突发环境事件</w:t>
      </w:r>
      <w:bookmarkEnd w:id="73"/>
    </w:p>
    <w:p>
      <w:pPr>
        <w:spacing w:after="0" w:line="360" w:lineRule="auto"/>
        <w:ind w:firstLine="480" w:firstLineChars="200"/>
        <w:rPr>
          <w:rFonts w:ascii="仿宋" w:hAnsi="仿宋" w:eastAsia="仿宋" w:cs="仿宋"/>
          <w:sz w:val="24"/>
          <w:szCs w:val="24"/>
        </w:rPr>
      </w:pPr>
      <w:r>
        <w:rPr>
          <w:rFonts w:hint="eastAsia" w:ascii="仿宋" w:hAnsi="仿宋" w:eastAsia="仿宋" w:cs="仿宋"/>
          <w:sz w:val="24"/>
          <w:szCs w:val="24"/>
        </w:rPr>
        <w:t>凡符合下列情形之一的，为特别重大突发环境事件：</w:t>
      </w:r>
    </w:p>
    <w:p>
      <w:pPr>
        <w:spacing w:after="0" w:line="360" w:lineRule="auto"/>
        <w:ind w:firstLine="480" w:firstLineChars="200"/>
        <w:rPr>
          <w:rFonts w:ascii="仿宋" w:hAnsi="仿宋" w:eastAsia="仿宋" w:cs="仿宋"/>
          <w:sz w:val="24"/>
          <w:szCs w:val="24"/>
        </w:rPr>
      </w:pPr>
      <w:r>
        <w:rPr>
          <w:rFonts w:hint="eastAsia" w:ascii="仿宋" w:hAnsi="仿宋" w:eastAsia="仿宋" w:cs="仿宋"/>
          <w:sz w:val="24"/>
          <w:szCs w:val="24"/>
        </w:rPr>
        <w:t>（1）因环境污染直接导致30人以上死亡或100人以上中毒或重伤的；</w:t>
      </w:r>
    </w:p>
    <w:p>
      <w:pPr>
        <w:spacing w:after="0" w:line="360" w:lineRule="auto"/>
        <w:ind w:firstLine="480" w:firstLineChars="200"/>
        <w:rPr>
          <w:rFonts w:ascii="仿宋" w:hAnsi="仿宋" w:eastAsia="仿宋" w:cs="仿宋"/>
          <w:sz w:val="24"/>
          <w:szCs w:val="24"/>
        </w:rPr>
      </w:pPr>
      <w:r>
        <w:rPr>
          <w:rFonts w:hint="eastAsia" w:ascii="仿宋" w:hAnsi="仿宋" w:eastAsia="仿宋" w:cs="仿宋"/>
          <w:sz w:val="24"/>
          <w:szCs w:val="24"/>
        </w:rPr>
        <w:t>（2）因环境污染疏散、转移人员5万人以上的；</w:t>
      </w:r>
    </w:p>
    <w:p>
      <w:pPr>
        <w:spacing w:after="0" w:line="360" w:lineRule="auto"/>
        <w:ind w:firstLine="480" w:firstLineChars="200"/>
        <w:rPr>
          <w:rFonts w:ascii="仿宋" w:hAnsi="仿宋" w:eastAsia="仿宋" w:cs="仿宋"/>
          <w:sz w:val="24"/>
          <w:szCs w:val="24"/>
        </w:rPr>
      </w:pPr>
      <w:r>
        <w:rPr>
          <w:rFonts w:hint="eastAsia" w:ascii="仿宋" w:hAnsi="仿宋" w:eastAsia="仿宋" w:cs="仿宋"/>
          <w:sz w:val="24"/>
          <w:szCs w:val="24"/>
        </w:rPr>
        <w:t>（3）因环境污染造成直接经济损失1亿元以上的；</w:t>
      </w:r>
    </w:p>
    <w:p>
      <w:pPr>
        <w:spacing w:after="0" w:line="360" w:lineRule="auto"/>
        <w:ind w:firstLine="480" w:firstLineChars="200"/>
        <w:rPr>
          <w:rFonts w:ascii="仿宋" w:hAnsi="仿宋" w:eastAsia="仿宋" w:cs="仿宋"/>
          <w:sz w:val="24"/>
          <w:szCs w:val="24"/>
        </w:rPr>
      </w:pPr>
      <w:r>
        <w:rPr>
          <w:rFonts w:hint="eastAsia" w:ascii="仿宋" w:hAnsi="仿宋" w:eastAsia="仿宋" w:cs="仿宋"/>
          <w:sz w:val="24"/>
          <w:szCs w:val="24"/>
        </w:rPr>
        <w:t>（4）因环境污染造成区域生态功能丧失或该区域国家重点保护物种灭绝；</w:t>
      </w:r>
    </w:p>
    <w:p>
      <w:pPr>
        <w:spacing w:after="0" w:line="360" w:lineRule="auto"/>
        <w:ind w:firstLine="480" w:firstLineChars="200"/>
        <w:rPr>
          <w:rFonts w:ascii="仿宋" w:hAnsi="仿宋" w:eastAsia="仿宋" w:cs="仿宋"/>
          <w:sz w:val="24"/>
          <w:szCs w:val="24"/>
        </w:rPr>
      </w:pPr>
      <w:bookmarkStart w:id="74" w:name="_Toc528530284"/>
      <w:bookmarkStart w:id="75" w:name="_Toc531421938"/>
      <w:r>
        <w:rPr>
          <w:rFonts w:hint="eastAsia" w:ascii="仿宋" w:hAnsi="仿宋" w:eastAsia="仿宋" w:cs="仿宋"/>
          <w:sz w:val="24"/>
          <w:szCs w:val="24"/>
        </w:rPr>
        <w:t>（5）因环境污染造成设区的市级以上城市集中式饮用水水源地取水中断；</w:t>
      </w:r>
      <w:bookmarkEnd w:id="74"/>
      <w:bookmarkEnd w:id="75"/>
    </w:p>
    <w:p>
      <w:pPr>
        <w:spacing w:after="0" w:line="360" w:lineRule="auto"/>
        <w:ind w:firstLine="480" w:firstLineChars="200"/>
        <w:rPr>
          <w:rFonts w:ascii="仿宋" w:hAnsi="仿宋" w:eastAsia="仿宋" w:cs="仿宋"/>
          <w:sz w:val="24"/>
          <w:szCs w:val="24"/>
        </w:rPr>
      </w:pPr>
      <w:r>
        <w:rPr>
          <w:rFonts w:hint="eastAsia" w:ascii="仿宋" w:hAnsi="仿宋" w:eastAsia="仿宋" w:cs="仿宋"/>
          <w:sz w:val="24"/>
          <w:szCs w:val="24"/>
        </w:rPr>
        <w:t>（6）Ⅰ、Ⅱ类放射源丢失、被盗、失控并造成大范围严重辐射污染后果的；放射性同位素和射线装置失控导致3人以上急性死亡的；放射性物质泄漏，造成大范围辐射污染后果的；</w:t>
      </w:r>
    </w:p>
    <w:p>
      <w:pPr>
        <w:spacing w:after="0" w:line="360" w:lineRule="auto"/>
        <w:ind w:firstLine="480" w:firstLineChars="200"/>
        <w:rPr>
          <w:rFonts w:ascii="仿宋" w:hAnsi="仿宋" w:eastAsia="仿宋" w:cs="仿宋"/>
          <w:sz w:val="24"/>
          <w:szCs w:val="24"/>
        </w:rPr>
      </w:pPr>
      <w:r>
        <w:rPr>
          <w:rFonts w:hint="eastAsia" w:ascii="仿宋" w:hAnsi="仿宋" w:eastAsia="仿宋" w:cs="仿宋"/>
          <w:sz w:val="24"/>
          <w:szCs w:val="24"/>
        </w:rPr>
        <w:t>（7）造成重大跨国境影响的境内突发环境事件。</w:t>
      </w:r>
    </w:p>
    <w:p>
      <w:pPr>
        <w:spacing w:after="0" w:line="360" w:lineRule="auto"/>
        <w:ind w:firstLine="480" w:firstLineChars="200"/>
        <w:rPr>
          <w:rFonts w:ascii="仿宋" w:hAnsi="仿宋" w:eastAsia="仿宋" w:cs="仿宋"/>
          <w:sz w:val="24"/>
          <w:szCs w:val="24"/>
        </w:rPr>
      </w:pPr>
      <w:bookmarkStart w:id="76" w:name="_Toc469_WPSOffice_Level2"/>
      <w:r>
        <w:rPr>
          <w:rFonts w:hint="eastAsia" w:ascii="仿宋" w:hAnsi="仿宋" w:eastAsia="仿宋" w:cs="仿宋"/>
          <w:sz w:val="24"/>
          <w:szCs w:val="24"/>
        </w:rPr>
        <w:t>2、重大（Ⅱ级）突发环境事件</w:t>
      </w:r>
      <w:bookmarkEnd w:id="76"/>
    </w:p>
    <w:p>
      <w:pPr>
        <w:spacing w:after="0" w:line="360" w:lineRule="auto"/>
        <w:ind w:firstLine="480" w:firstLineChars="200"/>
        <w:rPr>
          <w:rFonts w:ascii="仿宋" w:hAnsi="仿宋" w:eastAsia="仿宋" w:cs="仿宋"/>
          <w:sz w:val="24"/>
          <w:szCs w:val="24"/>
        </w:rPr>
      </w:pPr>
      <w:r>
        <w:rPr>
          <w:rFonts w:hint="eastAsia" w:ascii="仿宋" w:hAnsi="仿宋" w:eastAsia="仿宋" w:cs="仿宋"/>
          <w:sz w:val="24"/>
          <w:szCs w:val="24"/>
        </w:rPr>
        <w:t>凡符合下列情形之一的，为重大突发环境事件：</w:t>
      </w:r>
    </w:p>
    <w:p>
      <w:pPr>
        <w:spacing w:after="0" w:line="360" w:lineRule="auto"/>
        <w:ind w:firstLine="480" w:firstLineChars="200"/>
        <w:rPr>
          <w:rFonts w:ascii="仿宋" w:hAnsi="仿宋" w:eastAsia="仿宋" w:cs="仿宋"/>
          <w:sz w:val="24"/>
          <w:szCs w:val="24"/>
        </w:rPr>
      </w:pPr>
      <w:r>
        <w:rPr>
          <w:rFonts w:hint="eastAsia" w:ascii="仿宋" w:hAnsi="仿宋" w:eastAsia="仿宋" w:cs="仿宋"/>
          <w:sz w:val="24"/>
          <w:szCs w:val="24"/>
        </w:rPr>
        <w:t>（1）因环境污染直接导致10人以上30人以下死亡或50人以上100人以下中毒或重伤的；</w:t>
      </w:r>
    </w:p>
    <w:p>
      <w:pPr>
        <w:spacing w:after="0" w:line="360" w:lineRule="auto"/>
        <w:ind w:firstLine="480" w:firstLineChars="200"/>
        <w:rPr>
          <w:rFonts w:ascii="仿宋" w:hAnsi="仿宋" w:eastAsia="仿宋" w:cs="仿宋"/>
          <w:sz w:val="24"/>
          <w:szCs w:val="24"/>
        </w:rPr>
      </w:pPr>
      <w:bookmarkStart w:id="77" w:name="_Toc531421939"/>
      <w:bookmarkStart w:id="78" w:name="_Toc528530285"/>
      <w:r>
        <w:rPr>
          <w:rFonts w:hint="eastAsia" w:ascii="仿宋" w:hAnsi="仿宋" w:eastAsia="仿宋" w:cs="仿宋"/>
          <w:sz w:val="24"/>
          <w:szCs w:val="24"/>
        </w:rPr>
        <w:t>（2）因环境污染疏散、转移人员1万人以上5万人以下的；</w:t>
      </w:r>
      <w:bookmarkEnd w:id="77"/>
      <w:bookmarkEnd w:id="78"/>
    </w:p>
    <w:p>
      <w:pPr>
        <w:spacing w:after="0" w:line="360" w:lineRule="auto"/>
        <w:ind w:firstLine="480" w:firstLineChars="200"/>
        <w:rPr>
          <w:rFonts w:ascii="仿宋" w:hAnsi="仿宋" w:eastAsia="仿宋" w:cs="仿宋"/>
          <w:sz w:val="24"/>
          <w:szCs w:val="24"/>
        </w:rPr>
      </w:pPr>
      <w:r>
        <w:rPr>
          <w:rFonts w:hint="eastAsia" w:ascii="仿宋" w:hAnsi="仿宋" w:eastAsia="仿宋" w:cs="仿宋"/>
          <w:sz w:val="24"/>
          <w:szCs w:val="24"/>
        </w:rPr>
        <w:t>（3）因环境污染造成直接经济损失2000万元以上1亿元以下的；</w:t>
      </w:r>
    </w:p>
    <w:p>
      <w:pPr>
        <w:spacing w:after="0" w:line="360" w:lineRule="auto"/>
        <w:ind w:firstLine="480" w:firstLineChars="200"/>
        <w:rPr>
          <w:rFonts w:ascii="仿宋" w:hAnsi="仿宋" w:eastAsia="仿宋" w:cs="仿宋"/>
          <w:sz w:val="24"/>
          <w:szCs w:val="24"/>
        </w:rPr>
      </w:pPr>
      <w:r>
        <w:rPr>
          <w:rFonts w:hint="eastAsia" w:ascii="仿宋" w:hAnsi="仿宋" w:eastAsia="仿宋" w:cs="仿宋"/>
          <w:sz w:val="24"/>
          <w:szCs w:val="24"/>
        </w:rPr>
        <w:t>（4）因环境污染造成区域生态功能部分丧失或该区域国家重点保护野生动植物种群大批死亡的；</w:t>
      </w:r>
    </w:p>
    <w:p>
      <w:pPr>
        <w:spacing w:after="0" w:line="360" w:lineRule="auto"/>
        <w:ind w:firstLine="480" w:firstLineChars="200"/>
        <w:rPr>
          <w:rFonts w:ascii="仿宋" w:hAnsi="仿宋" w:eastAsia="仿宋" w:cs="仿宋"/>
          <w:sz w:val="24"/>
          <w:szCs w:val="24"/>
        </w:rPr>
      </w:pPr>
      <w:bookmarkStart w:id="79" w:name="_Toc528530286"/>
      <w:bookmarkStart w:id="80" w:name="_Toc531421940"/>
      <w:r>
        <w:rPr>
          <w:rFonts w:hint="eastAsia" w:ascii="仿宋" w:hAnsi="仿宋" w:eastAsia="仿宋" w:cs="仿宋"/>
          <w:sz w:val="24"/>
          <w:szCs w:val="24"/>
        </w:rPr>
        <w:t>（5）因环境污染造成县级城市集中式饮用水水源地取水中断的；</w:t>
      </w:r>
      <w:bookmarkEnd w:id="79"/>
      <w:bookmarkEnd w:id="80"/>
    </w:p>
    <w:p>
      <w:pPr>
        <w:spacing w:after="0" w:line="360" w:lineRule="auto"/>
        <w:ind w:firstLine="480" w:firstLineChars="200"/>
        <w:rPr>
          <w:rFonts w:ascii="仿宋" w:hAnsi="仿宋" w:eastAsia="仿宋" w:cs="仿宋"/>
          <w:sz w:val="24"/>
          <w:szCs w:val="24"/>
        </w:rPr>
      </w:pPr>
      <w:r>
        <w:rPr>
          <w:rFonts w:hint="eastAsia" w:ascii="仿宋" w:hAnsi="仿宋" w:eastAsia="仿宋" w:cs="仿宋"/>
          <w:sz w:val="24"/>
          <w:szCs w:val="24"/>
        </w:rPr>
        <w:t>（6）Ⅰ、Ⅱ类放射源丢失、被盗的；放射性同位素和射线装置失控导致3人以下急性死亡或者10人以上急性重度放射病、局部器官残疾的；放射性物质泄漏，造成较大范围辐射污染后果的；</w:t>
      </w:r>
    </w:p>
    <w:p>
      <w:pPr>
        <w:spacing w:after="0" w:line="360" w:lineRule="auto"/>
        <w:ind w:firstLine="480" w:firstLineChars="200"/>
        <w:rPr>
          <w:rFonts w:ascii="仿宋" w:hAnsi="仿宋" w:eastAsia="仿宋" w:cs="仿宋"/>
          <w:sz w:val="24"/>
          <w:szCs w:val="24"/>
        </w:rPr>
      </w:pPr>
      <w:r>
        <w:rPr>
          <w:rFonts w:hint="eastAsia" w:ascii="仿宋" w:hAnsi="仿宋" w:eastAsia="仿宋" w:cs="仿宋"/>
          <w:sz w:val="24"/>
          <w:szCs w:val="24"/>
        </w:rPr>
        <w:t>（7）造成跨省级行政区域影响的突发环境事件。</w:t>
      </w:r>
    </w:p>
    <w:p>
      <w:pPr>
        <w:spacing w:after="0" w:line="360" w:lineRule="auto"/>
        <w:ind w:firstLine="480" w:firstLineChars="200"/>
        <w:rPr>
          <w:rFonts w:ascii="仿宋" w:hAnsi="仿宋" w:eastAsia="仿宋" w:cs="仿宋"/>
          <w:sz w:val="24"/>
          <w:szCs w:val="24"/>
        </w:rPr>
      </w:pPr>
      <w:bookmarkStart w:id="81" w:name="_Toc19514_WPSOffice_Level2"/>
      <w:r>
        <w:rPr>
          <w:rFonts w:hint="eastAsia" w:ascii="仿宋" w:hAnsi="仿宋" w:eastAsia="仿宋" w:cs="仿宋"/>
          <w:sz w:val="24"/>
          <w:szCs w:val="24"/>
        </w:rPr>
        <w:t>3、较大（Ⅲ级）突发环境事件</w:t>
      </w:r>
      <w:bookmarkEnd w:id="81"/>
    </w:p>
    <w:p>
      <w:pPr>
        <w:spacing w:after="0" w:line="360" w:lineRule="auto"/>
        <w:ind w:firstLine="480" w:firstLineChars="200"/>
        <w:rPr>
          <w:rFonts w:ascii="仿宋" w:hAnsi="仿宋" w:eastAsia="仿宋" w:cs="仿宋"/>
          <w:sz w:val="24"/>
          <w:szCs w:val="24"/>
        </w:rPr>
      </w:pPr>
      <w:r>
        <w:rPr>
          <w:rFonts w:hint="eastAsia" w:ascii="仿宋" w:hAnsi="仿宋" w:eastAsia="仿宋" w:cs="仿宋"/>
          <w:sz w:val="24"/>
          <w:szCs w:val="24"/>
        </w:rPr>
        <w:t>凡符合下列情形之一的，为较大突发环境事件：</w:t>
      </w:r>
    </w:p>
    <w:p>
      <w:pPr>
        <w:spacing w:after="0" w:line="360" w:lineRule="auto"/>
        <w:ind w:firstLine="480" w:firstLineChars="200"/>
        <w:rPr>
          <w:rFonts w:ascii="仿宋" w:hAnsi="仿宋" w:eastAsia="仿宋" w:cs="仿宋"/>
          <w:sz w:val="24"/>
          <w:szCs w:val="24"/>
        </w:rPr>
      </w:pPr>
      <w:r>
        <w:rPr>
          <w:rFonts w:hint="eastAsia" w:ascii="仿宋" w:hAnsi="仿宋" w:eastAsia="仿宋" w:cs="仿宋"/>
          <w:sz w:val="24"/>
          <w:szCs w:val="24"/>
        </w:rPr>
        <w:t>（1）因环境污染直接导致3人以上10人以下死亡或10人以上50人以下中毒或重伤的；</w:t>
      </w:r>
    </w:p>
    <w:p>
      <w:pPr>
        <w:spacing w:after="0" w:line="360" w:lineRule="auto"/>
        <w:ind w:firstLine="480" w:firstLineChars="200"/>
        <w:rPr>
          <w:rFonts w:ascii="仿宋" w:hAnsi="仿宋" w:eastAsia="仿宋" w:cs="仿宋"/>
          <w:sz w:val="24"/>
          <w:szCs w:val="24"/>
        </w:rPr>
      </w:pPr>
      <w:bookmarkStart w:id="82" w:name="_Toc528530287"/>
      <w:bookmarkStart w:id="83" w:name="_Toc531421941"/>
      <w:r>
        <w:rPr>
          <w:rFonts w:hint="eastAsia" w:ascii="仿宋" w:hAnsi="仿宋" w:eastAsia="仿宋" w:cs="仿宋"/>
          <w:sz w:val="24"/>
          <w:szCs w:val="24"/>
        </w:rPr>
        <w:t>（2）因环境污染疏散、转移人员5000人以上1万人以下的；</w:t>
      </w:r>
      <w:bookmarkEnd w:id="82"/>
      <w:bookmarkEnd w:id="83"/>
    </w:p>
    <w:p>
      <w:pPr>
        <w:spacing w:after="0" w:line="360" w:lineRule="auto"/>
        <w:ind w:firstLine="480" w:firstLineChars="200"/>
        <w:rPr>
          <w:rFonts w:ascii="仿宋" w:hAnsi="仿宋" w:eastAsia="仿宋" w:cs="仿宋"/>
          <w:sz w:val="24"/>
          <w:szCs w:val="24"/>
        </w:rPr>
      </w:pPr>
      <w:r>
        <w:rPr>
          <w:rFonts w:hint="eastAsia" w:ascii="仿宋" w:hAnsi="仿宋" w:eastAsia="仿宋" w:cs="仿宋"/>
          <w:sz w:val="24"/>
          <w:szCs w:val="24"/>
        </w:rPr>
        <w:t>（3）因环境污染造成经济损失500万元以上2000万元以下的；</w:t>
      </w:r>
    </w:p>
    <w:p>
      <w:pPr>
        <w:spacing w:after="0" w:line="360" w:lineRule="auto"/>
        <w:ind w:firstLine="480" w:firstLineChars="200"/>
        <w:rPr>
          <w:rFonts w:ascii="仿宋" w:hAnsi="仿宋" w:eastAsia="仿宋" w:cs="仿宋"/>
          <w:sz w:val="24"/>
          <w:szCs w:val="24"/>
        </w:rPr>
      </w:pPr>
      <w:bookmarkStart w:id="84" w:name="_Toc528530288"/>
      <w:bookmarkStart w:id="85" w:name="_Toc531421942"/>
      <w:r>
        <w:rPr>
          <w:rFonts w:hint="eastAsia" w:ascii="仿宋" w:hAnsi="仿宋" w:eastAsia="仿宋" w:cs="仿宋"/>
          <w:sz w:val="24"/>
          <w:szCs w:val="24"/>
        </w:rPr>
        <w:t>（4）因环境污染造成国家重点保护的动植物物种受到破坏的；</w:t>
      </w:r>
      <w:bookmarkEnd w:id="84"/>
      <w:bookmarkEnd w:id="85"/>
    </w:p>
    <w:p>
      <w:pPr>
        <w:spacing w:after="0" w:line="360" w:lineRule="auto"/>
        <w:ind w:firstLine="480" w:firstLineChars="200"/>
        <w:rPr>
          <w:rFonts w:ascii="仿宋" w:hAnsi="仿宋" w:eastAsia="仿宋" w:cs="仿宋"/>
          <w:sz w:val="24"/>
          <w:szCs w:val="24"/>
        </w:rPr>
      </w:pPr>
      <w:r>
        <w:rPr>
          <w:rFonts w:hint="eastAsia" w:ascii="仿宋" w:hAnsi="仿宋" w:eastAsia="仿宋" w:cs="仿宋"/>
          <w:sz w:val="24"/>
          <w:szCs w:val="24"/>
        </w:rPr>
        <w:t>（5）因环境污染造成乡镇集中式饮用水水源地取水中断的；</w:t>
      </w:r>
    </w:p>
    <w:p>
      <w:pPr>
        <w:spacing w:after="0" w:line="360" w:lineRule="auto"/>
        <w:ind w:firstLine="480" w:firstLineChars="200"/>
        <w:rPr>
          <w:rFonts w:ascii="仿宋" w:hAnsi="仿宋" w:eastAsia="仿宋" w:cs="仿宋"/>
          <w:sz w:val="24"/>
          <w:szCs w:val="24"/>
        </w:rPr>
      </w:pPr>
      <w:r>
        <w:rPr>
          <w:rFonts w:hint="eastAsia" w:ascii="仿宋" w:hAnsi="仿宋" w:eastAsia="仿宋" w:cs="仿宋"/>
          <w:sz w:val="24"/>
          <w:szCs w:val="24"/>
        </w:rPr>
        <w:t>（6）Ⅲ类放射源丢失、被盗的；放射性同位素和射线装置失控导致10人以下急性重度放射病、局部器官残疾的；放射性物质泄漏，造成小范围辐射污染后果的；</w:t>
      </w:r>
    </w:p>
    <w:p>
      <w:pPr>
        <w:spacing w:after="0" w:line="360" w:lineRule="auto"/>
        <w:ind w:firstLine="480" w:firstLineChars="200"/>
        <w:rPr>
          <w:rFonts w:ascii="仿宋" w:hAnsi="仿宋" w:eastAsia="仿宋" w:cs="仿宋"/>
          <w:sz w:val="24"/>
          <w:szCs w:val="24"/>
        </w:rPr>
      </w:pPr>
      <w:r>
        <w:rPr>
          <w:rFonts w:hint="eastAsia" w:ascii="仿宋" w:hAnsi="仿宋" w:eastAsia="仿宋" w:cs="仿宋"/>
          <w:sz w:val="24"/>
          <w:szCs w:val="24"/>
        </w:rPr>
        <w:t>（7）造成跨设区的市级行政区域影响的突发环境事件。</w:t>
      </w:r>
    </w:p>
    <w:p>
      <w:pPr>
        <w:spacing w:after="0" w:line="360" w:lineRule="auto"/>
        <w:ind w:firstLine="480" w:firstLineChars="200"/>
        <w:rPr>
          <w:rFonts w:ascii="仿宋" w:hAnsi="仿宋" w:eastAsia="仿宋" w:cs="仿宋"/>
          <w:sz w:val="24"/>
          <w:szCs w:val="24"/>
        </w:rPr>
      </w:pPr>
      <w:bookmarkStart w:id="86" w:name="_Toc24802_WPSOffice_Level2"/>
      <w:r>
        <w:rPr>
          <w:rFonts w:hint="eastAsia" w:ascii="仿宋" w:hAnsi="仿宋" w:eastAsia="仿宋" w:cs="仿宋"/>
          <w:sz w:val="24"/>
          <w:szCs w:val="24"/>
        </w:rPr>
        <w:t>4、一般（Ⅳ级）突发环境事件</w:t>
      </w:r>
      <w:bookmarkEnd w:id="86"/>
    </w:p>
    <w:p>
      <w:pPr>
        <w:spacing w:after="0" w:line="360" w:lineRule="auto"/>
        <w:ind w:firstLine="480" w:firstLineChars="200"/>
        <w:rPr>
          <w:rFonts w:ascii="仿宋" w:hAnsi="仿宋" w:eastAsia="仿宋" w:cs="仿宋"/>
          <w:sz w:val="24"/>
          <w:szCs w:val="24"/>
        </w:rPr>
      </w:pPr>
      <w:r>
        <w:rPr>
          <w:rFonts w:hint="eastAsia" w:ascii="仿宋" w:hAnsi="仿宋" w:eastAsia="仿宋" w:cs="仿宋"/>
          <w:sz w:val="24"/>
          <w:szCs w:val="24"/>
        </w:rPr>
        <w:t>凡符合下列情形之一的，为一般突发环境事件：</w:t>
      </w:r>
    </w:p>
    <w:p>
      <w:pPr>
        <w:spacing w:after="0" w:line="360" w:lineRule="auto"/>
        <w:ind w:firstLine="480" w:firstLineChars="200"/>
        <w:rPr>
          <w:rFonts w:ascii="仿宋" w:hAnsi="仿宋" w:eastAsia="仿宋" w:cs="仿宋"/>
          <w:sz w:val="24"/>
          <w:szCs w:val="24"/>
        </w:rPr>
      </w:pPr>
      <w:r>
        <w:rPr>
          <w:rFonts w:hint="eastAsia" w:ascii="仿宋" w:hAnsi="仿宋" w:eastAsia="仿宋" w:cs="仿宋"/>
          <w:sz w:val="24"/>
          <w:szCs w:val="24"/>
        </w:rPr>
        <w:t>（1）因环境污染直接导致3人以下死亡或10人以下中毒或重伤的；</w:t>
      </w:r>
    </w:p>
    <w:p>
      <w:pPr>
        <w:spacing w:after="0" w:line="360" w:lineRule="auto"/>
        <w:ind w:firstLine="480" w:firstLineChars="200"/>
        <w:rPr>
          <w:rFonts w:ascii="仿宋" w:hAnsi="仿宋" w:eastAsia="仿宋" w:cs="仿宋"/>
          <w:sz w:val="24"/>
          <w:szCs w:val="24"/>
        </w:rPr>
      </w:pPr>
      <w:r>
        <w:rPr>
          <w:rFonts w:hint="eastAsia" w:ascii="仿宋" w:hAnsi="仿宋" w:eastAsia="仿宋" w:cs="仿宋"/>
          <w:sz w:val="24"/>
          <w:szCs w:val="24"/>
        </w:rPr>
        <w:t>（2）因环境污染疏散、转移人员5000人以下的；</w:t>
      </w:r>
    </w:p>
    <w:p>
      <w:pPr>
        <w:spacing w:after="0" w:line="360" w:lineRule="auto"/>
        <w:ind w:firstLine="480" w:firstLineChars="200"/>
        <w:rPr>
          <w:rFonts w:ascii="仿宋" w:hAnsi="仿宋" w:eastAsia="仿宋" w:cs="仿宋"/>
          <w:sz w:val="24"/>
          <w:szCs w:val="24"/>
        </w:rPr>
      </w:pPr>
      <w:r>
        <w:rPr>
          <w:rFonts w:hint="eastAsia" w:ascii="仿宋" w:hAnsi="仿宋" w:eastAsia="仿宋" w:cs="仿宋"/>
          <w:sz w:val="24"/>
          <w:szCs w:val="24"/>
        </w:rPr>
        <w:t>（3）因环境污染造成直接经济损失500万元以下的；</w:t>
      </w:r>
    </w:p>
    <w:p>
      <w:pPr>
        <w:spacing w:after="0" w:line="360" w:lineRule="auto"/>
        <w:ind w:firstLine="480" w:firstLineChars="200"/>
        <w:rPr>
          <w:rFonts w:ascii="仿宋" w:hAnsi="仿宋" w:eastAsia="仿宋" w:cs="仿宋"/>
          <w:sz w:val="24"/>
          <w:szCs w:val="24"/>
        </w:rPr>
      </w:pPr>
      <w:r>
        <w:rPr>
          <w:rFonts w:hint="eastAsia" w:ascii="仿宋" w:hAnsi="仿宋" w:eastAsia="仿宋" w:cs="仿宋"/>
          <w:sz w:val="24"/>
          <w:szCs w:val="24"/>
        </w:rPr>
        <w:t>（4）因环境污染造成跨县级行政区域纠纷，引起一般性群体影响的；</w:t>
      </w:r>
    </w:p>
    <w:p>
      <w:pPr>
        <w:spacing w:after="0" w:line="360" w:lineRule="auto"/>
        <w:ind w:firstLine="480" w:firstLineChars="200"/>
        <w:rPr>
          <w:rFonts w:ascii="仿宋" w:hAnsi="仿宋" w:eastAsia="仿宋" w:cs="仿宋"/>
          <w:sz w:val="24"/>
          <w:szCs w:val="24"/>
        </w:rPr>
      </w:pPr>
      <w:r>
        <w:rPr>
          <w:rFonts w:hint="eastAsia" w:ascii="仿宋" w:hAnsi="仿宋" w:eastAsia="仿宋" w:cs="仿宋"/>
          <w:sz w:val="24"/>
          <w:szCs w:val="24"/>
        </w:rPr>
        <w:t>（5）Ⅳ、Ⅴ类放射源丢失、被盗的；放射性同位素和射线装置失控导致人员受到超过年剂量限值的照射的；放射性物质泄漏，造成厂区内或设施内局部辐射污染后果的；铀矿冶、伴生矿超标排放，造成环境辐射污染后果的；</w:t>
      </w:r>
    </w:p>
    <w:p>
      <w:pPr>
        <w:spacing w:after="0" w:line="360" w:lineRule="auto"/>
        <w:ind w:firstLine="480" w:firstLineChars="200"/>
        <w:rPr>
          <w:rFonts w:ascii="仿宋" w:hAnsi="仿宋" w:eastAsia="仿宋" w:cs="仿宋"/>
          <w:sz w:val="24"/>
          <w:szCs w:val="24"/>
        </w:rPr>
      </w:pPr>
      <w:r>
        <w:rPr>
          <w:rFonts w:hint="eastAsia" w:ascii="仿宋" w:hAnsi="仿宋" w:eastAsia="仿宋" w:cs="仿宋"/>
          <w:sz w:val="24"/>
          <w:szCs w:val="24"/>
        </w:rPr>
        <w:t>（6）对环境造成一定影响，尚未达到较大突发环境事件级别的。</w:t>
      </w:r>
    </w:p>
    <w:p>
      <w:pPr>
        <w:spacing w:after="0" w:line="360" w:lineRule="auto"/>
        <w:ind w:firstLine="480" w:firstLineChars="200"/>
        <w:rPr>
          <w:rFonts w:ascii="仿宋" w:hAnsi="仿宋" w:eastAsia="仿宋" w:cs="仿宋"/>
          <w:sz w:val="24"/>
          <w:szCs w:val="24"/>
          <w:lang w:val="zh-CN"/>
        </w:rPr>
      </w:pPr>
      <w:r>
        <w:rPr>
          <w:rFonts w:hint="eastAsia" w:ascii="仿宋" w:hAnsi="仿宋" w:eastAsia="仿宋" w:cs="仿宋"/>
          <w:sz w:val="24"/>
          <w:szCs w:val="24"/>
        </w:rPr>
        <w:t>上述分级标准有关数量的表述中，“以上”含本数，“以下”不含本数。</w:t>
      </w:r>
    </w:p>
    <w:p>
      <w:pPr>
        <w:pStyle w:val="6"/>
        <w:rPr>
          <w:rFonts w:eastAsia="仿宋_GB2312"/>
          <w:sz w:val="28"/>
          <w:szCs w:val="28"/>
        </w:rPr>
      </w:pPr>
      <w:bookmarkStart w:id="87" w:name="_Toc8820"/>
      <w:r>
        <w:rPr>
          <w:rFonts w:hint="eastAsia"/>
          <w:sz w:val="28"/>
          <w:szCs w:val="28"/>
        </w:rPr>
        <w:t xml:space="preserve">1.7 </w:t>
      </w:r>
      <w:bookmarkEnd w:id="70"/>
      <w:bookmarkEnd w:id="71"/>
      <w:bookmarkEnd w:id="72"/>
      <w:r>
        <w:rPr>
          <w:rFonts w:eastAsia="仿宋_GB2312"/>
          <w:sz w:val="28"/>
          <w:szCs w:val="28"/>
        </w:rPr>
        <w:t>本预案突发环境事件分级原则</w:t>
      </w:r>
      <w:bookmarkEnd w:id="87"/>
    </w:p>
    <w:p>
      <w:pPr>
        <w:widowControl w:val="0"/>
        <w:spacing w:after="0" w:line="360" w:lineRule="auto"/>
        <w:ind w:firstLine="482"/>
        <w:jc w:val="both"/>
        <w:rPr>
          <w:rFonts w:ascii="仿宋" w:hAnsi="仿宋" w:eastAsia="仿宋" w:cs="仿宋"/>
          <w:sz w:val="24"/>
          <w:szCs w:val="24"/>
        </w:rPr>
      </w:pPr>
      <w:r>
        <w:rPr>
          <w:rFonts w:hint="eastAsia" w:ascii="仿宋" w:hAnsi="仿宋" w:eastAsia="仿宋" w:cs="仿宋"/>
          <w:sz w:val="24"/>
          <w:szCs w:val="24"/>
        </w:rPr>
        <w:t>为了更好研判加油站内部突发环境事件级别，按照突发环境事件的严重性、可控性、影响范围和紧急程度，本加油站根据自身实际情况将突发环境事件分为社会级（I级重大环境污染事件）、站级（Ⅱ级较大环境污染事件）和岗位级（Ⅲ级一般环境污染事件）。</w:t>
      </w:r>
    </w:p>
    <w:p>
      <w:pPr>
        <w:pStyle w:val="73"/>
        <w:spacing w:after="0"/>
        <w:ind w:firstLine="482"/>
        <w:rPr>
          <w:rFonts w:ascii="仿宋" w:hAnsi="仿宋" w:eastAsia="仿宋" w:cs="仿宋"/>
          <w:sz w:val="24"/>
          <w:szCs w:val="24"/>
        </w:rPr>
      </w:pPr>
      <w:r>
        <w:rPr>
          <w:rFonts w:hint="eastAsia" w:ascii="仿宋" w:hAnsi="仿宋" w:eastAsia="仿宋" w:cs="仿宋"/>
          <w:sz w:val="24"/>
          <w:szCs w:val="24"/>
        </w:rPr>
        <w:t>1、社会级（I级重大环境污染事件）</w:t>
      </w:r>
    </w:p>
    <w:p>
      <w:pPr>
        <w:pStyle w:val="73"/>
        <w:spacing w:after="0"/>
        <w:ind w:firstLine="482"/>
        <w:rPr>
          <w:rFonts w:ascii="仿宋" w:hAnsi="仿宋" w:eastAsia="仿宋" w:cs="仿宋"/>
          <w:sz w:val="24"/>
          <w:szCs w:val="24"/>
        </w:rPr>
      </w:pPr>
      <w:r>
        <w:rPr>
          <w:rFonts w:hint="eastAsia" w:ascii="仿宋" w:hAnsi="仿宋" w:eastAsia="仿宋" w:cs="仿宋"/>
          <w:sz w:val="24"/>
          <w:szCs w:val="24"/>
        </w:rPr>
        <w:t>凡符合下列情形之一的，为重大突发环境事件：</w:t>
      </w:r>
    </w:p>
    <w:p>
      <w:pPr>
        <w:pStyle w:val="73"/>
        <w:spacing w:after="0"/>
        <w:ind w:firstLine="482"/>
        <w:rPr>
          <w:rFonts w:ascii="仿宋" w:hAnsi="仿宋" w:eastAsia="仿宋" w:cs="仿宋"/>
          <w:sz w:val="24"/>
          <w:szCs w:val="24"/>
        </w:rPr>
      </w:pPr>
      <w:r>
        <w:rPr>
          <w:rFonts w:hint="eastAsia" w:ascii="仿宋" w:hAnsi="仿宋" w:eastAsia="仿宋" w:cs="仿宋"/>
          <w:sz w:val="24"/>
          <w:szCs w:val="24"/>
        </w:rPr>
        <w:t>加油站发生火灾、爆炸事故，发生人员伤亡、中毒; 事故环境污染影响扩散到厂界外，对周边的环境造成污染，引起群体性影响的，本油站已不可控制。</w:t>
      </w:r>
    </w:p>
    <w:p>
      <w:pPr>
        <w:pStyle w:val="73"/>
        <w:spacing w:after="0"/>
        <w:ind w:firstLine="482"/>
        <w:rPr>
          <w:rFonts w:ascii="仿宋" w:hAnsi="仿宋" w:eastAsia="仿宋" w:cs="仿宋"/>
          <w:sz w:val="24"/>
          <w:szCs w:val="24"/>
        </w:rPr>
      </w:pPr>
      <w:r>
        <w:rPr>
          <w:rFonts w:hint="eastAsia" w:ascii="仿宋" w:hAnsi="仿宋" w:eastAsia="仿宋" w:cs="仿宋"/>
          <w:sz w:val="24"/>
          <w:szCs w:val="24"/>
        </w:rPr>
        <w:t>2、站级（Ⅱ级较大环境污染事件）</w:t>
      </w:r>
    </w:p>
    <w:p>
      <w:pPr>
        <w:pStyle w:val="73"/>
        <w:spacing w:after="0"/>
        <w:ind w:firstLine="482"/>
        <w:rPr>
          <w:rFonts w:ascii="仿宋" w:hAnsi="仿宋" w:eastAsia="仿宋" w:cs="仿宋"/>
          <w:sz w:val="24"/>
          <w:szCs w:val="24"/>
        </w:rPr>
      </w:pPr>
      <w:r>
        <w:rPr>
          <w:rFonts w:hint="eastAsia" w:ascii="仿宋" w:hAnsi="仿宋" w:eastAsia="仿宋" w:cs="仿宋"/>
          <w:sz w:val="24"/>
          <w:szCs w:val="24"/>
        </w:rPr>
        <w:t>凡符合下列情形之一的，为较大突发环境事件：</w:t>
      </w:r>
    </w:p>
    <w:p>
      <w:pPr>
        <w:pStyle w:val="73"/>
        <w:spacing w:after="0"/>
        <w:ind w:firstLine="482"/>
        <w:rPr>
          <w:rFonts w:ascii="仿宋" w:hAnsi="仿宋" w:eastAsia="仿宋" w:cs="仿宋"/>
          <w:sz w:val="24"/>
          <w:szCs w:val="24"/>
        </w:rPr>
      </w:pPr>
      <w:r>
        <w:rPr>
          <w:rFonts w:hint="eastAsia" w:ascii="仿宋" w:hAnsi="仿宋" w:eastAsia="仿宋" w:cs="仿宋"/>
          <w:sz w:val="24"/>
          <w:szCs w:val="24"/>
        </w:rPr>
        <w:t>油站局部发生火灾未引发爆炸，或者局部发生安全事故引起厂界内的环境影响，影响正常运营，但未扩散到厂界外，经处理后可消除影响的，油站可以控制的。</w:t>
      </w:r>
    </w:p>
    <w:p>
      <w:pPr>
        <w:pStyle w:val="73"/>
        <w:spacing w:after="0"/>
        <w:ind w:firstLine="482"/>
        <w:rPr>
          <w:rFonts w:ascii="仿宋" w:hAnsi="仿宋" w:eastAsia="仿宋" w:cs="仿宋"/>
          <w:sz w:val="24"/>
          <w:szCs w:val="24"/>
        </w:rPr>
      </w:pPr>
      <w:r>
        <w:rPr>
          <w:rFonts w:hint="eastAsia" w:ascii="仿宋" w:hAnsi="仿宋" w:eastAsia="仿宋" w:cs="仿宋"/>
          <w:sz w:val="24"/>
          <w:szCs w:val="24"/>
        </w:rPr>
        <w:t>3、岗位级（Ⅲ级一般环境污染事件）</w:t>
      </w:r>
    </w:p>
    <w:p>
      <w:pPr>
        <w:pStyle w:val="73"/>
        <w:spacing w:after="0"/>
        <w:ind w:firstLine="482"/>
        <w:rPr>
          <w:rFonts w:ascii="仿宋" w:hAnsi="仿宋" w:eastAsia="仿宋" w:cs="仿宋"/>
          <w:sz w:val="24"/>
          <w:szCs w:val="24"/>
        </w:rPr>
      </w:pPr>
      <w:r>
        <w:rPr>
          <w:rFonts w:hint="eastAsia" w:ascii="仿宋" w:hAnsi="仿宋" w:eastAsia="仿宋" w:cs="仿宋"/>
          <w:sz w:val="24"/>
          <w:szCs w:val="24"/>
        </w:rPr>
        <w:t>凡符合下列情形之一的，为一般突发环境事件：</w:t>
      </w:r>
    </w:p>
    <w:p>
      <w:pPr>
        <w:pStyle w:val="73"/>
        <w:spacing w:after="0"/>
        <w:ind w:firstLine="482"/>
        <w:rPr>
          <w:rFonts w:ascii="仿宋" w:hAnsi="仿宋" w:eastAsia="仿宋" w:cs="仿宋"/>
          <w:sz w:val="24"/>
          <w:szCs w:val="24"/>
        </w:rPr>
      </w:pPr>
      <w:r>
        <w:rPr>
          <w:rFonts w:hint="eastAsia" w:ascii="仿宋" w:hAnsi="仿宋" w:eastAsia="仿宋" w:cs="仿宋"/>
          <w:sz w:val="24"/>
          <w:szCs w:val="24"/>
        </w:rPr>
        <w:t>突发环境事件引发事故不影响正常运营，可及时消除的较小的影响环境的事件，在班或者在岗人员可以控制的。</w:t>
      </w:r>
    </w:p>
    <w:p>
      <w:pPr>
        <w:pStyle w:val="6"/>
        <w:rPr>
          <w:rFonts w:eastAsia="仿宋_GB2312"/>
          <w:sz w:val="28"/>
          <w:szCs w:val="28"/>
        </w:rPr>
      </w:pPr>
      <w:bookmarkStart w:id="88" w:name="_Toc74855959"/>
      <w:bookmarkStart w:id="89" w:name="_Toc5801"/>
      <w:r>
        <w:rPr>
          <w:rFonts w:hint="eastAsia" w:eastAsia="仿宋_GB2312"/>
          <w:sz w:val="28"/>
          <w:szCs w:val="28"/>
        </w:rPr>
        <w:t>1.8 本预案与其他预案的衔接</w:t>
      </w:r>
      <w:bookmarkEnd w:id="88"/>
      <w:bookmarkEnd w:id="89"/>
    </w:p>
    <w:p>
      <w:pPr>
        <w:widowControl w:val="0"/>
        <w:spacing w:after="0" w:line="360" w:lineRule="auto"/>
        <w:ind w:firstLine="488"/>
        <w:jc w:val="both"/>
        <w:rPr>
          <w:rFonts w:ascii="仿宋" w:hAnsi="仿宋" w:eastAsia="仿宋" w:cs="仿宋"/>
          <w:sz w:val="24"/>
          <w:szCs w:val="24"/>
        </w:rPr>
      </w:pPr>
      <w:r>
        <w:rPr>
          <w:rFonts w:hint="eastAsia" w:ascii="仿宋" w:hAnsi="仿宋" w:eastAsia="仿宋" w:cs="仿宋"/>
          <w:sz w:val="24"/>
          <w:szCs w:val="24"/>
        </w:rPr>
        <w:t>1、本预案内部预案衔接</w:t>
      </w:r>
    </w:p>
    <w:p>
      <w:pPr>
        <w:widowControl w:val="0"/>
        <w:spacing w:after="0" w:line="360" w:lineRule="auto"/>
        <w:ind w:firstLine="488"/>
        <w:jc w:val="both"/>
        <w:rPr>
          <w:rFonts w:ascii="仿宋" w:hAnsi="仿宋" w:eastAsia="仿宋" w:cs="仿宋"/>
          <w:sz w:val="24"/>
          <w:szCs w:val="24"/>
        </w:rPr>
      </w:pPr>
      <w:r>
        <w:rPr>
          <w:rFonts w:hint="eastAsia" w:ascii="仿宋" w:hAnsi="仿宋" w:eastAsia="仿宋" w:cs="仿宋"/>
          <w:sz w:val="24"/>
          <w:szCs w:val="24"/>
        </w:rPr>
        <w:t>本预案与项目生产安全事故应急预案属于平行预案，两者就既有交叉部分，又能相互补充。安全预案应急指挥机构、应急资源和装备调度与配置、应急救援队伍、宣传、培训和演习协调机制等方面应该与本预案形成衔接。安全预案和环境风险应急预案都应注重日常的预防工作，一旦有安全事故发生导致环境污染时两个预案同时启动，在各自发挥最大功能的前提下做到相辅相成、互相配合，将人员伤亡和环境污染降低到最小。</w:t>
      </w:r>
    </w:p>
    <w:p>
      <w:pPr>
        <w:widowControl w:val="0"/>
        <w:spacing w:after="0" w:line="360" w:lineRule="auto"/>
        <w:ind w:firstLine="488"/>
        <w:jc w:val="both"/>
        <w:rPr>
          <w:rFonts w:ascii="仿宋" w:hAnsi="仿宋" w:eastAsia="仿宋" w:cs="仿宋"/>
          <w:sz w:val="24"/>
          <w:szCs w:val="24"/>
        </w:rPr>
      </w:pPr>
      <w:r>
        <w:rPr>
          <w:rFonts w:hint="eastAsia" w:ascii="仿宋" w:hAnsi="仿宋" w:eastAsia="仿宋" w:cs="仿宋"/>
          <w:sz w:val="24"/>
          <w:szCs w:val="24"/>
        </w:rPr>
        <w:t>2、本预案与上级预案衔接</w:t>
      </w:r>
    </w:p>
    <w:p>
      <w:pPr>
        <w:widowControl w:val="0"/>
        <w:spacing w:after="0" w:line="360" w:lineRule="auto"/>
        <w:ind w:firstLine="488"/>
        <w:jc w:val="both"/>
        <w:rPr>
          <w:rFonts w:ascii="仿宋" w:hAnsi="仿宋" w:eastAsia="仿宋" w:cs="仿宋"/>
          <w:sz w:val="24"/>
          <w:szCs w:val="24"/>
        </w:rPr>
      </w:pPr>
      <w:r>
        <w:rPr>
          <w:rFonts w:hint="eastAsia" w:ascii="仿宋" w:hAnsi="仿宋" w:eastAsia="仿宋" w:cs="仿宋"/>
          <w:sz w:val="24"/>
          <w:szCs w:val="24"/>
        </w:rPr>
        <w:t>西畴县突发环境事件应急预案适用于西畴县行政区域内突发环境事件预防与应对工作，以及行政区域外发生、可能影响城区环境安全的突发环境事件预防与应对工作。当发生突发环境事件影响到场外，公司应对能力不足时，及时向西畴县人民政府、生态环境局及外部有关单位求援。由政府或生态环境局等有关部门介入或主导突发环境事件应急处置工作时，公司内部应急组织机构成员不变，职责由负责应急处置转变为服从指挥，配合相关部门参与处置工作。</w:t>
      </w:r>
    </w:p>
    <w:p>
      <w:pPr>
        <w:widowControl w:val="0"/>
        <w:spacing w:after="0" w:line="360" w:lineRule="auto"/>
        <w:ind w:firstLine="488"/>
        <w:jc w:val="both"/>
        <w:rPr>
          <w:rFonts w:ascii="仿宋" w:hAnsi="仿宋" w:eastAsia="仿宋" w:cs="仿宋"/>
          <w:sz w:val="24"/>
          <w:szCs w:val="24"/>
        </w:rPr>
      </w:pPr>
      <w:r>
        <w:rPr>
          <w:rFonts w:hint="eastAsia" w:ascii="仿宋" w:hAnsi="仿宋" w:eastAsia="仿宋" w:cs="仿宋"/>
          <w:sz w:val="24"/>
          <w:szCs w:val="24"/>
        </w:rPr>
        <w:t>项目应急预案与上下级预案衔接体系图 1.8-1。</w:t>
      </w:r>
    </w:p>
    <w:p>
      <w:pPr>
        <w:pStyle w:val="73"/>
        <w:jc w:val="center"/>
      </w:pPr>
    </w:p>
    <w:p>
      <w:pPr>
        <w:pStyle w:val="2"/>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143500" cy="3857625"/>
            <wp:effectExtent l="0" t="0" r="0" b="9525"/>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14"/>
                    <a:stretch>
                      <a:fillRect/>
                    </a:stretch>
                  </pic:blipFill>
                  <pic:spPr>
                    <a:xfrm>
                      <a:off x="0" y="0"/>
                      <a:ext cx="5143500" cy="3857625"/>
                    </a:xfrm>
                    <a:prstGeom prst="rect">
                      <a:avLst/>
                    </a:prstGeom>
                    <a:noFill/>
                    <a:ln w="9525">
                      <a:noFill/>
                    </a:ln>
                  </pic:spPr>
                </pic:pic>
              </a:graphicData>
            </a:graphic>
          </wp:inline>
        </w:drawing>
      </w:r>
    </w:p>
    <w:p>
      <w:pPr>
        <w:widowControl w:val="0"/>
        <w:spacing w:line="360" w:lineRule="auto"/>
        <w:jc w:val="center"/>
        <w:rPr>
          <w:rFonts w:eastAsia="仿宋_GB2312"/>
          <w:b/>
          <w:bCs/>
          <w:sz w:val="24"/>
          <w:szCs w:val="24"/>
        </w:rPr>
      </w:pPr>
      <w:r>
        <w:rPr>
          <w:rFonts w:eastAsia="仿宋_GB2312"/>
          <w:b/>
          <w:bCs/>
          <w:sz w:val="24"/>
          <w:szCs w:val="24"/>
        </w:rPr>
        <w:t>图1.</w:t>
      </w:r>
      <w:r>
        <w:rPr>
          <w:rFonts w:hint="eastAsia" w:eastAsia="仿宋_GB2312"/>
          <w:b/>
          <w:bCs/>
          <w:sz w:val="24"/>
          <w:szCs w:val="24"/>
        </w:rPr>
        <w:t>8</w:t>
      </w:r>
      <w:r>
        <w:rPr>
          <w:rFonts w:eastAsia="仿宋_GB2312"/>
          <w:b/>
          <w:bCs/>
          <w:sz w:val="24"/>
          <w:szCs w:val="24"/>
        </w:rPr>
        <w:t>-1   本预案与上下级预案衔接体系</w:t>
      </w:r>
    </w:p>
    <w:p>
      <w:pPr>
        <w:pStyle w:val="5"/>
        <w:tabs>
          <w:tab w:val="left" w:pos="0"/>
        </w:tabs>
        <w:adjustRightInd w:val="0"/>
        <w:spacing w:beforeLines="50" w:afterLines="50" w:line="300" w:lineRule="auto"/>
        <w:rPr>
          <w:rFonts w:eastAsia="方正仿宋_GBK"/>
          <w:color w:val="000000"/>
          <w:szCs w:val="36"/>
          <w:lang w:val="zh-CN"/>
        </w:rPr>
      </w:pPr>
    </w:p>
    <w:p>
      <w:pPr>
        <w:rPr>
          <w:lang w:val="zh-CN"/>
        </w:rPr>
      </w:pPr>
    </w:p>
    <w:p>
      <w:pPr>
        <w:pStyle w:val="2"/>
        <w:rPr>
          <w:lang w:val="zh-CN"/>
        </w:rPr>
      </w:pPr>
    </w:p>
    <w:p>
      <w:pPr>
        <w:pStyle w:val="2"/>
        <w:rPr>
          <w:lang w:val="zh-CN"/>
        </w:rPr>
      </w:pPr>
    </w:p>
    <w:p>
      <w:pPr>
        <w:pStyle w:val="2"/>
        <w:rPr>
          <w:lang w:val="zh-CN"/>
        </w:rPr>
      </w:pPr>
    </w:p>
    <w:p>
      <w:pPr>
        <w:pStyle w:val="2"/>
        <w:rPr>
          <w:lang w:val="zh-CN"/>
        </w:rPr>
      </w:pPr>
    </w:p>
    <w:p>
      <w:pPr>
        <w:pStyle w:val="2"/>
        <w:rPr>
          <w:lang w:val="zh-CN"/>
        </w:rPr>
      </w:pPr>
    </w:p>
    <w:p>
      <w:pPr>
        <w:pStyle w:val="2"/>
        <w:rPr>
          <w:lang w:val="zh-CN"/>
        </w:rPr>
      </w:pPr>
    </w:p>
    <w:p>
      <w:pPr>
        <w:pStyle w:val="2"/>
        <w:rPr>
          <w:lang w:val="zh-CN"/>
        </w:rPr>
      </w:pPr>
    </w:p>
    <w:p>
      <w:pPr>
        <w:pStyle w:val="2"/>
        <w:rPr>
          <w:lang w:val="zh-CN"/>
        </w:rPr>
      </w:pPr>
    </w:p>
    <w:p>
      <w:pPr>
        <w:pStyle w:val="17"/>
        <w:ind w:firstLine="452"/>
        <w:rPr>
          <w:lang w:val="zh-CN"/>
        </w:rPr>
      </w:pPr>
    </w:p>
    <w:p>
      <w:pPr>
        <w:pStyle w:val="17"/>
        <w:rPr>
          <w:rFonts w:eastAsia="仿宋"/>
        </w:rPr>
      </w:pPr>
    </w:p>
    <w:p>
      <w:pPr>
        <w:pStyle w:val="5"/>
        <w:rPr>
          <w:sz w:val="28"/>
          <w:szCs w:val="28"/>
        </w:rPr>
      </w:pPr>
      <w:bookmarkStart w:id="90" w:name="_Toc12898_WPSOffice_Level1"/>
      <w:bookmarkStart w:id="91" w:name="_Toc1203"/>
      <w:bookmarkStart w:id="92" w:name="_Toc26970_WPSOffice_Level1"/>
      <w:bookmarkStart w:id="93" w:name="_Toc14784"/>
      <w:bookmarkStart w:id="94" w:name="_Toc425499579"/>
      <w:bookmarkStart w:id="95" w:name="_Toc7794_WPSOffice_Level1"/>
      <w:bookmarkStart w:id="96" w:name="_Toc491785484"/>
      <w:bookmarkStart w:id="97" w:name="_Toc349514257"/>
      <w:r>
        <w:rPr>
          <w:sz w:val="28"/>
          <w:szCs w:val="28"/>
        </w:rPr>
        <w:t>2</w:t>
      </w:r>
      <w:r>
        <w:rPr>
          <w:rFonts w:hint="eastAsia"/>
          <w:sz w:val="28"/>
          <w:szCs w:val="28"/>
        </w:rPr>
        <w:t>加油站</w:t>
      </w:r>
      <w:r>
        <w:rPr>
          <w:sz w:val="28"/>
          <w:szCs w:val="28"/>
        </w:rPr>
        <w:t>基本情况调查</w:t>
      </w:r>
      <w:bookmarkEnd w:id="90"/>
      <w:bookmarkEnd w:id="91"/>
      <w:bookmarkEnd w:id="92"/>
      <w:bookmarkEnd w:id="93"/>
      <w:bookmarkEnd w:id="94"/>
      <w:bookmarkEnd w:id="95"/>
      <w:bookmarkEnd w:id="96"/>
    </w:p>
    <w:bookmarkEnd w:id="97"/>
    <w:p>
      <w:pPr>
        <w:pStyle w:val="6"/>
        <w:rPr>
          <w:sz w:val="28"/>
          <w:szCs w:val="28"/>
        </w:rPr>
      </w:pPr>
      <w:bookmarkStart w:id="98" w:name="_Toc349514258"/>
      <w:bookmarkStart w:id="99" w:name="_Toc425499580"/>
      <w:bookmarkStart w:id="100" w:name="_Toc13676"/>
      <w:bookmarkStart w:id="101" w:name="_Toc22658"/>
      <w:bookmarkStart w:id="102" w:name="_Toc491785485"/>
      <w:bookmarkStart w:id="103" w:name="_Toc12427_WPSOffice_Level2"/>
      <w:bookmarkStart w:id="104" w:name="_Toc8732_WPSOffice_Level2"/>
      <w:bookmarkStart w:id="105" w:name="_Toc18684_WPSOffice_Level2"/>
      <w:r>
        <w:rPr>
          <w:sz w:val="28"/>
          <w:szCs w:val="28"/>
        </w:rPr>
        <w:t>2.1</w:t>
      </w:r>
      <w:r>
        <w:rPr>
          <w:rFonts w:hint="eastAsia"/>
          <w:sz w:val="28"/>
          <w:szCs w:val="28"/>
        </w:rPr>
        <w:t>加油站</w:t>
      </w:r>
      <w:r>
        <w:rPr>
          <w:sz w:val="28"/>
          <w:szCs w:val="28"/>
        </w:rPr>
        <w:t>概况</w:t>
      </w:r>
      <w:bookmarkEnd w:id="98"/>
      <w:bookmarkEnd w:id="99"/>
      <w:bookmarkEnd w:id="100"/>
      <w:bookmarkEnd w:id="101"/>
      <w:bookmarkEnd w:id="102"/>
      <w:bookmarkEnd w:id="103"/>
      <w:bookmarkEnd w:id="104"/>
      <w:bookmarkEnd w:id="105"/>
    </w:p>
    <w:p>
      <w:pPr>
        <w:spacing w:after="0" w:line="360" w:lineRule="auto"/>
        <w:ind w:firstLine="480"/>
        <w:jc w:val="both"/>
        <w:rPr>
          <w:rFonts w:ascii="仿宋" w:hAnsi="仿宋" w:eastAsia="仿宋" w:cs="仿宋"/>
          <w:bCs/>
          <w:color w:val="C00000"/>
          <w:sz w:val="24"/>
          <w:szCs w:val="24"/>
        </w:rPr>
      </w:pPr>
      <w:r>
        <w:rPr>
          <w:rFonts w:hint="eastAsia" w:ascii="仿宋" w:hAnsi="仿宋" w:eastAsia="仿宋" w:cs="仿宋"/>
          <w:bCs/>
          <w:sz w:val="24"/>
          <w:szCs w:val="24"/>
        </w:rPr>
        <w:t>中国石化销售有限公司云南文山石油分公司西畴县金玉加油站建设项目，位于西畴县金玉路（县委对面），主要从事汽油、柴油的销售。加油站占地面积1445m</w:t>
      </w:r>
      <w:r>
        <w:rPr>
          <w:rFonts w:hint="eastAsia" w:ascii="仿宋" w:hAnsi="仿宋" w:eastAsia="仿宋" w:cs="仿宋"/>
          <w:bCs/>
          <w:sz w:val="24"/>
          <w:szCs w:val="24"/>
          <w:vertAlign w:val="superscript"/>
        </w:rPr>
        <w:t>2</w:t>
      </w:r>
      <w:r>
        <w:rPr>
          <w:rFonts w:hint="eastAsia" w:ascii="仿宋" w:hAnsi="仿宋" w:eastAsia="仿宋" w:cs="仿宋"/>
          <w:bCs/>
          <w:sz w:val="24"/>
          <w:szCs w:val="24"/>
        </w:rPr>
        <w:t>，储油罐已设置为地埋式，储油罐区地面已进行硬化，设置4座双层储油罐，储油罐区已防渗池（配套安装有渗漏在线检测系统），其中1个50m</w:t>
      </w:r>
      <w:r>
        <w:rPr>
          <w:rFonts w:hint="eastAsia" w:ascii="仿宋" w:hAnsi="仿宋" w:eastAsia="仿宋" w:cs="仿宋"/>
          <w:bCs/>
          <w:sz w:val="24"/>
          <w:szCs w:val="24"/>
          <w:vertAlign w:val="superscript"/>
        </w:rPr>
        <w:t>3</w:t>
      </w:r>
      <w:r>
        <w:rPr>
          <w:rFonts w:hint="eastAsia" w:ascii="仿宋" w:hAnsi="仿宋" w:eastAsia="仿宋" w:cs="仿宋"/>
          <w:bCs/>
          <w:sz w:val="24"/>
          <w:szCs w:val="24"/>
        </w:rPr>
        <w:t>的0</w:t>
      </w:r>
      <w:r>
        <w:rPr>
          <w:rFonts w:hint="eastAsia" w:ascii="仿宋" w:hAnsi="仿宋" w:eastAsia="仿宋" w:cs="仿宋"/>
          <w:bCs/>
          <w:sz w:val="24"/>
          <w:szCs w:val="24"/>
          <w:vertAlign w:val="superscript"/>
        </w:rPr>
        <w:t>#</w:t>
      </w:r>
      <w:r>
        <w:rPr>
          <w:rFonts w:hint="eastAsia" w:ascii="仿宋" w:hAnsi="仿宋" w:eastAsia="仿宋" w:cs="仿宋"/>
          <w:bCs/>
          <w:sz w:val="24"/>
          <w:szCs w:val="24"/>
        </w:rPr>
        <w:t>柴油储罐，1个30m</w:t>
      </w:r>
      <w:r>
        <w:rPr>
          <w:rFonts w:hint="eastAsia" w:ascii="仿宋" w:hAnsi="仿宋" w:eastAsia="仿宋" w:cs="仿宋"/>
          <w:bCs/>
          <w:sz w:val="24"/>
          <w:szCs w:val="24"/>
          <w:vertAlign w:val="superscript"/>
        </w:rPr>
        <w:t>3</w:t>
      </w:r>
      <w:r>
        <w:rPr>
          <w:rFonts w:hint="eastAsia" w:ascii="仿宋" w:hAnsi="仿宋" w:eastAsia="仿宋" w:cs="仿宋"/>
          <w:bCs/>
          <w:sz w:val="24"/>
          <w:szCs w:val="24"/>
        </w:rPr>
        <w:t>的92</w:t>
      </w:r>
      <w:r>
        <w:rPr>
          <w:rFonts w:hint="eastAsia" w:ascii="仿宋" w:hAnsi="仿宋" w:eastAsia="仿宋" w:cs="仿宋"/>
          <w:bCs/>
          <w:sz w:val="24"/>
          <w:szCs w:val="24"/>
          <w:vertAlign w:val="superscript"/>
        </w:rPr>
        <w:t>#</w:t>
      </w:r>
      <w:r>
        <w:rPr>
          <w:rFonts w:hint="eastAsia" w:ascii="仿宋" w:hAnsi="仿宋" w:eastAsia="仿宋" w:cs="仿宋"/>
          <w:bCs/>
          <w:sz w:val="24"/>
          <w:szCs w:val="24"/>
        </w:rPr>
        <w:t>汽油储罐，1个30m</w:t>
      </w:r>
      <w:r>
        <w:rPr>
          <w:rFonts w:hint="eastAsia" w:ascii="仿宋" w:hAnsi="仿宋" w:eastAsia="仿宋" w:cs="仿宋"/>
          <w:bCs/>
          <w:sz w:val="24"/>
          <w:szCs w:val="24"/>
          <w:vertAlign w:val="superscript"/>
        </w:rPr>
        <w:t>3</w:t>
      </w:r>
      <w:r>
        <w:rPr>
          <w:rFonts w:hint="eastAsia" w:ascii="仿宋" w:hAnsi="仿宋" w:eastAsia="仿宋" w:cs="仿宋"/>
          <w:bCs/>
          <w:sz w:val="24"/>
          <w:szCs w:val="24"/>
        </w:rPr>
        <w:t>的95</w:t>
      </w:r>
      <w:r>
        <w:rPr>
          <w:rFonts w:hint="eastAsia" w:ascii="仿宋" w:hAnsi="仿宋" w:eastAsia="仿宋" w:cs="仿宋"/>
          <w:bCs/>
          <w:sz w:val="24"/>
          <w:szCs w:val="24"/>
          <w:vertAlign w:val="superscript"/>
        </w:rPr>
        <w:t>#</w:t>
      </w:r>
      <w:r>
        <w:rPr>
          <w:rFonts w:hint="eastAsia" w:ascii="仿宋" w:hAnsi="仿宋" w:eastAsia="仿宋" w:cs="仿宋"/>
          <w:bCs/>
          <w:sz w:val="24"/>
          <w:szCs w:val="24"/>
        </w:rPr>
        <w:t>汽油储罐，1个30m</w:t>
      </w:r>
      <w:r>
        <w:rPr>
          <w:rFonts w:hint="eastAsia" w:ascii="仿宋" w:hAnsi="仿宋" w:eastAsia="仿宋" w:cs="仿宋"/>
          <w:bCs/>
          <w:sz w:val="24"/>
          <w:szCs w:val="24"/>
          <w:vertAlign w:val="superscript"/>
        </w:rPr>
        <w:t>3</w:t>
      </w:r>
      <w:r>
        <w:rPr>
          <w:rFonts w:hint="eastAsia" w:ascii="仿宋" w:hAnsi="仿宋" w:eastAsia="仿宋" w:cs="仿宋"/>
          <w:bCs/>
          <w:sz w:val="24"/>
          <w:szCs w:val="24"/>
        </w:rPr>
        <w:t>的98</w:t>
      </w:r>
      <w:r>
        <w:rPr>
          <w:rFonts w:hint="eastAsia" w:ascii="仿宋" w:hAnsi="仿宋" w:eastAsia="仿宋" w:cs="仿宋"/>
          <w:bCs/>
          <w:sz w:val="24"/>
          <w:szCs w:val="24"/>
          <w:vertAlign w:val="superscript"/>
        </w:rPr>
        <w:t>#</w:t>
      </w:r>
      <w:r>
        <w:rPr>
          <w:rFonts w:hint="eastAsia" w:ascii="仿宋" w:hAnsi="仿宋" w:eastAsia="仿宋" w:cs="仿宋"/>
          <w:bCs/>
          <w:sz w:val="24"/>
          <w:szCs w:val="24"/>
        </w:rPr>
        <w:t>汽油储罐；根据《汽车加油加气站设计与施工规范》（GB50156-2012），柴油罐容积折半计入油罐总容积），总容积为115m</w:t>
      </w:r>
      <w:r>
        <w:rPr>
          <w:rFonts w:hint="eastAsia" w:ascii="仿宋" w:hAnsi="仿宋" w:eastAsia="仿宋" w:cs="仿宋"/>
          <w:bCs/>
          <w:sz w:val="24"/>
          <w:szCs w:val="24"/>
          <w:vertAlign w:val="superscript"/>
        </w:rPr>
        <w:t>3</w:t>
      </w:r>
      <w:r>
        <w:rPr>
          <w:rFonts w:hint="eastAsia" w:ascii="仿宋" w:hAnsi="仿宋" w:eastAsia="仿宋" w:cs="仿宋"/>
          <w:bCs/>
          <w:sz w:val="24"/>
          <w:szCs w:val="24"/>
        </w:rPr>
        <w:t>，为二级加油站。储油罐安装液位仪共</w:t>
      </w:r>
      <w:r>
        <w:rPr>
          <w:rFonts w:hint="eastAsia" w:ascii="仿宋" w:hAnsi="仿宋" w:eastAsia="仿宋" w:cs="仿宋"/>
          <w:bCs/>
          <w:sz w:val="24"/>
          <w:szCs w:val="24"/>
          <w:lang w:val="en-US" w:eastAsia="zh-CN"/>
        </w:rPr>
        <w:t>4</w:t>
      </w:r>
      <w:r>
        <w:rPr>
          <w:rFonts w:hint="eastAsia" w:ascii="仿宋" w:hAnsi="仿宋" w:eastAsia="仿宋" w:cs="仿宋"/>
          <w:bCs/>
          <w:sz w:val="24"/>
          <w:szCs w:val="24"/>
        </w:rPr>
        <w:t>套，用于预防溢油事故；并对储罐及加油机设置了2套油气回收装置。</w:t>
      </w:r>
    </w:p>
    <w:p>
      <w:pPr>
        <w:widowControl w:val="0"/>
        <w:spacing w:after="0" w:line="360" w:lineRule="auto"/>
        <w:ind w:firstLine="482"/>
        <w:jc w:val="center"/>
        <w:rPr>
          <w:rFonts w:ascii="仿宋" w:hAnsi="仿宋" w:eastAsia="仿宋" w:cs="仿宋"/>
          <w:b/>
          <w:sz w:val="24"/>
          <w:szCs w:val="24"/>
        </w:rPr>
      </w:pPr>
      <w:r>
        <w:rPr>
          <w:rFonts w:hint="eastAsia" w:ascii="仿宋" w:hAnsi="仿宋" w:eastAsia="仿宋" w:cs="仿宋"/>
          <w:b/>
          <w:sz w:val="24"/>
          <w:szCs w:val="24"/>
        </w:rPr>
        <w:t>表2.1-1    加油站基本情况一览表</w:t>
      </w:r>
    </w:p>
    <w:tbl>
      <w:tblPr>
        <w:tblStyle w:val="31"/>
        <w:tblW w:w="83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2"/>
        <w:gridCol w:w="2706"/>
        <w:gridCol w:w="1928"/>
        <w:gridCol w:w="2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412" w:type="dxa"/>
            <w:noWrap/>
            <w:vAlign w:val="center"/>
          </w:tcPr>
          <w:p>
            <w:pPr>
              <w:widowControl w:val="0"/>
              <w:jc w:val="center"/>
              <w:rPr>
                <w:rFonts w:eastAsia="仿宋_GB2312"/>
                <w:b/>
                <w:sz w:val="21"/>
                <w:szCs w:val="21"/>
              </w:rPr>
            </w:pPr>
            <w:r>
              <w:rPr>
                <w:rFonts w:hAnsi="仿宋_GB2312" w:eastAsia="仿宋_GB2312"/>
                <w:b/>
                <w:sz w:val="21"/>
                <w:szCs w:val="21"/>
              </w:rPr>
              <w:t>单位名称</w:t>
            </w:r>
          </w:p>
        </w:tc>
        <w:tc>
          <w:tcPr>
            <w:tcW w:w="2706" w:type="dxa"/>
            <w:noWrap/>
            <w:vAlign w:val="center"/>
          </w:tcPr>
          <w:p>
            <w:pPr>
              <w:widowControl w:val="0"/>
              <w:jc w:val="center"/>
              <w:rPr>
                <w:rFonts w:eastAsia="仿宋_GB2312"/>
                <w:sz w:val="21"/>
                <w:szCs w:val="21"/>
              </w:rPr>
            </w:pPr>
            <w:r>
              <w:rPr>
                <w:rFonts w:eastAsia="仿宋_GB2312"/>
                <w:bCs/>
                <w:sz w:val="21"/>
                <w:szCs w:val="21"/>
              </w:rPr>
              <w:t>中国石化销售股份有限公司云南文山石油分公司</w:t>
            </w:r>
            <w:r>
              <w:rPr>
                <w:rFonts w:hint="eastAsia" w:eastAsia="仿宋_GB2312"/>
                <w:bCs/>
                <w:sz w:val="21"/>
                <w:szCs w:val="21"/>
              </w:rPr>
              <w:t>西畴县金玉加油站</w:t>
            </w:r>
          </w:p>
        </w:tc>
        <w:tc>
          <w:tcPr>
            <w:tcW w:w="1928" w:type="dxa"/>
            <w:noWrap/>
            <w:vAlign w:val="center"/>
          </w:tcPr>
          <w:p>
            <w:pPr>
              <w:widowControl w:val="0"/>
              <w:jc w:val="center"/>
              <w:rPr>
                <w:rFonts w:eastAsia="仿宋_GB2312"/>
                <w:b/>
                <w:sz w:val="21"/>
                <w:szCs w:val="21"/>
              </w:rPr>
            </w:pPr>
            <w:r>
              <w:rPr>
                <w:rFonts w:hAnsi="仿宋_GB2312" w:eastAsia="仿宋_GB2312"/>
                <w:b/>
                <w:sz w:val="21"/>
                <w:szCs w:val="21"/>
              </w:rPr>
              <w:t>社会统一信用代码</w:t>
            </w:r>
          </w:p>
        </w:tc>
        <w:tc>
          <w:tcPr>
            <w:tcW w:w="2286" w:type="dxa"/>
            <w:noWrap/>
            <w:vAlign w:val="center"/>
          </w:tcPr>
          <w:p>
            <w:pPr>
              <w:widowControl w:val="0"/>
              <w:jc w:val="center"/>
              <w:rPr>
                <w:rFonts w:eastAsia="仿宋_GB2312"/>
                <w:szCs w:val="28"/>
              </w:rPr>
            </w:pPr>
            <w:r>
              <w:rPr>
                <w:rStyle w:val="81"/>
                <w:rFonts w:hint="default"/>
                <w:sz w:val="21"/>
              </w:rPr>
              <w:t>915326235798074353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412" w:type="dxa"/>
            <w:noWrap/>
            <w:vAlign w:val="center"/>
          </w:tcPr>
          <w:p>
            <w:pPr>
              <w:widowControl w:val="0"/>
              <w:jc w:val="center"/>
              <w:rPr>
                <w:rFonts w:eastAsia="仿宋_GB2312"/>
                <w:b/>
                <w:sz w:val="21"/>
                <w:szCs w:val="21"/>
              </w:rPr>
            </w:pPr>
            <w:r>
              <w:rPr>
                <w:rFonts w:hAnsi="仿宋_GB2312" w:eastAsia="仿宋_GB2312"/>
                <w:b/>
                <w:sz w:val="21"/>
                <w:szCs w:val="21"/>
              </w:rPr>
              <w:t>法定代表人</w:t>
            </w:r>
          </w:p>
        </w:tc>
        <w:tc>
          <w:tcPr>
            <w:tcW w:w="2706" w:type="dxa"/>
            <w:noWrap/>
            <w:vAlign w:val="center"/>
          </w:tcPr>
          <w:p>
            <w:pPr>
              <w:widowControl w:val="0"/>
              <w:jc w:val="center"/>
              <w:rPr>
                <w:rFonts w:eastAsia="仿宋_GB2312"/>
                <w:sz w:val="21"/>
                <w:szCs w:val="21"/>
              </w:rPr>
            </w:pPr>
            <w:r>
              <w:rPr>
                <w:rFonts w:hAnsi="仿宋_GB2312" w:eastAsia="仿宋_GB2312"/>
                <w:sz w:val="21"/>
                <w:szCs w:val="21"/>
              </w:rPr>
              <w:t>廖卫东</w:t>
            </w:r>
          </w:p>
        </w:tc>
        <w:tc>
          <w:tcPr>
            <w:tcW w:w="1928" w:type="dxa"/>
            <w:noWrap/>
            <w:vAlign w:val="center"/>
          </w:tcPr>
          <w:p>
            <w:pPr>
              <w:widowControl w:val="0"/>
              <w:jc w:val="center"/>
              <w:rPr>
                <w:rFonts w:eastAsia="仿宋_GB2312"/>
                <w:b/>
                <w:sz w:val="21"/>
                <w:szCs w:val="21"/>
              </w:rPr>
            </w:pPr>
            <w:r>
              <w:rPr>
                <w:rFonts w:hAnsi="仿宋_GB2312" w:eastAsia="仿宋_GB2312"/>
                <w:b/>
                <w:sz w:val="21"/>
                <w:szCs w:val="21"/>
              </w:rPr>
              <w:t>联系电话</w:t>
            </w:r>
          </w:p>
        </w:tc>
        <w:tc>
          <w:tcPr>
            <w:tcW w:w="2286" w:type="dxa"/>
            <w:noWrap/>
            <w:vAlign w:val="center"/>
          </w:tcPr>
          <w:p>
            <w:pPr>
              <w:widowControl w:val="0"/>
              <w:jc w:val="center"/>
              <w:rPr>
                <w:rFonts w:eastAsia="仿宋_GB2312"/>
                <w:sz w:val="21"/>
                <w:szCs w:val="21"/>
              </w:rPr>
            </w:pPr>
            <w:r>
              <w:rPr>
                <w:rFonts w:eastAsia="仿宋_GB2312"/>
                <w:sz w:val="21"/>
                <w:szCs w:val="21"/>
              </w:rPr>
              <w:t>0876-2126803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412" w:type="dxa"/>
            <w:noWrap/>
            <w:vAlign w:val="center"/>
          </w:tcPr>
          <w:p>
            <w:pPr>
              <w:widowControl w:val="0"/>
              <w:jc w:val="center"/>
              <w:rPr>
                <w:rFonts w:eastAsia="仿宋_GB2312"/>
                <w:b/>
                <w:sz w:val="21"/>
                <w:szCs w:val="21"/>
              </w:rPr>
            </w:pPr>
            <w:r>
              <w:rPr>
                <w:rFonts w:hAnsi="仿宋_GB2312" w:eastAsia="仿宋_GB2312"/>
                <w:b/>
                <w:sz w:val="21"/>
                <w:szCs w:val="21"/>
              </w:rPr>
              <w:t>联系人</w:t>
            </w:r>
          </w:p>
        </w:tc>
        <w:tc>
          <w:tcPr>
            <w:tcW w:w="2706" w:type="dxa"/>
            <w:noWrap/>
            <w:vAlign w:val="center"/>
          </w:tcPr>
          <w:p>
            <w:pPr>
              <w:widowControl w:val="0"/>
              <w:jc w:val="center"/>
              <w:rPr>
                <w:rFonts w:eastAsia="仿宋_GB2312"/>
                <w:sz w:val="21"/>
                <w:szCs w:val="21"/>
              </w:rPr>
            </w:pPr>
            <w:r>
              <w:rPr>
                <w:rFonts w:hint="eastAsia" w:hAnsi="仿宋_GB2312" w:eastAsia="仿宋_GB2312"/>
                <w:sz w:val="21"/>
                <w:szCs w:val="21"/>
              </w:rPr>
              <w:t>吴玉娟</w:t>
            </w:r>
          </w:p>
        </w:tc>
        <w:tc>
          <w:tcPr>
            <w:tcW w:w="1928" w:type="dxa"/>
            <w:noWrap/>
            <w:vAlign w:val="center"/>
          </w:tcPr>
          <w:p>
            <w:pPr>
              <w:widowControl w:val="0"/>
              <w:jc w:val="center"/>
              <w:rPr>
                <w:rFonts w:eastAsia="仿宋_GB2312"/>
                <w:b/>
                <w:sz w:val="21"/>
                <w:szCs w:val="21"/>
              </w:rPr>
            </w:pPr>
            <w:r>
              <w:rPr>
                <w:rFonts w:hAnsi="仿宋_GB2312" w:eastAsia="仿宋_GB2312"/>
                <w:b/>
                <w:sz w:val="21"/>
                <w:szCs w:val="21"/>
              </w:rPr>
              <w:t>联系电话</w:t>
            </w:r>
          </w:p>
        </w:tc>
        <w:tc>
          <w:tcPr>
            <w:tcW w:w="2286" w:type="dxa"/>
            <w:noWrap/>
            <w:vAlign w:val="center"/>
          </w:tcPr>
          <w:p>
            <w:pPr>
              <w:widowControl w:val="0"/>
              <w:jc w:val="center"/>
              <w:rPr>
                <w:rFonts w:eastAsia="仿宋_GB2312"/>
                <w:sz w:val="21"/>
                <w:szCs w:val="21"/>
              </w:rPr>
            </w:pPr>
            <w:r>
              <w:rPr>
                <w:rFonts w:hint="eastAsia" w:eastAsia="仿宋_GB2312"/>
                <w:sz w:val="21"/>
                <w:szCs w:val="21"/>
              </w:rPr>
              <w:t>13508765250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412" w:type="dxa"/>
            <w:noWrap/>
            <w:vAlign w:val="center"/>
          </w:tcPr>
          <w:p>
            <w:pPr>
              <w:widowControl w:val="0"/>
              <w:jc w:val="center"/>
              <w:rPr>
                <w:rFonts w:eastAsia="仿宋_GB2312"/>
                <w:b/>
                <w:sz w:val="21"/>
                <w:szCs w:val="21"/>
              </w:rPr>
            </w:pPr>
            <w:r>
              <w:rPr>
                <w:rFonts w:hAnsi="仿宋_GB2312" w:eastAsia="仿宋_GB2312"/>
                <w:b/>
                <w:sz w:val="21"/>
                <w:szCs w:val="21"/>
              </w:rPr>
              <w:t>建成时间</w:t>
            </w:r>
          </w:p>
        </w:tc>
        <w:tc>
          <w:tcPr>
            <w:tcW w:w="2706" w:type="dxa"/>
            <w:noWrap/>
            <w:vAlign w:val="center"/>
          </w:tcPr>
          <w:p>
            <w:pPr>
              <w:widowControl w:val="0"/>
              <w:jc w:val="center"/>
              <w:rPr>
                <w:rFonts w:eastAsia="仿宋_GB2312"/>
                <w:sz w:val="21"/>
                <w:szCs w:val="21"/>
              </w:rPr>
            </w:pPr>
            <w:r>
              <w:rPr>
                <w:rFonts w:hint="eastAsia" w:eastAsia="仿宋_GB2312"/>
                <w:bCs/>
                <w:sz w:val="21"/>
                <w:szCs w:val="21"/>
                <w:lang w:val="en-US" w:eastAsia="zh-CN"/>
              </w:rPr>
              <w:t>2007</w:t>
            </w:r>
            <w:r>
              <w:rPr>
                <w:rFonts w:eastAsia="仿宋_GB2312"/>
                <w:bCs/>
                <w:sz w:val="21"/>
                <w:szCs w:val="21"/>
              </w:rPr>
              <w:t>年</w:t>
            </w:r>
            <w:r>
              <w:rPr>
                <w:rFonts w:hint="eastAsia" w:eastAsia="仿宋_GB2312"/>
                <w:bCs/>
                <w:sz w:val="21"/>
                <w:szCs w:val="21"/>
                <w:lang w:val="en-US" w:eastAsia="zh-CN"/>
              </w:rPr>
              <w:t>12</w:t>
            </w:r>
            <w:r>
              <w:rPr>
                <w:rFonts w:eastAsia="仿宋_GB2312"/>
                <w:bCs/>
                <w:sz w:val="21"/>
                <w:szCs w:val="21"/>
              </w:rPr>
              <w:t>月</w:t>
            </w:r>
          </w:p>
        </w:tc>
        <w:tc>
          <w:tcPr>
            <w:tcW w:w="1928" w:type="dxa"/>
            <w:noWrap/>
            <w:vAlign w:val="center"/>
          </w:tcPr>
          <w:p>
            <w:pPr>
              <w:widowControl w:val="0"/>
              <w:jc w:val="center"/>
              <w:rPr>
                <w:rFonts w:eastAsia="仿宋_GB2312"/>
                <w:b/>
                <w:sz w:val="21"/>
                <w:szCs w:val="21"/>
              </w:rPr>
            </w:pPr>
            <w:r>
              <w:rPr>
                <w:rFonts w:hAnsi="仿宋_GB2312" w:eastAsia="仿宋_GB2312"/>
                <w:b/>
                <w:sz w:val="21"/>
                <w:szCs w:val="21"/>
              </w:rPr>
              <w:t>加油站级别</w:t>
            </w:r>
          </w:p>
        </w:tc>
        <w:tc>
          <w:tcPr>
            <w:tcW w:w="2286" w:type="dxa"/>
            <w:noWrap/>
            <w:vAlign w:val="center"/>
          </w:tcPr>
          <w:p>
            <w:pPr>
              <w:widowControl w:val="0"/>
              <w:jc w:val="center"/>
              <w:rPr>
                <w:rFonts w:eastAsia="仿宋_GB2312"/>
                <w:sz w:val="21"/>
                <w:szCs w:val="21"/>
              </w:rPr>
            </w:pPr>
            <w:r>
              <w:rPr>
                <w:rFonts w:hint="eastAsia" w:hAnsi="仿宋_GB2312" w:eastAsia="仿宋_GB2312"/>
                <w:sz w:val="21"/>
                <w:szCs w:val="21"/>
              </w:rPr>
              <w:t>二</w:t>
            </w:r>
            <w:r>
              <w:rPr>
                <w:rFonts w:hAnsi="仿宋_GB2312" w:eastAsia="仿宋_GB2312"/>
                <w:sz w:val="21"/>
                <w:szCs w:val="21"/>
              </w:rPr>
              <w:t>级站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412" w:type="dxa"/>
            <w:noWrap/>
            <w:vAlign w:val="center"/>
          </w:tcPr>
          <w:p>
            <w:pPr>
              <w:widowControl w:val="0"/>
              <w:jc w:val="center"/>
              <w:rPr>
                <w:rFonts w:eastAsia="仿宋_GB2312"/>
                <w:b/>
                <w:sz w:val="21"/>
                <w:szCs w:val="21"/>
              </w:rPr>
            </w:pPr>
            <w:r>
              <w:rPr>
                <w:rFonts w:hAnsi="仿宋_GB2312" w:eastAsia="仿宋_GB2312"/>
                <w:b/>
                <w:sz w:val="21"/>
                <w:szCs w:val="21"/>
              </w:rPr>
              <w:t>详细地址</w:t>
            </w:r>
          </w:p>
        </w:tc>
        <w:tc>
          <w:tcPr>
            <w:tcW w:w="6920" w:type="dxa"/>
            <w:gridSpan w:val="3"/>
            <w:noWrap/>
            <w:vAlign w:val="center"/>
          </w:tcPr>
          <w:p>
            <w:pPr>
              <w:pStyle w:val="17"/>
              <w:jc w:val="center"/>
              <w:rPr>
                <w:rFonts w:ascii="Times New Roman" w:hAnsi="Times New Roman" w:eastAsia="仿宋_GB2312" w:cs="Times New Roman"/>
              </w:rPr>
            </w:pPr>
            <w:r>
              <w:rPr>
                <w:rFonts w:hint="eastAsia" w:ascii="Times New Roman" w:hAnsi="Times New Roman" w:eastAsia="仿宋_GB2312" w:cs="Times New Roman"/>
              </w:rPr>
              <w:t>云南省文山州西畴县金玉路</w:t>
            </w:r>
          </w:p>
          <w:p>
            <w:pPr>
              <w:widowControl w:val="0"/>
              <w:jc w:val="center"/>
              <w:rPr>
                <w:rFonts w:eastAsia="仿宋_GB2312"/>
                <w:sz w:val="21"/>
                <w:szCs w:val="21"/>
              </w:rPr>
            </w:pPr>
            <w:r>
              <w:rPr>
                <w:rFonts w:eastAsia="仿宋_GB2312"/>
                <w:sz w:val="21"/>
                <w:szCs w:val="21"/>
              </w:rPr>
              <w:t>中心坐标：</w:t>
            </w:r>
            <w:r>
              <w:rPr>
                <w:rFonts w:hint="eastAsia" w:ascii="仿宋" w:hAnsi="仿宋" w:eastAsia="仿宋" w:cs="仿宋"/>
                <w:sz w:val="21"/>
                <w:szCs w:val="21"/>
              </w:rPr>
              <w:t>E 104°</w:t>
            </w:r>
            <w:r>
              <w:rPr>
                <w:rFonts w:hint="eastAsia" w:ascii="仿宋" w:hAnsi="仿宋" w:cs="仿宋"/>
                <w:sz w:val="21"/>
                <w:szCs w:val="21"/>
              </w:rPr>
              <w:t>40</w:t>
            </w:r>
            <w:r>
              <w:rPr>
                <w:rFonts w:hint="eastAsia" w:ascii="仿宋" w:hAnsi="仿宋" w:eastAsia="仿宋" w:cs="仿宋"/>
                <w:sz w:val="21"/>
                <w:szCs w:val="21"/>
              </w:rPr>
              <w:t>′</w:t>
            </w:r>
            <w:r>
              <w:rPr>
                <w:rFonts w:hint="eastAsia" w:ascii="仿宋" w:hAnsi="仿宋" w:cs="仿宋"/>
                <w:sz w:val="21"/>
                <w:szCs w:val="21"/>
              </w:rPr>
              <w:t>49.30</w:t>
            </w:r>
            <w:r>
              <w:rPr>
                <w:rFonts w:hint="eastAsia" w:ascii="仿宋" w:hAnsi="仿宋" w:eastAsia="仿宋" w:cs="仿宋"/>
                <w:sz w:val="21"/>
                <w:szCs w:val="21"/>
              </w:rPr>
              <w:t>″  N 23°</w:t>
            </w:r>
            <w:r>
              <w:rPr>
                <w:rFonts w:hint="eastAsia" w:ascii="仿宋" w:hAnsi="仿宋" w:cs="仿宋"/>
                <w:sz w:val="21"/>
                <w:szCs w:val="21"/>
              </w:rPr>
              <w:t>26</w:t>
            </w:r>
            <w:r>
              <w:rPr>
                <w:rFonts w:hint="eastAsia" w:ascii="仿宋" w:hAnsi="仿宋" w:eastAsia="仿宋" w:cs="仿宋"/>
                <w:sz w:val="21"/>
                <w:szCs w:val="21"/>
              </w:rPr>
              <w:t>′</w:t>
            </w:r>
            <w:r>
              <w:rPr>
                <w:rFonts w:hint="eastAsia" w:ascii="仿宋" w:hAnsi="仿宋" w:cs="仿宋"/>
                <w:sz w:val="21"/>
                <w:szCs w:val="21"/>
              </w:rPr>
              <w:t>24.24</w:t>
            </w:r>
            <w:r>
              <w:rPr>
                <w:rFonts w:hint="eastAsia" w:ascii="仿宋" w:hAnsi="仿宋" w:eastAsia="仿宋" w:cs="仿宋"/>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412" w:type="dxa"/>
            <w:noWrap/>
            <w:vAlign w:val="center"/>
          </w:tcPr>
          <w:p>
            <w:pPr>
              <w:widowControl w:val="0"/>
              <w:jc w:val="center"/>
              <w:rPr>
                <w:rFonts w:eastAsia="仿宋_GB2312"/>
                <w:b/>
                <w:sz w:val="21"/>
                <w:szCs w:val="21"/>
              </w:rPr>
            </w:pPr>
            <w:r>
              <w:rPr>
                <w:rFonts w:hAnsi="仿宋_GB2312" w:eastAsia="仿宋_GB2312"/>
                <w:b/>
                <w:sz w:val="21"/>
                <w:szCs w:val="21"/>
              </w:rPr>
              <w:t>劳动定员和生产制度</w:t>
            </w:r>
          </w:p>
        </w:tc>
        <w:tc>
          <w:tcPr>
            <w:tcW w:w="6920" w:type="dxa"/>
            <w:gridSpan w:val="3"/>
            <w:noWrap/>
            <w:vAlign w:val="center"/>
          </w:tcPr>
          <w:p>
            <w:pPr>
              <w:pStyle w:val="17"/>
              <w:jc w:val="center"/>
              <w:rPr>
                <w:rFonts w:ascii="Times New Roman" w:hAnsi="Times New Roman" w:eastAsia="仿宋_GB2312" w:cs="Times New Roman"/>
              </w:rPr>
            </w:pPr>
            <w:r>
              <w:rPr>
                <w:rFonts w:hint="eastAsia" w:ascii="Times New Roman" w:hAnsi="Times New Roman" w:eastAsia="仿宋_GB2312" w:cs="Times New Roman"/>
              </w:rPr>
              <w:t>项目共有工作人员7人，实行2班制，</w:t>
            </w:r>
          </w:p>
          <w:p>
            <w:pPr>
              <w:pStyle w:val="17"/>
              <w:jc w:val="center"/>
              <w:rPr>
                <w:rFonts w:eastAsia="仿宋_GB2312"/>
              </w:rPr>
            </w:pPr>
            <w:r>
              <w:rPr>
                <w:rFonts w:hint="eastAsia" w:ascii="Times New Roman" w:hAnsi="Times New Roman" w:eastAsia="仿宋_GB2312" w:cs="Times New Roman"/>
              </w:rPr>
              <w:t>每班工作时间12小时，每年工作日365天。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5" w:hRule="atLeast"/>
          <w:jc w:val="center"/>
        </w:trPr>
        <w:tc>
          <w:tcPr>
            <w:tcW w:w="1412" w:type="dxa"/>
            <w:noWrap/>
            <w:vAlign w:val="center"/>
          </w:tcPr>
          <w:p>
            <w:pPr>
              <w:widowControl w:val="0"/>
              <w:jc w:val="center"/>
              <w:rPr>
                <w:rFonts w:eastAsia="仿宋_GB2312"/>
                <w:b/>
                <w:color w:val="C00000"/>
                <w:sz w:val="21"/>
                <w:szCs w:val="21"/>
              </w:rPr>
            </w:pPr>
            <w:r>
              <w:rPr>
                <w:rFonts w:hAnsi="仿宋_GB2312" w:eastAsia="仿宋_GB2312"/>
                <w:b/>
                <w:sz w:val="21"/>
                <w:szCs w:val="21"/>
              </w:rPr>
              <w:t>环保手续</w:t>
            </w:r>
          </w:p>
        </w:tc>
        <w:tc>
          <w:tcPr>
            <w:tcW w:w="6920" w:type="dxa"/>
            <w:gridSpan w:val="3"/>
            <w:noWrap/>
            <w:vAlign w:val="center"/>
          </w:tcPr>
          <w:p>
            <w:pPr>
              <w:spacing w:after="0" w:line="360" w:lineRule="auto"/>
              <w:ind w:firstLine="420" w:firstLineChars="200"/>
              <w:rPr>
                <w:rFonts w:hAnsi="仿宋_GB2312" w:eastAsia="仿宋_GB2312"/>
                <w:bCs/>
                <w:sz w:val="21"/>
                <w:szCs w:val="21"/>
              </w:rPr>
            </w:pPr>
            <w:r>
              <w:rPr>
                <w:rFonts w:hint="eastAsia" w:hAnsi="仿宋_GB2312" w:eastAsia="仿宋_GB2312"/>
                <w:bCs/>
                <w:sz w:val="21"/>
                <w:szCs w:val="21"/>
              </w:rPr>
              <w:t>2007年6月编制了项目环境影响报告表，并于2007年6月18日取得西畴县环境保护局《西畴县环境保护局关于西畴县金玉加油站建设项目环境影响报告表的审批意见》（西环发[2007]62号），2008年8月，项目通过环境保护验收。</w:t>
            </w:r>
            <w:bookmarkStart w:id="106" w:name="_Toc349514259"/>
            <w:bookmarkStart w:id="107" w:name="_Toc425499581"/>
            <w:bookmarkStart w:id="108" w:name="_Toc491785486"/>
          </w:p>
          <w:bookmarkEnd w:id="106"/>
          <w:bookmarkEnd w:id="107"/>
          <w:bookmarkEnd w:id="108"/>
          <w:p>
            <w:pPr>
              <w:spacing w:after="0" w:line="360" w:lineRule="auto"/>
              <w:ind w:firstLine="420" w:firstLineChars="200"/>
              <w:rPr>
                <w:rFonts w:hAnsi="仿宋_GB2312" w:eastAsia="仿宋_GB2312"/>
                <w:bCs/>
                <w:color w:val="C00000"/>
                <w:sz w:val="21"/>
                <w:szCs w:val="21"/>
              </w:rPr>
            </w:pPr>
            <w:r>
              <w:rPr>
                <w:rFonts w:hint="eastAsia" w:hAnsi="仿宋_GB2312" w:eastAsia="仿宋_GB2312"/>
                <w:bCs/>
                <w:sz w:val="21"/>
                <w:szCs w:val="21"/>
              </w:rPr>
              <w:t>2018年8月编制了《中国石化销售有限公司云南文山石油分公司西畴县金玉加油站应急预案》并备案，目前预案已满3年到期，更新后的预案正在编制中。</w:t>
            </w:r>
          </w:p>
        </w:tc>
      </w:tr>
    </w:tbl>
    <w:p>
      <w:pPr>
        <w:pStyle w:val="7"/>
        <w:adjustRightInd w:val="0"/>
        <w:snapToGrid w:val="0"/>
        <w:spacing w:beforeLines="50"/>
        <w:rPr>
          <w:rFonts w:eastAsia="仿宋_GB2312"/>
          <w:szCs w:val="28"/>
        </w:rPr>
      </w:pPr>
      <w:bookmarkStart w:id="109" w:name="_Toc74855962"/>
      <w:bookmarkStart w:id="110" w:name="_Toc425499588"/>
      <w:bookmarkStart w:id="111" w:name="_Toc350801927"/>
      <w:bookmarkStart w:id="112" w:name="_Toc28501"/>
      <w:bookmarkStart w:id="113" w:name="_Toc17577_WPSOffice_Level2"/>
      <w:bookmarkStart w:id="114" w:name="_Toc14142_WPSOffice_Level2"/>
      <w:bookmarkStart w:id="115" w:name="_Toc8779_WPSOffice_Level2"/>
      <w:bookmarkStart w:id="116" w:name="_Toc491785489"/>
      <w:r>
        <w:rPr>
          <w:rFonts w:eastAsia="仿宋_GB2312"/>
          <w:szCs w:val="28"/>
        </w:rPr>
        <w:t>2.1.1地理位置</w:t>
      </w:r>
      <w:bookmarkEnd w:id="109"/>
    </w:p>
    <w:p>
      <w:pPr>
        <w:spacing w:line="360" w:lineRule="auto"/>
        <w:ind w:firstLine="480" w:firstLineChars="200"/>
        <w:rPr>
          <w:rFonts w:ascii="仿宋" w:hAnsi="仿宋" w:eastAsia="仿宋" w:cs="仿宋"/>
          <w:sz w:val="24"/>
          <w:szCs w:val="24"/>
        </w:rPr>
      </w:pPr>
      <w:bookmarkStart w:id="117" w:name="_Toc14781"/>
      <w:bookmarkStart w:id="118" w:name="_Toc522025628"/>
      <w:bookmarkStart w:id="119" w:name="_Toc19452"/>
      <w:r>
        <w:rPr>
          <w:rFonts w:hint="eastAsia" w:ascii="仿宋" w:hAnsi="仿宋" w:eastAsia="仿宋" w:cs="仿宋"/>
          <w:sz w:val="24"/>
          <w:szCs w:val="24"/>
        </w:rPr>
        <w:t>西畴县是云南省文山壮族苗族自治州下属的一个县，西畴县下辖2个镇、7个乡：西洒镇、金玉加油站镇、蚌谷乡、莲花塘乡、新马街乡、柏林乡、法斗乡、董马乡、鸡街乡，县政府驻西洒镇。西畴县在文山壮族苗族自治州中部，位于东经104.22′～104.58′、北纬23.06′～23.37′之间。北回归线横贯县境。西畴县地处云贵高原的南部边缘，地势北部和中部高，东南、西南低，境内山峦起伏，地形复杂。西畴县境东西长63.6公里，南北宽59公里。东南接麻栗坡县，西南隔盘龙河与马关县相望，西靠文山、砚山两县，东北与广南县隔达马河相望。具体详见附图1：项目地理位置图。</w:t>
      </w:r>
    </w:p>
    <w:p>
      <w:pPr>
        <w:pStyle w:val="7"/>
        <w:adjustRightInd w:val="0"/>
        <w:snapToGrid w:val="0"/>
        <w:rPr>
          <w:rFonts w:ascii="仿宋" w:hAnsi="仿宋" w:cs="仿宋"/>
          <w:szCs w:val="28"/>
        </w:rPr>
      </w:pPr>
      <w:bookmarkStart w:id="120" w:name="_Toc74855963"/>
      <w:r>
        <w:rPr>
          <w:rFonts w:hint="eastAsia" w:ascii="仿宋" w:hAnsi="仿宋" w:cs="仿宋"/>
          <w:szCs w:val="28"/>
        </w:rPr>
        <w:t>2.1.2</w:t>
      </w:r>
      <w:bookmarkEnd w:id="117"/>
      <w:bookmarkEnd w:id="118"/>
      <w:bookmarkEnd w:id="119"/>
      <w:bookmarkEnd w:id="120"/>
      <w:r>
        <w:rPr>
          <w:rFonts w:hint="eastAsia" w:ascii="仿宋" w:hAnsi="仿宋" w:cs="仿宋"/>
          <w:szCs w:val="28"/>
        </w:rPr>
        <w:t>地形、地貌、地质</w:t>
      </w:r>
    </w:p>
    <w:p>
      <w:pPr>
        <w:spacing w:line="360" w:lineRule="auto"/>
        <w:ind w:firstLine="484" w:firstLineChars="200"/>
        <w:rPr>
          <w:rFonts w:ascii="宋体" w:hAnsi="宋体" w:eastAsia="仿宋_GB2312"/>
          <w:spacing w:val="1"/>
          <w:sz w:val="24"/>
          <w:szCs w:val="28"/>
        </w:rPr>
      </w:pPr>
      <w:bookmarkStart w:id="121" w:name="_Toc72068647"/>
      <w:bookmarkStart w:id="122" w:name="_Toc522025629"/>
      <w:r>
        <w:rPr>
          <w:rFonts w:hint="eastAsia" w:ascii="宋体" w:hAnsi="宋体" w:eastAsia="仿宋_GB2312"/>
          <w:spacing w:val="1"/>
          <w:sz w:val="24"/>
          <w:szCs w:val="28"/>
        </w:rPr>
        <w:t>西畴县地处云贵高原的南部边缘，地势北部和中部高，东南、西南低，境内山峦起伏，地形复杂。主要山脉呈现西北走向和西南走向。西北至东西走向的有铁厂山梁，位于境内中北部，西北至东南走向的有万家寨梁子，位于县境西南部，西南至东南走向的有大花山，位于县境西南，偏</w:t>
      </w:r>
      <w:r>
        <w:rPr>
          <w:rFonts w:ascii="宋体" w:hAnsi="宋体" w:eastAsia="仿宋_GB2312"/>
          <w:spacing w:val="1"/>
          <w:sz w:val="24"/>
          <w:szCs w:val="28"/>
        </w:rPr>
        <w:t>南北走向的有上梁大山，位于境内西北部。境内最高点海拔1962.9米，最低点海拔654米。</w:t>
      </w:r>
    </w:p>
    <w:p>
      <w:pPr>
        <w:pStyle w:val="7"/>
        <w:adjustRightInd w:val="0"/>
        <w:snapToGrid w:val="0"/>
        <w:rPr>
          <w:rFonts w:ascii="仿宋" w:hAnsi="仿宋" w:cs="仿宋"/>
          <w:szCs w:val="28"/>
        </w:rPr>
      </w:pPr>
      <w:r>
        <w:rPr>
          <w:rFonts w:hint="eastAsia" w:ascii="仿宋" w:hAnsi="仿宋" w:cs="仿宋"/>
          <w:szCs w:val="28"/>
        </w:rPr>
        <w:t>2.1.3气候、气象</w:t>
      </w:r>
    </w:p>
    <w:p>
      <w:pPr>
        <w:spacing w:line="360" w:lineRule="auto"/>
        <w:ind w:firstLine="484" w:firstLineChars="200"/>
        <w:rPr>
          <w:rFonts w:ascii="宋体" w:hAnsi="宋体" w:eastAsia="仿宋_GB2312"/>
          <w:spacing w:val="1"/>
          <w:sz w:val="24"/>
          <w:szCs w:val="28"/>
        </w:rPr>
      </w:pPr>
      <w:r>
        <w:rPr>
          <w:rFonts w:hint="eastAsia" w:ascii="宋体" w:hAnsi="宋体" w:eastAsia="仿宋_GB2312"/>
          <w:spacing w:val="1"/>
          <w:sz w:val="24"/>
          <w:szCs w:val="28"/>
        </w:rPr>
        <w:t>西畴县属亚热带低纬季风气候区，地处云贵高原南部边缘的山地季风气候区，干雨季节分明，立体气候明显。年均气温15.9℃，年均无霜期340-362天，年均降雨量1200毫米，年日照时数1500～1600小时，年均相对湿度为82%。区域内空间变化幅度1072.7-1615.3mm。降水量丰富，但年内分配不均匀，具有明显的干湿季。一般5-10月为雨季，其降水量约占年降水量的79-86%，而干季（11月至次年4月）仅占年降水量的14-21%。区内具有春温高于秋温，春早春暖，来早来凉，年较差小，日较差大，冬无严寒，夏无酷热，四季无寒暑，一雨便成冬的气候特征。区域常年平均风速为2.1m/s，主导风向为西北风。</w:t>
      </w:r>
    </w:p>
    <w:p>
      <w:pPr>
        <w:pStyle w:val="7"/>
        <w:adjustRightInd w:val="0"/>
        <w:snapToGrid w:val="0"/>
        <w:rPr>
          <w:rFonts w:ascii="仿宋" w:hAnsi="仿宋" w:cs="仿宋"/>
          <w:szCs w:val="28"/>
        </w:rPr>
      </w:pPr>
      <w:r>
        <w:rPr>
          <w:rFonts w:hint="eastAsia" w:ascii="仿宋" w:hAnsi="仿宋" w:cs="仿宋"/>
          <w:szCs w:val="28"/>
        </w:rPr>
        <w:t>2.1.4水文、水系</w:t>
      </w:r>
    </w:p>
    <w:p>
      <w:pPr>
        <w:spacing w:line="360" w:lineRule="auto"/>
        <w:ind w:firstLine="484" w:firstLineChars="200"/>
        <w:rPr>
          <w:rFonts w:ascii="宋体" w:hAnsi="宋体" w:eastAsia="仿宋_GB2312"/>
          <w:spacing w:val="1"/>
          <w:sz w:val="24"/>
          <w:szCs w:val="28"/>
        </w:rPr>
      </w:pPr>
      <w:r>
        <w:rPr>
          <w:rFonts w:hint="eastAsia" w:ascii="宋体" w:hAnsi="宋体" w:eastAsia="仿宋_GB2312"/>
          <w:spacing w:val="1"/>
          <w:sz w:val="24"/>
          <w:szCs w:val="28"/>
        </w:rPr>
        <w:t>西畴处于红河水系的盘龙河和南利河的分水岭地块。作为区域排泄基准的盘龙河支流畴阳河、八布河、鸡街河分别发育于研究区的南部和北部。畴阳河呈现出高原河流的特征，北部的鸡街河支流八戛河河谷第四纪以来已深切了200-350m。它们控制了本区的岩溶地貌发育方向。碳酸盐岩分布区除南丘地下水系的上游段有长13.7km的地表河段外,整个岩溶区很少有地表河。岩溶水的赋存、运移和排泄严格地受到地质构造的控制，形成了构造岩溶水文系统。岩溶裂隙含水层、管流含水层和皮下含水层构成了研究区岩溶含水层二元结构体系。</w:t>
      </w:r>
    </w:p>
    <w:p>
      <w:pPr>
        <w:pStyle w:val="7"/>
        <w:adjustRightInd w:val="0"/>
        <w:snapToGrid w:val="0"/>
        <w:rPr>
          <w:rFonts w:ascii="仿宋" w:hAnsi="仿宋" w:cs="仿宋"/>
          <w:szCs w:val="28"/>
        </w:rPr>
      </w:pPr>
      <w:r>
        <w:rPr>
          <w:rFonts w:hint="eastAsia" w:ascii="仿宋" w:hAnsi="仿宋" w:cs="仿宋"/>
          <w:szCs w:val="28"/>
        </w:rPr>
        <w:t>2.1.4植物、生物多样性</w:t>
      </w:r>
    </w:p>
    <w:p>
      <w:pPr>
        <w:spacing w:line="360" w:lineRule="auto"/>
        <w:ind w:firstLine="484" w:firstLineChars="200"/>
        <w:rPr>
          <w:rFonts w:ascii="宋体" w:hAnsi="宋体" w:eastAsia="仿宋_GB2312"/>
          <w:spacing w:val="1"/>
          <w:sz w:val="24"/>
          <w:szCs w:val="28"/>
        </w:rPr>
      </w:pPr>
      <w:r>
        <w:rPr>
          <w:rFonts w:hint="eastAsia" w:ascii="宋体" w:hAnsi="宋体" w:eastAsia="仿宋_GB2312"/>
          <w:spacing w:val="1"/>
          <w:sz w:val="24"/>
          <w:szCs w:val="28"/>
        </w:rPr>
        <w:t>西畴境内植物有93科269属753种，境内有国家二级保护植物华盖木和香木兰，有珍稀濒危树种香莲、桫椤(树蕨)、云南七叶树等20多种。华盖木为新属新种，据称全国只有西畴法斗乡阔叶林中三棵，是第三纪、第四纪遗留下来的古老孑遗树种。境内小桥沟为省级国家自然保护区，建有占地面积为中国第一、树种排列全国第二的珍稀木兰园，共有11属47科200多种珍稀木兰树种；珍稀野生动物有獐、熊、猴、野鸡、锦鸡、画眉、猫头鹰等。有天然草场11420hm</w:t>
      </w:r>
      <w:r>
        <w:rPr>
          <w:rFonts w:hint="eastAsia" w:ascii="宋体" w:hAnsi="宋体" w:eastAsia="仿宋_GB2312"/>
          <w:spacing w:val="1"/>
          <w:sz w:val="24"/>
          <w:szCs w:val="28"/>
          <w:vertAlign w:val="superscript"/>
        </w:rPr>
        <w:t>2</w:t>
      </w:r>
      <w:r>
        <w:rPr>
          <w:rFonts w:hint="eastAsia" w:ascii="宋体" w:hAnsi="宋体" w:eastAsia="仿宋_GB2312"/>
          <w:spacing w:val="1"/>
          <w:sz w:val="24"/>
          <w:szCs w:val="28"/>
        </w:rPr>
        <w:t>，可利用草场10306.66hm</w:t>
      </w:r>
      <w:r>
        <w:rPr>
          <w:rFonts w:hint="eastAsia" w:ascii="宋体" w:hAnsi="宋体" w:eastAsia="仿宋_GB2312"/>
          <w:spacing w:val="1"/>
          <w:sz w:val="24"/>
          <w:szCs w:val="28"/>
          <w:vertAlign w:val="superscript"/>
        </w:rPr>
        <w:t>2</w:t>
      </w:r>
      <w:r>
        <w:rPr>
          <w:rFonts w:hint="eastAsia" w:ascii="宋体" w:hAnsi="宋体" w:eastAsia="仿宋_GB2312"/>
          <w:spacing w:val="1"/>
          <w:sz w:val="24"/>
          <w:szCs w:val="28"/>
        </w:rPr>
        <w:t>，天然饲草种类较为丰富，每年可产鲜草2000亿kg，此外还有农作物秸秆6000000万kg，适宜发展山羊、菜牛等畜牧品种。</w:t>
      </w:r>
    </w:p>
    <w:p>
      <w:pPr>
        <w:pStyle w:val="7"/>
        <w:adjustRightInd w:val="0"/>
        <w:snapToGrid w:val="0"/>
        <w:rPr>
          <w:rFonts w:ascii="仿宋" w:hAnsi="仿宋" w:cs="仿宋"/>
          <w:szCs w:val="28"/>
        </w:rPr>
      </w:pPr>
      <w:r>
        <w:rPr>
          <w:rFonts w:hint="eastAsia" w:ascii="仿宋" w:hAnsi="仿宋" w:cs="仿宋"/>
          <w:szCs w:val="28"/>
        </w:rPr>
        <w:t>2.1.5文物保护</w:t>
      </w:r>
    </w:p>
    <w:p>
      <w:pPr>
        <w:spacing w:line="360" w:lineRule="auto"/>
        <w:ind w:firstLine="484" w:firstLineChars="200"/>
        <w:rPr>
          <w:rFonts w:ascii="宋体" w:hAnsi="宋体" w:eastAsia="仿宋_GB2312"/>
          <w:spacing w:val="1"/>
          <w:sz w:val="24"/>
          <w:szCs w:val="28"/>
        </w:rPr>
      </w:pPr>
      <w:r>
        <w:rPr>
          <w:rFonts w:hint="eastAsia" w:ascii="宋体" w:hAnsi="宋体" w:eastAsia="仿宋_GB2312"/>
          <w:spacing w:val="1"/>
          <w:sz w:val="24"/>
          <w:szCs w:val="28"/>
        </w:rPr>
        <w:t>西畴县有风景如画的畴阳河畔田野风光；有动植物种群丰富、总面积达4667余万hm</w:t>
      </w:r>
      <w:r>
        <w:rPr>
          <w:rFonts w:hint="eastAsia" w:ascii="宋体" w:hAnsi="宋体" w:eastAsia="仿宋_GB2312"/>
          <w:spacing w:val="1"/>
          <w:sz w:val="24"/>
          <w:szCs w:val="28"/>
          <w:vertAlign w:val="superscript"/>
        </w:rPr>
        <w:t>2</w:t>
      </w:r>
      <w:r>
        <w:rPr>
          <w:rFonts w:hint="eastAsia" w:ascii="宋体" w:hAnsi="宋体" w:eastAsia="仿宋_GB2312"/>
          <w:spacing w:val="1"/>
          <w:sz w:val="24"/>
          <w:szCs w:val="28"/>
        </w:rPr>
        <w:t>的小桥沟省级自然保护区；有较高观赏、研究价值的香坪山珍稀植物园；有被称之为万年前人类文明光辉的“狮子山崖画”；有位于西洒镇东郊山麓的西洒仙人洞旧石器时代遗址。1965～1973年我国科学工作者在洞穴堆积层内发掘和清理出5枚古人类牙齿化石，鉴定属旧石器时代晚期智人，定名为“西畴人”，距今约5万年左右。有邓小平、徐向前、薄一波、宋任穷等党和国家领导人亲笔题词的南疆烈士陵园。丰富多彩的自然人文景观，使西畴县有十分广阔的旅游开发前景。</w:t>
      </w:r>
    </w:p>
    <w:bookmarkEnd w:id="121"/>
    <w:p>
      <w:pPr>
        <w:pStyle w:val="7"/>
        <w:adjustRightInd w:val="0"/>
        <w:snapToGrid w:val="0"/>
        <w:rPr>
          <w:rFonts w:ascii="仿宋" w:hAnsi="仿宋" w:cs="仿宋"/>
          <w:szCs w:val="28"/>
        </w:rPr>
      </w:pPr>
      <w:bookmarkStart w:id="123" w:name="_Toc26644"/>
      <w:bookmarkStart w:id="124" w:name="_Toc72068648"/>
      <w:r>
        <w:rPr>
          <w:rFonts w:hint="eastAsia" w:ascii="仿宋" w:hAnsi="仿宋" w:cs="仿宋"/>
          <w:szCs w:val="28"/>
        </w:rPr>
        <w:t>2.1.6周边关系</w:t>
      </w:r>
    </w:p>
    <w:p>
      <w:pPr>
        <w:pStyle w:val="75"/>
        <w:spacing w:after="0"/>
        <w:ind w:firstLine="482"/>
        <w:rPr>
          <w:rFonts w:ascii="仿宋" w:hAnsi="仿宋" w:eastAsia="仿宋" w:cs="仿宋"/>
          <w:bCs/>
          <w:kern w:val="0"/>
          <w:szCs w:val="22"/>
        </w:rPr>
      </w:pPr>
      <w:r>
        <w:rPr>
          <w:rFonts w:hint="eastAsia" w:ascii="仿宋" w:hAnsi="仿宋" w:eastAsia="仿宋" w:cs="仿宋"/>
          <w:bCs/>
          <w:kern w:val="0"/>
          <w:szCs w:val="22"/>
        </w:rPr>
        <w:t>本加油站场址内及周边无自然保护区，无文物保护单位。主要环境保护目标见表2.1.6-1。</w:t>
      </w:r>
    </w:p>
    <w:bookmarkEnd w:id="122"/>
    <w:bookmarkEnd w:id="123"/>
    <w:bookmarkEnd w:id="124"/>
    <w:p>
      <w:pPr>
        <w:widowControl w:val="0"/>
        <w:spacing w:after="0" w:line="360" w:lineRule="auto"/>
        <w:jc w:val="center"/>
        <w:rPr>
          <w:rFonts w:eastAsia="仿宋_GB2312"/>
          <w:b/>
          <w:color w:val="000000"/>
          <w:sz w:val="24"/>
          <w:szCs w:val="24"/>
        </w:rPr>
      </w:pPr>
      <w:bookmarkStart w:id="125" w:name="_Toc522025630"/>
    </w:p>
    <w:p>
      <w:pPr>
        <w:widowControl w:val="0"/>
        <w:spacing w:after="0" w:line="360" w:lineRule="auto"/>
        <w:jc w:val="center"/>
        <w:rPr>
          <w:rFonts w:eastAsia="仿宋_GB2312"/>
          <w:b/>
          <w:color w:val="000000"/>
          <w:sz w:val="24"/>
          <w:szCs w:val="24"/>
        </w:rPr>
      </w:pPr>
      <w:r>
        <w:rPr>
          <w:rFonts w:eastAsia="仿宋_GB2312"/>
          <w:b/>
          <w:color w:val="000000"/>
          <w:sz w:val="24"/>
          <w:szCs w:val="24"/>
        </w:rPr>
        <w:t>表2.1.</w:t>
      </w:r>
      <w:r>
        <w:rPr>
          <w:rFonts w:hint="eastAsia" w:eastAsia="仿宋_GB2312"/>
          <w:b/>
          <w:color w:val="000000"/>
          <w:sz w:val="24"/>
          <w:szCs w:val="24"/>
        </w:rPr>
        <w:t>6</w:t>
      </w:r>
      <w:r>
        <w:rPr>
          <w:rFonts w:eastAsia="仿宋_GB2312"/>
          <w:b/>
          <w:color w:val="000000"/>
          <w:sz w:val="24"/>
          <w:szCs w:val="24"/>
        </w:rPr>
        <w:t>-1  周边环境保护目标一览表</w:t>
      </w:r>
    </w:p>
    <w:tbl>
      <w:tblPr>
        <w:tblStyle w:val="31"/>
        <w:tblW w:w="845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625"/>
        <w:gridCol w:w="1994"/>
        <w:gridCol w:w="705"/>
        <w:gridCol w:w="1811"/>
        <w:gridCol w:w="949"/>
        <w:gridCol w:w="236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89" w:hRule="atLeast"/>
          <w:jc w:val="center"/>
        </w:trPr>
        <w:tc>
          <w:tcPr>
            <w:tcW w:w="625" w:type="dxa"/>
            <w:noWrap/>
            <w:vAlign w:val="center"/>
          </w:tcPr>
          <w:p>
            <w:pPr>
              <w:spacing w:after="0"/>
              <w:jc w:val="center"/>
              <w:rPr>
                <w:rFonts w:eastAsia="仿宋_GB2312"/>
                <w:b/>
                <w:sz w:val="21"/>
                <w:szCs w:val="21"/>
              </w:rPr>
            </w:pPr>
            <w:r>
              <w:rPr>
                <w:rFonts w:hint="eastAsia" w:eastAsia="仿宋_GB2312"/>
                <w:b/>
                <w:sz w:val="21"/>
                <w:szCs w:val="21"/>
              </w:rPr>
              <w:t>保护类别</w:t>
            </w:r>
          </w:p>
        </w:tc>
        <w:tc>
          <w:tcPr>
            <w:tcW w:w="1994" w:type="dxa"/>
            <w:noWrap/>
            <w:tcMar>
              <w:left w:w="0" w:type="dxa"/>
              <w:right w:w="0" w:type="dxa"/>
            </w:tcMar>
            <w:vAlign w:val="center"/>
          </w:tcPr>
          <w:p>
            <w:pPr>
              <w:spacing w:after="0"/>
              <w:jc w:val="center"/>
              <w:rPr>
                <w:rFonts w:eastAsia="仿宋_GB2312"/>
                <w:b/>
                <w:sz w:val="21"/>
                <w:szCs w:val="21"/>
              </w:rPr>
            </w:pPr>
            <w:r>
              <w:rPr>
                <w:rFonts w:eastAsia="仿宋_GB2312"/>
                <w:b/>
                <w:sz w:val="21"/>
                <w:szCs w:val="21"/>
              </w:rPr>
              <w:t>保护目标</w:t>
            </w:r>
          </w:p>
        </w:tc>
        <w:tc>
          <w:tcPr>
            <w:tcW w:w="705" w:type="dxa"/>
            <w:noWrap/>
            <w:vAlign w:val="center"/>
          </w:tcPr>
          <w:p>
            <w:pPr>
              <w:spacing w:after="0"/>
              <w:jc w:val="center"/>
              <w:rPr>
                <w:rFonts w:eastAsia="仿宋_GB2312"/>
                <w:b/>
                <w:sz w:val="21"/>
                <w:szCs w:val="21"/>
              </w:rPr>
            </w:pPr>
            <w:r>
              <w:rPr>
                <w:rFonts w:eastAsia="仿宋_GB2312"/>
                <w:b/>
                <w:sz w:val="21"/>
                <w:szCs w:val="21"/>
              </w:rPr>
              <w:t>方位</w:t>
            </w:r>
          </w:p>
        </w:tc>
        <w:tc>
          <w:tcPr>
            <w:tcW w:w="1811" w:type="dxa"/>
            <w:noWrap/>
            <w:vAlign w:val="center"/>
          </w:tcPr>
          <w:p>
            <w:pPr>
              <w:spacing w:after="0"/>
              <w:jc w:val="center"/>
              <w:rPr>
                <w:rFonts w:eastAsia="仿宋_GB2312"/>
                <w:b/>
                <w:sz w:val="21"/>
                <w:szCs w:val="21"/>
              </w:rPr>
            </w:pPr>
            <w:r>
              <w:rPr>
                <w:rFonts w:eastAsia="仿宋_GB2312"/>
                <w:b/>
                <w:sz w:val="21"/>
                <w:szCs w:val="21"/>
              </w:rPr>
              <w:t>基本情况</w:t>
            </w:r>
          </w:p>
        </w:tc>
        <w:tc>
          <w:tcPr>
            <w:tcW w:w="949" w:type="dxa"/>
            <w:noWrap/>
            <w:vAlign w:val="center"/>
          </w:tcPr>
          <w:p>
            <w:pPr>
              <w:spacing w:after="0"/>
              <w:jc w:val="center"/>
              <w:rPr>
                <w:rFonts w:eastAsia="仿宋_GB2312"/>
                <w:b/>
                <w:sz w:val="21"/>
                <w:szCs w:val="21"/>
              </w:rPr>
            </w:pPr>
            <w:r>
              <w:rPr>
                <w:rFonts w:hint="eastAsia" w:eastAsia="仿宋_GB2312"/>
                <w:b/>
                <w:sz w:val="21"/>
                <w:szCs w:val="21"/>
              </w:rPr>
              <w:t>距离</w:t>
            </w:r>
            <w:r>
              <w:rPr>
                <w:rFonts w:eastAsia="仿宋_GB2312"/>
                <w:b/>
                <w:sz w:val="21"/>
                <w:szCs w:val="21"/>
              </w:rPr>
              <w:t>(m)</w:t>
            </w:r>
          </w:p>
        </w:tc>
        <w:tc>
          <w:tcPr>
            <w:tcW w:w="2369" w:type="dxa"/>
            <w:noWrap/>
            <w:vAlign w:val="center"/>
          </w:tcPr>
          <w:p>
            <w:pPr>
              <w:spacing w:after="0"/>
              <w:jc w:val="center"/>
              <w:rPr>
                <w:rFonts w:eastAsia="仿宋_GB2312"/>
                <w:b/>
                <w:sz w:val="21"/>
                <w:szCs w:val="21"/>
              </w:rPr>
            </w:pPr>
            <w:r>
              <w:rPr>
                <w:rFonts w:eastAsia="仿宋_GB2312"/>
                <w:b/>
                <w:sz w:val="21"/>
                <w:szCs w:val="21"/>
              </w:rPr>
              <w:t>执行标准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621" w:hRule="atLeast"/>
          <w:jc w:val="center"/>
        </w:trPr>
        <w:tc>
          <w:tcPr>
            <w:tcW w:w="625" w:type="dxa"/>
            <w:vMerge w:val="restart"/>
            <w:noWrap/>
            <w:vAlign w:val="center"/>
          </w:tcPr>
          <w:p>
            <w:pPr>
              <w:spacing w:after="0"/>
              <w:jc w:val="center"/>
              <w:rPr>
                <w:rFonts w:eastAsia="仿宋_GB2312"/>
                <w:sz w:val="21"/>
                <w:szCs w:val="21"/>
              </w:rPr>
            </w:pPr>
            <w:r>
              <w:rPr>
                <w:rFonts w:hint="eastAsia" w:eastAsia="仿宋_GB2312"/>
                <w:sz w:val="21"/>
                <w:szCs w:val="21"/>
              </w:rPr>
              <w:t>大气环境及声环境</w:t>
            </w:r>
          </w:p>
        </w:tc>
        <w:tc>
          <w:tcPr>
            <w:tcW w:w="1994" w:type="dxa"/>
            <w:noWrap/>
            <w:tcMar>
              <w:left w:w="0" w:type="dxa"/>
              <w:right w:w="0" w:type="dxa"/>
            </w:tcMar>
            <w:vAlign w:val="center"/>
          </w:tcPr>
          <w:p>
            <w:pPr>
              <w:spacing w:after="0"/>
              <w:jc w:val="center"/>
              <w:rPr>
                <w:rFonts w:eastAsia="仿宋_GB2312"/>
                <w:sz w:val="21"/>
                <w:szCs w:val="21"/>
              </w:rPr>
            </w:pPr>
            <w:r>
              <w:rPr>
                <w:rFonts w:hint="eastAsia" w:eastAsia="仿宋_GB2312"/>
                <w:sz w:val="21"/>
                <w:szCs w:val="21"/>
              </w:rPr>
              <w:t>民房</w:t>
            </w:r>
          </w:p>
        </w:tc>
        <w:tc>
          <w:tcPr>
            <w:tcW w:w="705" w:type="dxa"/>
            <w:noWrap/>
            <w:tcMar>
              <w:left w:w="0" w:type="dxa"/>
              <w:right w:w="0" w:type="dxa"/>
            </w:tcMar>
            <w:vAlign w:val="center"/>
          </w:tcPr>
          <w:p>
            <w:pPr>
              <w:spacing w:after="0"/>
              <w:jc w:val="center"/>
              <w:rPr>
                <w:rFonts w:eastAsia="仿宋_GB2312"/>
                <w:sz w:val="21"/>
                <w:szCs w:val="21"/>
              </w:rPr>
            </w:pPr>
            <w:r>
              <w:rPr>
                <w:rFonts w:hint="eastAsia" w:eastAsia="仿宋_GB2312"/>
                <w:sz w:val="21"/>
                <w:szCs w:val="21"/>
              </w:rPr>
              <w:t>东面</w:t>
            </w:r>
          </w:p>
        </w:tc>
        <w:tc>
          <w:tcPr>
            <w:tcW w:w="1811" w:type="dxa"/>
            <w:noWrap/>
            <w:tcMar>
              <w:left w:w="0" w:type="dxa"/>
              <w:right w:w="0" w:type="dxa"/>
            </w:tcMar>
            <w:vAlign w:val="center"/>
          </w:tcPr>
          <w:p>
            <w:pPr>
              <w:spacing w:after="0"/>
              <w:jc w:val="center"/>
              <w:rPr>
                <w:rFonts w:hint="default"/>
                <w:lang w:val="en-US"/>
              </w:rPr>
            </w:pPr>
            <w:r>
              <w:rPr>
                <w:rFonts w:hint="eastAsia" w:eastAsia="仿宋_GB2312"/>
                <w:sz w:val="21"/>
                <w:szCs w:val="21"/>
              </w:rPr>
              <w:t>居住人数2</w:t>
            </w:r>
            <w:r>
              <w:rPr>
                <w:rFonts w:hint="eastAsia" w:eastAsia="仿宋_GB2312"/>
                <w:sz w:val="21"/>
                <w:szCs w:val="21"/>
                <w:lang w:val="en-US" w:eastAsia="zh-CN"/>
              </w:rPr>
              <w:t>0人</w:t>
            </w:r>
          </w:p>
        </w:tc>
        <w:tc>
          <w:tcPr>
            <w:tcW w:w="949" w:type="dxa"/>
            <w:noWrap/>
            <w:tcMar>
              <w:left w:w="0" w:type="dxa"/>
              <w:right w:w="0" w:type="dxa"/>
            </w:tcMar>
            <w:vAlign w:val="center"/>
          </w:tcPr>
          <w:p>
            <w:pPr>
              <w:spacing w:after="0"/>
              <w:jc w:val="center"/>
              <w:rPr>
                <w:rFonts w:eastAsia="仿宋_GB2312"/>
                <w:sz w:val="21"/>
                <w:szCs w:val="21"/>
              </w:rPr>
            </w:pPr>
            <w:r>
              <w:rPr>
                <w:rFonts w:hint="eastAsia" w:eastAsia="仿宋_GB2312"/>
                <w:sz w:val="21"/>
                <w:szCs w:val="21"/>
              </w:rPr>
              <w:t>2</w:t>
            </w:r>
          </w:p>
        </w:tc>
        <w:tc>
          <w:tcPr>
            <w:tcW w:w="2369" w:type="dxa"/>
            <w:vMerge w:val="restart"/>
            <w:noWrap/>
            <w:tcMar>
              <w:left w:w="0" w:type="dxa"/>
              <w:right w:w="0" w:type="dxa"/>
            </w:tcMar>
            <w:vAlign w:val="center"/>
          </w:tcPr>
          <w:p>
            <w:pPr>
              <w:spacing w:after="0"/>
              <w:jc w:val="center"/>
              <w:rPr>
                <w:rFonts w:eastAsia="仿宋_GB2312"/>
                <w:sz w:val="21"/>
                <w:szCs w:val="21"/>
              </w:rPr>
            </w:pPr>
            <w:r>
              <w:rPr>
                <w:rFonts w:eastAsia="仿宋_GB2312"/>
                <w:sz w:val="21"/>
                <w:szCs w:val="21"/>
              </w:rPr>
              <w:t>《环境空气质量标准》</w:t>
            </w:r>
            <w:r>
              <w:rPr>
                <w:rFonts w:hint="eastAsia" w:eastAsia="仿宋_GB2312"/>
                <w:sz w:val="21"/>
                <w:szCs w:val="21"/>
              </w:rPr>
              <w:t>（</w:t>
            </w:r>
            <w:r>
              <w:rPr>
                <w:rFonts w:eastAsia="仿宋_GB2312"/>
                <w:sz w:val="21"/>
                <w:szCs w:val="21"/>
              </w:rPr>
              <w:t>GB3095-2012</w:t>
            </w:r>
            <w:r>
              <w:rPr>
                <w:rFonts w:hint="eastAsia" w:eastAsia="仿宋_GB2312"/>
                <w:sz w:val="21"/>
                <w:szCs w:val="21"/>
              </w:rPr>
              <w:t>）</w:t>
            </w:r>
          </w:p>
          <w:p>
            <w:pPr>
              <w:spacing w:after="0"/>
              <w:jc w:val="center"/>
              <w:rPr>
                <w:rFonts w:eastAsia="仿宋_GB2312"/>
                <w:sz w:val="21"/>
                <w:szCs w:val="21"/>
              </w:rPr>
            </w:pPr>
            <w:r>
              <w:rPr>
                <w:rFonts w:eastAsia="仿宋_GB2312"/>
                <w:sz w:val="21"/>
                <w:szCs w:val="21"/>
              </w:rPr>
              <w:t>二级标准；</w:t>
            </w:r>
          </w:p>
          <w:p>
            <w:pPr>
              <w:spacing w:after="0"/>
              <w:jc w:val="center"/>
              <w:rPr>
                <w:rFonts w:eastAsia="仿宋_GB2312"/>
                <w:sz w:val="21"/>
                <w:szCs w:val="21"/>
              </w:rPr>
            </w:pPr>
            <w:r>
              <w:rPr>
                <w:rFonts w:eastAsia="仿宋_GB2312"/>
                <w:sz w:val="21"/>
                <w:szCs w:val="21"/>
              </w:rPr>
              <w:t>《声环境质量标准》</w:t>
            </w:r>
            <w:r>
              <w:rPr>
                <w:rFonts w:hint="eastAsia" w:eastAsia="仿宋_GB2312"/>
                <w:sz w:val="21"/>
                <w:szCs w:val="21"/>
              </w:rPr>
              <w:t>（</w:t>
            </w:r>
            <w:r>
              <w:rPr>
                <w:rFonts w:eastAsia="仿宋_GB2312"/>
                <w:sz w:val="21"/>
                <w:szCs w:val="21"/>
              </w:rPr>
              <w:t>GB3096-2008</w:t>
            </w:r>
            <w:r>
              <w:rPr>
                <w:rFonts w:hint="eastAsia" w:eastAsia="仿宋_GB2312"/>
                <w:sz w:val="21"/>
                <w:szCs w:val="21"/>
              </w:rPr>
              <w:t>）</w:t>
            </w:r>
            <w:r>
              <w:rPr>
                <w:rFonts w:eastAsia="仿宋_GB2312"/>
                <w:sz w:val="21"/>
                <w:szCs w:val="21"/>
              </w:rPr>
              <w:t>2类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621" w:hRule="atLeast"/>
          <w:jc w:val="center"/>
        </w:trPr>
        <w:tc>
          <w:tcPr>
            <w:tcW w:w="625" w:type="dxa"/>
            <w:vMerge w:val="continue"/>
            <w:noWrap/>
            <w:vAlign w:val="center"/>
          </w:tcPr>
          <w:p>
            <w:pPr>
              <w:spacing w:after="0"/>
              <w:jc w:val="center"/>
              <w:rPr>
                <w:rFonts w:eastAsia="仿宋_GB2312"/>
                <w:sz w:val="21"/>
                <w:szCs w:val="21"/>
              </w:rPr>
            </w:pPr>
          </w:p>
        </w:tc>
        <w:tc>
          <w:tcPr>
            <w:tcW w:w="1994" w:type="dxa"/>
            <w:noWrap/>
            <w:tcMar>
              <w:left w:w="0" w:type="dxa"/>
              <w:right w:w="0" w:type="dxa"/>
            </w:tcMar>
            <w:vAlign w:val="center"/>
          </w:tcPr>
          <w:p>
            <w:pPr>
              <w:spacing w:after="0"/>
              <w:jc w:val="center"/>
              <w:rPr>
                <w:rFonts w:eastAsia="仿宋_GB2312"/>
                <w:sz w:val="21"/>
                <w:szCs w:val="21"/>
              </w:rPr>
            </w:pPr>
            <w:r>
              <w:rPr>
                <w:rFonts w:hint="eastAsia" w:eastAsia="仿宋_GB2312"/>
                <w:sz w:val="21"/>
                <w:szCs w:val="21"/>
              </w:rPr>
              <w:t>西洒镇人民政府</w:t>
            </w:r>
          </w:p>
        </w:tc>
        <w:tc>
          <w:tcPr>
            <w:tcW w:w="705" w:type="dxa"/>
            <w:noWrap/>
            <w:tcMar>
              <w:left w:w="0" w:type="dxa"/>
              <w:right w:w="0" w:type="dxa"/>
            </w:tcMar>
            <w:vAlign w:val="center"/>
          </w:tcPr>
          <w:p>
            <w:pPr>
              <w:spacing w:after="0"/>
              <w:jc w:val="center"/>
              <w:rPr>
                <w:rFonts w:eastAsia="仿宋_GB2312"/>
                <w:sz w:val="21"/>
                <w:szCs w:val="21"/>
              </w:rPr>
            </w:pPr>
            <w:r>
              <w:rPr>
                <w:rFonts w:hint="eastAsia" w:eastAsia="仿宋_GB2312"/>
                <w:sz w:val="21"/>
                <w:szCs w:val="21"/>
              </w:rPr>
              <w:t>西面</w:t>
            </w:r>
          </w:p>
        </w:tc>
        <w:tc>
          <w:tcPr>
            <w:tcW w:w="1811" w:type="dxa"/>
            <w:noWrap/>
            <w:tcMar>
              <w:left w:w="0" w:type="dxa"/>
              <w:right w:w="0" w:type="dxa"/>
            </w:tcMar>
            <w:vAlign w:val="center"/>
          </w:tcPr>
          <w:p>
            <w:pPr>
              <w:spacing w:after="0"/>
              <w:jc w:val="center"/>
              <w:rPr>
                <w:rFonts w:eastAsia="仿宋_GB2312"/>
                <w:sz w:val="21"/>
                <w:szCs w:val="21"/>
              </w:rPr>
            </w:pPr>
            <w:r>
              <w:rPr>
                <w:rFonts w:hint="eastAsia" w:eastAsia="仿宋_GB2312"/>
                <w:sz w:val="21"/>
                <w:szCs w:val="21"/>
              </w:rPr>
              <w:t>-</w:t>
            </w:r>
          </w:p>
        </w:tc>
        <w:tc>
          <w:tcPr>
            <w:tcW w:w="949" w:type="dxa"/>
            <w:noWrap/>
            <w:tcMar>
              <w:left w:w="0" w:type="dxa"/>
              <w:right w:w="0" w:type="dxa"/>
            </w:tcMar>
            <w:vAlign w:val="center"/>
          </w:tcPr>
          <w:p>
            <w:pPr>
              <w:spacing w:after="0"/>
              <w:jc w:val="center"/>
              <w:rPr>
                <w:rFonts w:eastAsia="仿宋_GB2312"/>
                <w:sz w:val="21"/>
                <w:szCs w:val="21"/>
              </w:rPr>
            </w:pPr>
            <w:r>
              <w:rPr>
                <w:rFonts w:hint="eastAsia" w:eastAsia="仿宋_GB2312"/>
                <w:sz w:val="21"/>
                <w:szCs w:val="21"/>
              </w:rPr>
              <w:t>8</w:t>
            </w:r>
          </w:p>
        </w:tc>
        <w:tc>
          <w:tcPr>
            <w:tcW w:w="2369" w:type="dxa"/>
            <w:vMerge w:val="continue"/>
            <w:noWrap/>
            <w:tcMar>
              <w:left w:w="0" w:type="dxa"/>
              <w:right w:w="0" w:type="dxa"/>
            </w:tcMar>
            <w:vAlign w:val="center"/>
          </w:tcPr>
          <w:p>
            <w:pPr>
              <w:spacing w:after="0"/>
              <w:jc w:val="center"/>
              <w:rPr>
                <w:rFonts w:eastAsia="仿宋_GB2312"/>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621" w:hRule="atLeast"/>
          <w:jc w:val="center"/>
        </w:trPr>
        <w:tc>
          <w:tcPr>
            <w:tcW w:w="625" w:type="dxa"/>
            <w:vMerge w:val="continue"/>
            <w:noWrap/>
            <w:vAlign w:val="center"/>
          </w:tcPr>
          <w:p>
            <w:pPr>
              <w:spacing w:after="0"/>
              <w:jc w:val="center"/>
              <w:rPr>
                <w:rFonts w:eastAsia="仿宋_GB2312"/>
                <w:sz w:val="21"/>
                <w:szCs w:val="21"/>
              </w:rPr>
            </w:pPr>
          </w:p>
        </w:tc>
        <w:tc>
          <w:tcPr>
            <w:tcW w:w="1994" w:type="dxa"/>
            <w:noWrap/>
            <w:tcMar>
              <w:left w:w="0" w:type="dxa"/>
              <w:right w:w="0" w:type="dxa"/>
            </w:tcMar>
            <w:vAlign w:val="center"/>
          </w:tcPr>
          <w:p>
            <w:pPr>
              <w:spacing w:after="0"/>
              <w:jc w:val="center"/>
              <w:rPr>
                <w:rFonts w:eastAsia="仿宋_GB2312"/>
                <w:sz w:val="21"/>
                <w:szCs w:val="21"/>
              </w:rPr>
            </w:pPr>
            <w:r>
              <w:rPr>
                <w:rFonts w:hint="eastAsia" w:eastAsia="仿宋_GB2312"/>
                <w:sz w:val="21"/>
                <w:szCs w:val="21"/>
              </w:rPr>
              <w:t>中共西畴县委员会</w:t>
            </w:r>
          </w:p>
        </w:tc>
        <w:tc>
          <w:tcPr>
            <w:tcW w:w="705" w:type="dxa"/>
            <w:noWrap/>
            <w:tcMar>
              <w:left w:w="0" w:type="dxa"/>
              <w:right w:w="0" w:type="dxa"/>
            </w:tcMar>
            <w:vAlign w:val="center"/>
          </w:tcPr>
          <w:p>
            <w:pPr>
              <w:spacing w:after="0"/>
              <w:jc w:val="center"/>
              <w:rPr>
                <w:rFonts w:eastAsia="仿宋_GB2312"/>
                <w:sz w:val="21"/>
                <w:szCs w:val="21"/>
              </w:rPr>
            </w:pPr>
            <w:r>
              <w:rPr>
                <w:rFonts w:hint="eastAsia" w:eastAsia="仿宋_GB2312"/>
                <w:sz w:val="21"/>
                <w:szCs w:val="21"/>
              </w:rPr>
              <w:t>北面</w:t>
            </w:r>
          </w:p>
        </w:tc>
        <w:tc>
          <w:tcPr>
            <w:tcW w:w="1811" w:type="dxa"/>
            <w:noWrap/>
            <w:tcMar>
              <w:left w:w="0" w:type="dxa"/>
              <w:right w:w="0" w:type="dxa"/>
            </w:tcMar>
            <w:vAlign w:val="center"/>
          </w:tcPr>
          <w:p>
            <w:pPr>
              <w:spacing w:after="0"/>
              <w:jc w:val="center"/>
              <w:rPr>
                <w:rFonts w:eastAsia="仿宋_GB2312"/>
                <w:sz w:val="21"/>
                <w:szCs w:val="21"/>
              </w:rPr>
            </w:pPr>
            <w:r>
              <w:rPr>
                <w:rFonts w:hint="eastAsia" w:eastAsia="仿宋_GB2312"/>
                <w:sz w:val="21"/>
                <w:szCs w:val="21"/>
              </w:rPr>
              <w:t>-</w:t>
            </w:r>
          </w:p>
        </w:tc>
        <w:tc>
          <w:tcPr>
            <w:tcW w:w="949" w:type="dxa"/>
            <w:noWrap/>
            <w:tcMar>
              <w:left w:w="0" w:type="dxa"/>
              <w:right w:w="0" w:type="dxa"/>
            </w:tcMar>
            <w:vAlign w:val="center"/>
          </w:tcPr>
          <w:p>
            <w:pPr>
              <w:spacing w:after="0"/>
              <w:jc w:val="center"/>
              <w:rPr>
                <w:rFonts w:eastAsia="仿宋_GB2312"/>
                <w:sz w:val="21"/>
                <w:szCs w:val="21"/>
              </w:rPr>
            </w:pPr>
            <w:r>
              <w:rPr>
                <w:rFonts w:hint="eastAsia" w:eastAsia="仿宋_GB2312"/>
                <w:sz w:val="21"/>
                <w:szCs w:val="21"/>
              </w:rPr>
              <w:t>15</w:t>
            </w:r>
          </w:p>
        </w:tc>
        <w:tc>
          <w:tcPr>
            <w:tcW w:w="2369" w:type="dxa"/>
            <w:vMerge w:val="continue"/>
            <w:noWrap/>
            <w:tcMar>
              <w:left w:w="0" w:type="dxa"/>
              <w:right w:w="0" w:type="dxa"/>
            </w:tcMar>
            <w:vAlign w:val="center"/>
          </w:tcPr>
          <w:p>
            <w:pPr>
              <w:spacing w:after="0"/>
              <w:jc w:val="center"/>
              <w:rPr>
                <w:rFonts w:eastAsia="仿宋_GB2312"/>
                <w:color w:val="C00000"/>
                <w:sz w:val="21"/>
                <w:szCs w:val="21"/>
              </w:rPr>
            </w:pPr>
          </w:p>
        </w:tc>
      </w:tr>
    </w:tbl>
    <w:p>
      <w:pPr>
        <w:pStyle w:val="7"/>
        <w:adjustRightInd w:val="0"/>
        <w:snapToGrid w:val="0"/>
        <w:spacing w:beforeLines="100"/>
        <w:rPr>
          <w:rFonts w:eastAsia="仿宋_GB2312"/>
          <w:szCs w:val="28"/>
        </w:rPr>
      </w:pPr>
      <w:bookmarkStart w:id="126" w:name="_Toc14189"/>
      <w:bookmarkStart w:id="127" w:name="_Toc19027"/>
      <w:bookmarkStart w:id="128" w:name="_Toc74855965"/>
      <w:r>
        <w:rPr>
          <w:rFonts w:eastAsia="仿宋_GB2312"/>
          <w:szCs w:val="28"/>
        </w:rPr>
        <w:t>2.1.</w:t>
      </w:r>
      <w:r>
        <w:rPr>
          <w:rFonts w:hint="eastAsia" w:eastAsia="仿宋_GB2312"/>
          <w:szCs w:val="28"/>
        </w:rPr>
        <w:t>7</w:t>
      </w:r>
      <w:r>
        <w:rPr>
          <w:rFonts w:eastAsia="仿宋_GB2312"/>
          <w:szCs w:val="28"/>
        </w:rPr>
        <w:t>平面分布</w:t>
      </w:r>
      <w:bookmarkEnd w:id="125"/>
      <w:bookmarkEnd w:id="126"/>
      <w:bookmarkEnd w:id="127"/>
      <w:bookmarkEnd w:id="128"/>
    </w:p>
    <w:p>
      <w:pPr>
        <w:spacing w:after="0" w:line="360" w:lineRule="auto"/>
        <w:ind w:firstLine="482"/>
        <w:jc w:val="both"/>
        <w:rPr>
          <w:rFonts w:eastAsia="仿宋_GB2312"/>
          <w:bCs/>
          <w:sz w:val="24"/>
          <w:szCs w:val="24"/>
        </w:rPr>
      </w:pPr>
      <w:r>
        <w:rPr>
          <w:rFonts w:hint="eastAsia" w:eastAsia="仿宋_GB2312"/>
          <w:bCs/>
          <w:sz w:val="24"/>
          <w:szCs w:val="24"/>
        </w:rPr>
        <w:t>西畴县金玉加油站主要分为加油岛、油罐区、站房等。加油站区中部设置加油站房，加油区均采用罩棚保护，加油站地埋式汽油柴油储罐区设在加油罩棚内，卸油平台设置在加油罩棚外的东面，站房为两层框架结构楼（一层设柴油发电机室、配电室、便利室、站长室、卫生间，二层设职工宿舍、活动室、厨房及浴室）。</w:t>
      </w:r>
    </w:p>
    <w:p>
      <w:pPr>
        <w:pStyle w:val="73"/>
        <w:spacing w:after="0"/>
        <w:ind w:firstLine="482"/>
        <w:jc w:val="both"/>
        <w:rPr>
          <w:bCs/>
          <w:sz w:val="24"/>
          <w:szCs w:val="24"/>
        </w:rPr>
      </w:pPr>
      <w:r>
        <w:rPr>
          <w:sz w:val="24"/>
          <w:szCs w:val="24"/>
        </w:rPr>
        <w:t>项目</w:t>
      </w:r>
      <w:r>
        <w:rPr>
          <w:rFonts w:hint="eastAsia"/>
          <w:bCs/>
          <w:sz w:val="24"/>
          <w:szCs w:val="24"/>
        </w:rPr>
        <w:t>平面布置详见</w:t>
      </w:r>
      <w:r>
        <w:rPr>
          <w:sz w:val="24"/>
          <w:szCs w:val="24"/>
        </w:rPr>
        <w:t>附图</w:t>
      </w:r>
      <w:r>
        <w:rPr>
          <w:rFonts w:hint="eastAsia"/>
          <w:sz w:val="24"/>
          <w:szCs w:val="24"/>
        </w:rPr>
        <w:t>2</w:t>
      </w:r>
      <w:r>
        <w:rPr>
          <w:sz w:val="24"/>
          <w:szCs w:val="24"/>
        </w:rPr>
        <w:t>：项目</w:t>
      </w:r>
      <w:r>
        <w:rPr>
          <w:rFonts w:hint="eastAsia"/>
          <w:sz w:val="24"/>
          <w:szCs w:val="24"/>
        </w:rPr>
        <w:t>平面布置图。</w:t>
      </w:r>
    </w:p>
    <w:bookmarkEnd w:id="110"/>
    <w:bookmarkEnd w:id="111"/>
    <w:bookmarkEnd w:id="112"/>
    <w:bookmarkEnd w:id="113"/>
    <w:bookmarkEnd w:id="114"/>
    <w:bookmarkEnd w:id="115"/>
    <w:bookmarkEnd w:id="116"/>
    <w:p>
      <w:pPr>
        <w:pStyle w:val="6"/>
        <w:adjustRightInd w:val="0"/>
        <w:snapToGrid w:val="0"/>
        <w:rPr>
          <w:rFonts w:eastAsia="仿宋_GB2312"/>
          <w:sz w:val="28"/>
          <w:szCs w:val="28"/>
        </w:rPr>
      </w:pPr>
      <w:bookmarkStart w:id="129" w:name="_Toc29635"/>
      <w:bookmarkStart w:id="130" w:name="_Toc522025631"/>
      <w:bookmarkStart w:id="131" w:name="_Toc23240"/>
      <w:bookmarkStart w:id="132" w:name="_Toc3733"/>
      <w:bookmarkStart w:id="133" w:name="_Toc74855966"/>
      <w:bookmarkStart w:id="134" w:name="_Toc331526096"/>
      <w:bookmarkStart w:id="135" w:name="_Toc491785500"/>
      <w:bookmarkStart w:id="136" w:name="_Toc17364_WPSOffice_Level1"/>
      <w:bookmarkStart w:id="137" w:name="_Toc215_WPSOffice_Level1"/>
      <w:bookmarkStart w:id="138" w:name="_Toc31001"/>
      <w:bookmarkStart w:id="139" w:name="_Toc30320_WPSOffice_Level1"/>
      <w:bookmarkStart w:id="140" w:name="_Toc433795498"/>
      <w:r>
        <w:rPr>
          <w:rFonts w:eastAsia="仿宋_GB2312"/>
          <w:sz w:val="28"/>
          <w:szCs w:val="28"/>
        </w:rPr>
        <w:t>2.2生产工艺基本情况</w:t>
      </w:r>
      <w:bookmarkEnd w:id="129"/>
      <w:bookmarkEnd w:id="130"/>
      <w:bookmarkEnd w:id="131"/>
      <w:bookmarkEnd w:id="132"/>
      <w:bookmarkEnd w:id="133"/>
    </w:p>
    <w:p>
      <w:pPr>
        <w:pStyle w:val="7"/>
        <w:adjustRightInd w:val="0"/>
        <w:snapToGrid w:val="0"/>
        <w:rPr>
          <w:rFonts w:eastAsia="仿宋_GB2312"/>
          <w:szCs w:val="28"/>
        </w:rPr>
      </w:pPr>
      <w:bookmarkStart w:id="141" w:name="_Toc27539"/>
      <w:bookmarkStart w:id="142" w:name="_Toc331526097"/>
      <w:bookmarkStart w:id="143" w:name="_Toc74855967"/>
      <w:bookmarkStart w:id="144" w:name="_Toc522025632"/>
      <w:bookmarkStart w:id="145" w:name="_Toc18147"/>
      <w:r>
        <w:rPr>
          <w:rFonts w:eastAsia="仿宋_GB2312"/>
          <w:szCs w:val="28"/>
        </w:rPr>
        <w:t>2.2.1生产原、辅材料消耗量</w:t>
      </w:r>
      <w:bookmarkEnd w:id="141"/>
      <w:bookmarkEnd w:id="142"/>
      <w:bookmarkEnd w:id="143"/>
      <w:bookmarkEnd w:id="144"/>
      <w:bookmarkEnd w:id="145"/>
    </w:p>
    <w:p>
      <w:pPr>
        <w:widowControl w:val="0"/>
        <w:spacing w:line="360" w:lineRule="auto"/>
        <w:ind w:firstLine="480"/>
        <w:rPr>
          <w:rFonts w:eastAsia="仿宋_GB2312"/>
          <w:sz w:val="24"/>
          <w:szCs w:val="24"/>
        </w:rPr>
      </w:pPr>
      <w:r>
        <w:rPr>
          <w:rFonts w:hint="eastAsia" w:eastAsia="仿宋_GB2312"/>
          <w:sz w:val="24"/>
          <w:szCs w:val="24"/>
        </w:rPr>
        <w:t>中国石化销售股份有限公司云南文山石油分公司西畴县金玉加油站，主要经营汽油、柴油的销售，不涉及生产。</w:t>
      </w:r>
    </w:p>
    <w:p>
      <w:pPr>
        <w:pStyle w:val="7"/>
        <w:adjustRightInd w:val="0"/>
        <w:snapToGrid w:val="0"/>
        <w:spacing w:beforeLines="50"/>
        <w:rPr>
          <w:rFonts w:eastAsia="仿宋_GB2312"/>
          <w:szCs w:val="28"/>
        </w:rPr>
      </w:pPr>
      <w:bookmarkStart w:id="146" w:name="_Toc74855968"/>
      <w:bookmarkStart w:id="147" w:name="_Toc20509"/>
      <w:bookmarkStart w:id="148" w:name="_Toc522025633"/>
      <w:bookmarkStart w:id="149" w:name="_Toc16018"/>
      <w:r>
        <w:rPr>
          <w:rFonts w:eastAsia="仿宋_GB2312"/>
          <w:szCs w:val="28"/>
        </w:rPr>
        <w:t>2.2.2产品名称及产量</w:t>
      </w:r>
      <w:bookmarkEnd w:id="146"/>
      <w:bookmarkEnd w:id="147"/>
      <w:bookmarkEnd w:id="148"/>
      <w:bookmarkEnd w:id="149"/>
    </w:p>
    <w:p>
      <w:pPr>
        <w:ind w:firstLine="480"/>
      </w:pPr>
      <w:r>
        <w:rPr>
          <w:rFonts w:hint="eastAsia" w:eastAsia="仿宋_GB2312"/>
          <w:bCs/>
          <w:sz w:val="24"/>
          <w:szCs w:val="24"/>
        </w:rPr>
        <w:t>本加油站主要从事油类物质（柴油、汽油）销售。</w:t>
      </w:r>
    </w:p>
    <w:p>
      <w:pPr>
        <w:pStyle w:val="7"/>
        <w:adjustRightInd w:val="0"/>
        <w:snapToGrid w:val="0"/>
        <w:spacing w:beforeLines="50"/>
        <w:rPr>
          <w:rFonts w:eastAsia="仿宋_GB2312"/>
          <w:szCs w:val="28"/>
        </w:rPr>
      </w:pPr>
      <w:bookmarkStart w:id="150" w:name="_Toc74855969"/>
      <w:r>
        <w:rPr>
          <w:rFonts w:eastAsia="仿宋_GB2312"/>
          <w:szCs w:val="28"/>
        </w:rPr>
        <w:t>2.2</w:t>
      </w:r>
      <w:r>
        <w:rPr>
          <w:rFonts w:hint="eastAsia" w:eastAsia="仿宋_GB2312"/>
          <w:szCs w:val="28"/>
        </w:rPr>
        <w:t>.3生产设备及设施</w:t>
      </w:r>
      <w:bookmarkEnd w:id="150"/>
    </w:p>
    <w:p>
      <w:pPr>
        <w:widowControl w:val="0"/>
        <w:spacing w:line="360" w:lineRule="auto"/>
        <w:ind w:firstLine="480"/>
        <w:rPr>
          <w:rFonts w:eastAsia="仿宋_GB2312"/>
          <w:sz w:val="24"/>
          <w:szCs w:val="24"/>
        </w:rPr>
      </w:pPr>
      <w:r>
        <w:rPr>
          <w:rFonts w:hint="eastAsia" w:eastAsia="仿宋_GB2312"/>
          <w:sz w:val="24"/>
          <w:szCs w:val="24"/>
        </w:rPr>
        <w:t>本加油站</w:t>
      </w:r>
      <w:r>
        <w:rPr>
          <w:rFonts w:eastAsia="仿宋_GB2312"/>
          <w:sz w:val="24"/>
          <w:szCs w:val="24"/>
        </w:rPr>
        <w:t>主要设备见表2.2.3-1。</w:t>
      </w:r>
    </w:p>
    <w:p>
      <w:pPr>
        <w:widowControl w:val="0"/>
        <w:jc w:val="center"/>
        <w:rPr>
          <w:rFonts w:eastAsia="仿宋_GB2312"/>
          <w:b/>
          <w:sz w:val="24"/>
          <w:szCs w:val="24"/>
        </w:rPr>
      </w:pPr>
      <w:r>
        <w:rPr>
          <w:rFonts w:eastAsia="仿宋_GB2312"/>
          <w:b/>
          <w:sz w:val="24"/>
          <w:szCs w:val="24"/>
        </w:rPr>
        <w:t>表2.2.3-1  主要设备一览表</w:t>
      </w:r>
    </w:p>
    <w:tbl>
      <w:tblPr>
        <w:tblStyle w:val="31"/>
        <w:tblW w:w="82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2117"/>
        <w:gridCol w:w="2267"/>
        <w:gridCol w:w="1007"/>
        <w:gridCol w:w="2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703" w:type="dxa"/>
            <w:noWrap/>
            <w:vAlign w:val="center"/>
          </w:tcPr>
          <w:p>
            <w:pPr>
              <w:widowControl w:val="0"/>
              <w:adjustRightInd/>
              <w:snapToGrid/>
              <w:jc w:val="center"/>
              <w:rPr>
                <w:rFonts w:eastAsia="仿宋_GB2312"/>
                <w:b/>
                <w:kern w:val="2"/>
                <w:sz w:val="21"/>
                <w:szCs w:val="21"/>
              </w:rPr>
            </w:pPr>
            <w:r>
              <w:rPr>
                <w:rFonts w:hAnsi="仿宋_GB2312" w:eastAsia="仿宋_GB2312"/>
                <w:b/>
                <w:kern w:val="2"/>
                <w:sz w:val="21"/>
                <w:szCs w:val="21"/>
              </w:rPr>
              <w:t>序号</w:t>
            </w:r>
          </w:p>
        </w:tc>
        <w:tc>
          <w:tcPr>
            <w:tcW w:w="2117" w:type="dxa"/>
            <w:noWrap/>
            <w:vAlign w:val="center"/>
          </w:tcPr>
          <w:p>
            <w:pPr>
              <w:widowControl w:val="0"/>
              <w:adjustRightInd/>
              <w:snapToGrid/>
              <w:jc w:val="center"/>
              <w:rPr>
                <w:rFonts w:eastAsia="仿宋_GB2312"/>
                <w:b/>
                <w:kern w:val="2"/>
                <w:sz w:val="21"/>
                <w:szCs w:val="21"/>
              </w:rPr>
            </w:pPr>
            <w:r>
              <w:rPr>
                <w:rFonts w:hAnsi="仿宋_GB2312" w:eastAsia="仿宋_GB2312"/>
                <w:b/>
                <w:kern w:val="2"/>
                <w:sz w:val="21"/>
                <w:szCs w:val="21"/>
              </w:rPr>
              <w:t>设备名称</w:t>
            </w:r>
          </w:p>
        </w:tc>
        <w:tc>
          <w:tcPr>
            <w:tcW w:w="2267" w:type="dxa"/>
            <w:noWrap/>
            <w:vAlign w:val="center"/>
          </w:tcPr>
          <w:p>
            <w:pPr>
              <w:widowControl w:val="0"/>
              <w:adjustRightInd/>
              <w:snapToGrid/>
              <w:jc w:val="center"/>
              <w:rPr>
                <w:rFonts w:eastAsia="仿宋_GB2312"/>
                <w:b/>
                <w:kern w:val="2"/>
                <w:sz w:val="21"/>
                <w:szCs w:val="21"/>
              </w:rPr>
            </w:pPr>
            <w:r>
              <w:rPr>
                <w:rFonts w:hAnsi="仿宋_GB2312" w:eastAsia="仿宋_GB2312"/>
                <w:b/>
                <w:kern w:val="2"/>
                <w:sz w:val="21"/>
                <w:szCs w:val="21"/>
              </w:rPr>
              <w:t>规格</w:t>
            </w:r>
          </w:p>
        </w:tc>
        <w:tc>
          <w:tcPr>
            <w:tcW w:w="1007" w:type="dxa"/>
            <w:noWrap/>
            <w:vAlign w:val="center"/>
          </w:tcPr>
          <w:p>
            <w:pPr>
              <w:widowControl w:val="0"/>
              <w:adjustRightInd/>
              <w:snapToGrid/>
              <w:jc w:val="center"/>
              <w:rPr>
                <w:rFonts w:eastAsia="仿宋_GB2312"/>
                <w:b/>
                <w:kern w:val="2"/>
                <w:sz w:val="21"/>
                <w:szCs w:val="21"/>
              </w:rPr>
            </w:pPr>
            <w:r>
              <w:rPr>
                <w:rFonts w:hAnsi="仿宋_GB2312" w:eastAsia="仿宋_GB2312"/>
                <w:b/>
                <w:kern w:val="2"/>
                <w:sz w:val="21"/>
                <w:szCs w:val="21"/>
              </w:rPr>
              <w:t>数量</w:t>
            </w:r>
          </w:p>
        </w:tc>
        <w:tc>
          <w:tcPr>
            <w:tcW w:w="2184" w:type="dxa"/>
            <w:noWrap/>
            <w:vAlign w:val="center"/>
          </w:tcPr>
          <w:p>
            <w:pPr>
              <w:widowControl w:val="0"/>
              <w:adjustRightInd/>
              <w:snapToGrid/>
              <w:jc w:val="center"/>
              <w:rPr>
                <w:rFonts w:eastAsia="仿宋_GB2312"/>
                <w:b/>
                <w:kern w:val="2"/>
                <w:sz w:val="21"/>
                <w:szCs w:val="21"/>
              </w:rPr>
            </w:pPr>
            <w:r>
              <w:rPr>
                <w:rFonts w:hAnsi="仿宋_GB2312" w:eastAsia="仿宋_GB2312"/>
                <w:b/>
                <w:kern w:val="2"/>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03" w:type="dxa"/>
            <w:noWrap/>
            <w:vAlign w:val="center"/>
          </w:tcPr>
          <w:p>
            <w:pPr>
              <w:widowControl w:val="0"/>
              <w:adjustRightInd/>
              <w:snapToGrid/>
              <w:jc w:val="center"/>
              <w:rPr>
                <w:rFonts w:eastAsia="仿宋_GB2312"/>
                <w:kern w:val="2"/>
                <w:sz w:val="21"/>
                <w:szCs w:val="21"/>
              </w:rPr>
            </w:pPr>
            <w:r>
              <w:rPr>
                <w:rFonts w:eastAsia="仿宋_GB2312"/>
                <w:kern w:val="2"/>
                <w:sz w:val="21"/>
                <w:szCs w:val="21"/>
              </w:rPr>
              <w:t>1</w:t>
            </w:r>
          </w:p>
        </w:tc>
        <w:tc>
          <w:tcPr>
            <w:tcW w:w="2117" w:type="dxa"/>
            <w:vMerge w:val="restart"/>
            <w:noWrap/>
            <w:vAlign w:val="center"/>
          </w:tcPr>
          <w:p>
            <w:pPr>
              <w:widowControl w:val="0"/>
              <w:adjustRightInd/>
              <w:snapToGrid/>
              <w:jc w:val="center"/>
              <w:rPr>
                <w:rFonts w:eastAsia="仿宋_GB2312"/>
                <w:kern w:val="2"/>
                <w:sz w:val="21"/>
                <w:szCs w:val="21"/>
              </w:rPr>
            </w:pPr>
            <w:r>
              <w:rPr>
                <w:rFonts w:hAnsi="仿宋_GB2312" w:eastAsia="仿宋_GB2312"/>
                <w:kern w:val="2"/>
                <w:sz w:val="21"/>
                <w:szCs w:val="21"/>
              </w:rPr>
              <w:t>储油罐体</w:t>
            </w:r>
          </w:p>
        </w:tc>
        <w:tc>
          <w:tcPr>
            <w:tcW w:w="2267" w:type="dxa"/>
            <w:noWrap/>
            <w:vAlign w:val="center"/>
          </w:tcPr>
          <w:p>
            <w:pPr>
              <w:widowControl w:val="0"/>
              <w:adjustRightInd/>
              <w:snapToGrid/>
              <w:jc w:val="center"/>
              <w:rPr>
                <w:rFonts w:eastAsia="仿宋_GB2312"/>
                <w:kern w:val="2"/>
                <w:sz w:val="21"/>
                <w:szCs w:val="21"/>
              </w:rPr>
            </w:pPr>
            <w:r>
              <w:rPr>
                <w:rFonts w:eastAsia="仿宋_GB2312"/>
                <w:kern w:val="2"/>
                <w:sz w:val="21"/>
                <w:szCs w:val="21"/>
              </w:rPr>
              <w:t>0</w:t>
            </w:r>
            <w:r>
              <w:rPr>
                <w:rFonts w:eastAsia="仿宋_GB2312"/>
                <w:kern w:val="2"/>
                <w:sz w:val="21"/>
                <w:szCs w:val="21"/>
                <w:vertAlign w:val="superscript"/>
              </w:rPr>
              <w:t>#</w:t>
            </w:r>
            <w:r>
              <w:rPr>
                <w:rFonts w:hAnsi="仿宋_GB2312" w:eastAsia="仿宋_GB2312"/>
                <w:kern w:val="2"/>
                <w:sz w:val="21"/>
                <w:szCs w:val="21"/>
              </w:rPr>
              <w:t>柴油（</w:t>
            </w:r>
            <w:r>
              <w:rPr>
                <w:rFonts w:hint="eastAsia" w:eastAsia="仿宋_GB2312"/>
                <w:kern w:val="2"/>
                <w:sz w:val="21"/>
                <w:szCs w:val="21"/>
              </w:rPr>
              <w:t>5</w:t>
            </w:r>
            <w:r>
              <w:rPr>
                <w:rFonts w:eastAsia="仿宋_GB2312"/>
                <w:kern w:val="2"/>
                <w:sz w:val="21"/>
                <w:szCs w:val="21"/>
              </w:rPr>
              <w:t>0m</w:t>
            </w:r>
            <w:r>
              <w:rPr>
                <w:rFonts w:eastAsia="宋体"/>
                <w:kern w:val="2"/>
                <w:sz w:val="21"/>
                <w:szCs w:val="21"/>
              </w:rPr>
              <w:t>³</w:t>
            </w:r>
            <w:r>
              <w:rPr>
                <w:rFonts w:hAnsi="仿宋_GB2312" w:eastAsia="仿宋_GB2312"/>
                <w:kern w:val="2"/>
                <w:sz w:val="21"/>
                <w:szCs w:val="21"/>
              </w:rPr>
              <w:t>）</w:t>
            </w:r>
          </w:p>
        </w:tc>
        <w:tc>
          <w:tcPr>
            <w:tcW w:w="1007" w:type="dxa"/>
            <w:noWrap/>
            <w:vAlign w:val="center"/>
          </w:tcPr>
          <w:p>
            <w:pPr>
              <w:widowControl w:val="0"/>
              <w:adjustRightInd/>
              <w:snapToGrid/>
              <w:jc w:val="center"/>
              <w:rPr>
                <w:rFonts w:eastAsia="仿宋_GB2312"/>
                <w:kern w:val="2"/>
                <w:sz w:val="21"/>
                <w:szCs w:val="21"/>
              </w:rPr>
            </w:pPr>
            <w:r>
              <w:rPr>
                <w:rFonts w:hint="eastAsia" w:eastAsia="仿宋_GB2312"/>
                <w:kern w:val="2"/>
                <w:sz w:val="21"/>
                <w:szCs w:val="21"/>
              </w:rPr>
              <w:t>1</w:t>
            </w:r>
            <w:r>
              <w:rPr>
                <w:rFonts w:hAnsi="仿宋_GB2312" w:eastAsia="仿宋_GB2312"/>
                <w:kern w:val="2"/>
                <w:sz w:val="21"/>
                <w:szCs w:val="21"/>
              </w:rPr>
              <w:t>个</w:t>
            </w:r>
          </w:p>
        </w:tc>
        <w:tc>
          <w:tcPr>
            <w:tcW w:w="2184" w:type="dxa"/>
            <w:vMerge w:val="restart"/>
            <w:noWrap/>
            <w:vAlign w:val="center"/>
          </w:tcPr>
          <w:p>
            <w:pPr>
              <w:widowControl w:val="0"/>
              <w:adjustRightInd/>
              <w:snapToGrid/>
              <w:jc w:val="center"/>
              <w:rPr>
                <w:rFonts w:eastAsia="仿宋_GB2312"/>
                <w:kern w:val="2"/>
                <w:sz w:val="21"/>
                <w:szCs w:val="21"/>
              </w:rPr>
            </w:pPr>
            <w:r>
              <w:rPr>
                <w:rFonts w:hint="eastAsia" w:eastAsia="仿宋_GB2312"/>
                <w:kern w:val="2"/>
                <w:sz w:val="21"/>
                <w:szCs w:val="21"/>
              </w:rPr>
              <w:t>双层埋地卧式储油罐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03" w:type="dxa"/>
            <w:noWrap/>
            <w:vAlign w:val="center"/>
          </w:tcPr>
          <w:p>
            <w:pPr>
              <w:widowControl w:val="0"/>
              <w:adjustRightInd/>
              <w:snapToGrid/>
              <w:jc w:val="center"/>
              <w:rPr>
                <w:rFonts w:eastAsia="仿宋_GB2312"/>
                <w:kern w:val="2"/>
                <w:sz w:val="21"/>
                <w:szCs w:val="21"/>
              </w:rPr>
            </w:pPr>
            <w:r>
              <w:rPr>
                <w:rFonts w:eastAsia="仿宋_GB2312"/>
                <w:kern w:val="2"/>
                <w:sz w:val="21"/>
                <w:szCs w:val="21"/>
              </w:rPr>
              <w:t>2</w:t>
            </w:r>
          </w:p>
        </w:tc>
        <w:tc>
          <w:tcPr>
            <w:tcW w:w="2117" w:type="dxa"/>
            <w:vMerge w:val="continue"/>
            <w:noWrap/>
            <w:vAlign w:val="center"/>
          </w:tcPr>
          <w:p>
            <w:pPr>
              <w:widowControl w:val="0"/>
              <w:adjustRightInd/>
              <w:snapToGrid/>
              <w:jc w:val="center"/>
              <w:rPr>
                <w:rFonts w:hAnsi="仿宋_GB2312" w:eastAsia="仿宋_GB2312"/>
                <w:kern w:val="2"/>
                <w:sz w:val="21"/>
                <w:szCs w:val="21"/>
              </w:rPr>
            </w:pPr>
          </w:p>
        </w:tc>
        <w:tc>
          <w:tcPr>
            <w:tcW w:w="2267" w:type="dxa"/>
            <w:noWrap/>
            <w:vAlign w:val="center"/>
          </w:tcPr>
          <w:p>
            <w:pPr>
              <w:widowControl w:val="0"/>
              <w:adjustRightInd/>
              <w:snapToGrid/>
              <w:jc w:val="center"/>
              <w:rPr>
                <w:rFonts w:eastAsia="仿宋_GB2312"/>
                <w:kern w:val="2"/>
                <w:sz w:val="21"/>
                <w:szCs w:val="21"/>
              </w:rPr>
            </w:pPr>
            <w:r>
              <w:rPr>
                <w:rFonts w:eastAsia="仿宋_GB2312"/>
                <w:kern w:val="2"/>
                <w:sz w:val="21"/>
                <w:szCs w:val="21"/>
              </w:rPr>
              <w:t>9</w:t>
            </w:r>
            <w:r>
              <w:rPr>
                <w:rFonts w:hint="eastAsia" w:eastAsia="仿宋_GB2312"/>
                <w:kern w:val="2"/>
                <w:sz w:val="21"/>
                <w:szCs w:val="21"/>
              </w:rPr>
              <w:t>2</w:t>
            </w:r>
            <w:r>
              <w:rPr>
                <w:rFonts w:eastAsia="仿宋_GB2312"/>
                <w:kern w:val="2"/>
                <w:sz w:val="21"/>
                <w:szCs w:val="21"/>
                <w:vertAlign w:val="superscript"/>
              </w:rPr>
              <w:t>#</w:t>
            </w:r>
            <w:r>
              <w:rPr>
                <w:rFonts w:hAnsi="仿宋_GB2312" w:eastAsia="仿宋_GB2312"/>
                <w:kern w:val="2"/>
                <w:sz w:val="21"/>
                <w:szCs w:val="21"/>
              </w:rPr>
              <w:t>柴油（</w:t>
            </w:r>
            <w:r>
              <w:rPr>
                <w:rFonts w:hint="eastAsia" w:eastAsia="仿宋_GB2312"/>
                <w:kern w:val="2"/>
                <w:sz w:val="21"/>
                <w:szCs w:val="21"/>
              </w:rPr>
              <w:t>3</w:t>
            </w:r>
            <w:r>
              <w:rPr>
                <w:rFonts w:eastAsia="仿宋_GB2312"/>
                <w:kern w:val="2"/>
                <w:sz w:val="21"/>
                <w:szCs w:val="21"/>
              </w:rPr>
              <w:t>0m</w:t>
            </w:r>
            <w:r>
              <w:rPr>
                <w:rFonts w:eastAsia="宋体"/>
                <w:kern w:val="2"/>
                <w:sz w:val="21"/>
                <w:szCs w:val="21"/>
              </w:rPr>
              <w:t>³</w:t>
            </w:r>
            <w:r>
              <w:rPr>
                <w:rFonts w:hAnsi="仿宋_GB2312" w:eastAsia="仿宋_GB2312"/>
                <w:kern w:val="2"/>
                <w:sz w:val="21"/>
                <w:szCs w:val="21"/>
              </w:rPr>
              <w:t>）</w:t>
            </w:r>
          </w:p>
        </w:tc>
        <w:tc>
          <w:tcPr>
            <w:tcW w:w="1007" w:type="dxa"/>
            <w:noWrap/>
            <w:vAlign w:val="center"/>
          </w:tcPr>
          <w:p>
            <w:pPr>
              <w:widowControl w:val="0"/>
              <w:adjustRightInd/>
              <w:snapToGrid/>
              <w:jc w:val="center"/>
              <w:rPr>
                <w:rFonts w:eastAsia="仿宋_GB2312"/>
                <w:kern w:val="2"/>
                <w:sz w:val="21"/>
                <w:szCs w:val="21"/>
              </w:rPr>
            </w:pPr>
            <w:r>
              <w:rPr>
                <w:rFonts w:eastAsia="仿宋_GB2312"/>
                <w:kern w:val="2"/>
                <w:sz w:val="21"/>
                <w:szCs w:val="21"/>
              </w:rPr>
              <w:t>1</w:t>
            </w:r>
            <w:r>
              <w:rPr>
                <w:rFonts w:hAnsi="仿宋_GB2312" w:eastAsia="仿宋_GB2312"/>
                <w:kern w:val="2"/>
                <w:sz w:val="21"/>
                <w:szCs w:val="21"/>
              </w:rPr>
              <w:t>个</w:t>
            </w:r>
          </w:p>
        </w:tc>
        <w:tc>
          <w:tcPr>
            <w:tcW w:w="2184" w:type="dxa"/>
            <w:vMerge w:val="continue"/>
            <w:noWrap/>
            <w:vAlign w:val="center"/>
          </w:tcPr>
          <w:p>
            <w:pPr>
              <w:widowControl w:val="0"/>
              <w:adjustRightInd/>
              <w:snapToGrid/>
              <w:jc w:val="center"/>
              <w:rPr>
                <w:rFonts w:eastAsia="仿宋_GB2312"/>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03" w:type="dxa"/>
            <w:noWrap/>
            <w:vAlign w:val="center"/>
          </w:tcPr>
          <w:p>
            <w:pPr>
              <w:widowControl w:val="0"/>
              <w:adjustRightInd/>
              <w:snapToGrid/>
              <w:jc w:val="center"/>
              <w:rPr>
                <w:rFonts w:eastAsia="仿宋_GB2312"/>
                <w:kern w:val="2"/>
                <w:sz w:val="21"/>
                <w:szCs w:val="21"/>
              </w:rPr>
            </w:pPr>
            <w:r>
              <w:rPr>
                <w:rFonts w:eastAsia="仿宋_GB2312"/>
                <w:kern w:val="2"/>
                <w:sz w:val="21"/>
                <w:szCs w:val="21"/>
              </w:rPr>
              <w:t>3</w:t>
            </w:r>
          </w:p>
        </w:tc>
        <w:tc>
          <w:tcPr>
            <w:tcW w:w="2117" w:type="dxa"/>
            <w:vMerge w:val="continue"/>
            <w:noWrap/>
            <w:vAlign w:val="center"/>
          </w:tcPr>
          <w:p>
            <w:pPr>
              <w:widowControl w:val="0"/>
              <w:adjustRightInd/>
              <w:snapToGrid/>
              <w:jc w:val="center"/>
              <w:rPr>
                <w:rFonts w:eastAsia="仿宋_GB2312"/>
                <w:kern w:val="2"/>
                <w:sz w:val="21"/>
                <w:szCs w:val="21"/>
              </w:rPr>
            </w:pPr>
          </w:p>
        </w:tc>
        <w:tc>
          <w:tcPr>
            <w:tcW w:w="2267" w:type="dxa"/>
            <w:noWrap/>
            <w:vAlign w:val="center"/>
          </w:tcPr>
          <w:p>
            <w:pPr>
              <w:widowControl w:val="0"/>
              <w:adjustRightInd/>
              <w:snapToGrid/>
              <w:jc w:val="center"/>
              <w:rPr>
                <w:rFonts w:eastAsia="仿宋_GB2312"/>
                <w:kern w:val="2"/>
                <w:sz w:val="21"/>
                <w:szCs w:val="21"/>
              </w:rPr>
            </w:pPr>
            <w:r>
              <w:rPr>
                <w:rFonts w:eastAsia="仿宋_GB2312"/>
                <w:kern w:val="2"/>
                <w:sz w:val="21"/>
                <w:szCs w:val="21"/>
              </w:rPr>
              <w:t>9</w:t>
            </w:r>
            <w:r>
              <w:rPr>
                <w:rFonts w:hint="eastAsia" w:eastAsia="仿宋_GB2312"/>
                <w:kern w:val="2"/>
                <w:sz w:val="21"/>
                <w:szCs w:val="21"/>
              </w:rPr>
              <w:t>5</w:t>
            </w:r>
            <w:r>
              <w:rPr>
                <w:rFonts w:eastAsia="仿宋_GB2312"/>
                <w:kern w:val="2"/>
                <w:sz w:val="21"/>
                <w:szCs w:val="21"/>
                <w:vertAlign w:val="superscript"/>
              </w:rPr>
              <w:t>#</w:t>
            </w:r>
            <w:r>
              <w:rPr>
                <w:rFonts w:hAnsi="仿宋_GB2312" w:eastAsia="仿宋_GB2312"/>
                <w:kern w:val="2"/>
                <w:sz w:val="21"/>
                <w:szCs w:val="21"/>
              </w:rPr>
              <w:t>汽油（</w:t>
            </w:r>
            <w:r>
              <w:rPr>
                <w:rFonts w:eastAsia="仿宋_GB2312"/>
                <w:kern w:val="2"/>
                <w:sz w:val="21"/>
                <w:szCs w:val="21"/>
              </w:rPr>
              <w:t>30m</w:t>
            </w:r>
            <w:r>
              <w:rPr>
                <w:rFonts w:eastAsia="宋体"/>
                <w:kern w:val="2"/>
                <w:sz w:val="21"/>
                <w:szCs w:val="21"/>
              </w:rPr>
              <w:t>³</w:t>
            </w:r>
            <w:r>
              <w:rPr>
                <w:rFonts w:hAnsi="仿宋_GB2312" w:eastAsia="仿宋_GB2312"/>
                <w:kern w:val="2"/>
                <w:sz w:val="21"/>
                <w:szCs w:val="21"/>
              </w:rPr>
              <w:t>）</w:t>
            </w:r>
          </w:p>
        </w:tc>
        <w:tc>
          <w:tcPr>
            <w:tcW w:w="1007" w:type="dxa"/>
            <w:noWrap/>
            <w:vAlign w:val="center"/>
          </w:tcPr>
          <w:p>
            <w:pPr>
              <w:widowControl w:val="0"/>
              <w:adjustRightInd/>
              <w:snapToGrid/>
              <w:jc w:val="center"/>
              <w:rPr>
                <w:rFonts w:eastAsia="仿宋_GB2312"/>
                <w:kern w:val="2"/>
                <w:sz w:val="21"/>
                <w:szCs w:val="21"/>
              </w:rPr>
            </w:pPr>
            <w:r>
              <w:rPr>
                <w:rFonts w:hint="eastAsia" w:eastAsia="仿宋_GB2312"/>
                <w:kern w:val="2"/>
                <w:sz w:val="21"/>
                <w:szCs w:val="21"/>
              </w:rPr>
              <w:t>1个</w:t>
            </w:r>
          </w:p>
        </w:tc>
        <w:tc>
          <w:tcPr>
            <w:tcW w:w="2184" w:type="dxa"/>
            <w:vMerge w:val="continue"/>
            <w:noWrap/>
            <w:vAlign w:val="center"/>
          </w:tcPr>
          <w:p>
            <w:pPr>
              <w:widowControl w:val="0"/>
              <w:adjustRightInd/>
              <w:snapToGrid/>
              <w:jc w:val="center"/>
              <w:rPr>
                <w:rFonts w:eastAsia="仿宋_GB2312"/>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703" w:type="dxa"/>
            <w:noWrap/>
            <w:vAlign w:val="center"/>
          </w:tcPr>
          <w:p>
            <w:pPr>
              <w:widowControl w:val="0"/>
              <w:adjustRightInd/>
              <w:snapToGrid/>
              <w:jc w:val="center"/>
              <w:rPr>
                <w:rFonts w:eastAsia="仿宋_GB2312"/>
                <w:kern w:val="2"/>
                <w:sz w:val="21"/>
                <w:szCs w:val="21"/>
              </w:rPr>
            </w:pPr>
            <w:r>
              <w:rPr>
                <w:rFonts w:hint="eastAsia" w:eastAsia="仿宋_GB2312"/>
                <w:kern w:val="2"/>
                <w:sz w:val="21"/>
                <w:szCs w:val="21"/>
              </w:rPr>
              <w:t>4</w:t>
            </w:r>
          </w:p>
        </w:tc>
        <w:tc>
          <w:tcPr>
            <w:tcW w:w="2117" w:type="dxa"/>
            <w:vMerge w:val="continue"/>
            <w:noWrap/>
            <w:vAlign w:val="center"/>
          </w:tcPr>
          <w:p>
            <w:pPr>
              <w:widowControl w:val="0"/>
              <w:adjustRightInd/>
              <w:snapToGrid/>
              <w:jc w:val="center"/>
              <w:rPr>
                <w:rFonts w:eastAsia="仿宋_GB2312"/>
                <w:kern w:val="2"/>
                <w:sz w:val="21"/>
                <w:szCs w:val="21"/>
              </w:rPr>
            </w:pPr>
          </w:p>
        </w:tc>
        <w:tc>
          <w:tcPr>
            <w:tcW w:w="2267" w:type="dxa"/>
            <w:noWrap/>
            <w:vAlign w:val="center"/>
          </w:tcPr>
          <w:p>
            <w:pPr>
              <w:widowControl w:val="0"/>
              <w:adjustRightInd/>
              <w:snapToGrid/>
              <w:jc w:val="center"/>
              <w:rPr>
                <w:rFonts w:eastAsia="仿宋_GB2312"/>
                <w:kern w:val="2"/>
                <w:sz w:val="21"/>
                <w:szCs w:val="21"/>
              </w:rPr>
            </w:pPr>
            <w:r>
              <w:rPr>
                <w:rFonts w:eastAsia="仿宋_GB2312"/>
                <w:kern w:val="2"/>
                <w:sz w:val="21"/>
                <w:szCs w:val="21"/>
              </w:rPr>
              <w:t>9</w:t>
            </w:r>
            <w:r>
              <w:rPr>
                <w:rFonts w:hint="eastAsia" w:eastAsia="仿宋_GB2312"/>
                <w:kern w:val="2"/>
                <w:sz w:val="21"/>
                <w:szCs w:val="21"/>
              </w:rPr>
              <w:t>8</w:t>
            </w:r>
            <w:r>
              <w:rPr>
                <w:rFonts w:eastAsia="仿宋_GB2312"/>
                <w:kern w:val="2"/>
                <w:sz w:val="21"/>
                <w:szCs w:val="21"/>
                <w:vertAlign w:val="superscript"/>
              </w:rPr>
              <w:t>#</w:t>
            </w:r>
            <w:r>
              <w:rPr>
                <w:rFonts w:hAnsi="仿宋_GB2312" w:eastAsia="仿宋_GB2312"/>
                <w:kern w:val="2"/>
                <w:sz w:val="21"/>
                <w:szCs w:val="21"/>
              </w:rPr>
              <w:t>汽油（</w:t>
            </w:r>
            <w:r>
              <w:rPr>
                <w:rFonts w:eastAsia="仿宋_GB2312"/>
                <w:kern w:val="2"/>
                <w:sz w:val="21"/>
                <w:szCs w:val="21"/>
              </w:rPr>
              <w:t>30m</w:t>
            </w:r>
            <w:r>
              <w:rPr>
                <w:rFonts w:eastAsia="宋体"/>
                <w:kern w:val="2"/>
                <w:sz w:val="21"/>
                <w:szCs w:val="21"/>
              </w:rPr>
              <w:t>³</w:t>
            </w:r>
            <w:r>
              <w:rPr>
                <w:rFonts w:hAnsi="仿宋_GB2312" w:eastAsia="仿宋_GB2312"/>
                <w:kern w:val="2"/>
                <w:sz w:val="21"/>
                <w:szCs w:val="21"/>
              </w:rPr>
              <w:t>）</w:t>
            </w:r>
          </w:p>
        </w:tc>
        <w:tc>
          <w:tcPr>
            <w:tcW w:w="1007" w:type="dxa"/>
            <w:noWrap/>
            <w:vAlign w:val="center"/>
          </w:tcPr>
          <w:p>
            <w:pPr>
              <w:widowControl w:val="0"/>
              <w:adjustRightInd/>
              <w:snapToGrid/>
              <w:jc w:val="center"/>
              <w:rPr>
                <w:rFonts w:eastAsia="仿宋_GB2312"/>
                <w:kern w:val="2"/>
                <w:sz w:val="21"/>
                <w:szCs w:val="21"/>
              </w:rPr>
            </w:pPr>
            <w:r>
              <w:rPr>
                <w:rFonts w:eastAsia="仿宋_GB2312"/>
                <w:kern w:val="2"/>
                <w:sz w:val="21"/>
                <w:szCs w:val="21"/>
              </w:rPr>
              <w:t>1</w:t>
            </w:r>
            <w:r>
              <w:rPr>
                <w:rFonts w:hAnsi="仿宋_GB2312" w:eastAsia="仿宋_GB2312"/>
                <w:kern w:val="2"/>
                <w:sz w:val="21"/>
                <w:szCs w:val="21"/>
              </w:rPr>
              <w:t>个</w:t>
            </w:r>
          </w:p>
        </w:tc>
        <w:tc>
          <w:tcPr>
            <w:tcW w:w="2184" w:type="dxa"/>
            <w:vMerge w:val="continue"/>
            <w:noWrap/>
            <w:vAlign w:val="center"/>
          </w:tcPr>
          <w:p>
            <w:pPr>
              <w:widowControl w:val="0"/>
              <w:adjustRightInd/>
              <w:snapToGrid/>
              <w:jc w:val="center"/>
              <w:rPr>
                <w:rFonts w:eastAsia="仿宋_GB2312"/>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703" w:type="dxa"/>
            <w:noWrap/>
            <w:vAlign w:val="center"/>
          </w:tcPr>
          <w:p>
            <w:pPr>
              <w:widowControl w:val="0"/>
              <w:adjustRightInd/>
              <w:snapToGrid/>
              <w:jc w:val="center"/>
              <w:rPr>
                <w:rFonts w:eastAsia="仿宋_GB2312"/>
                <w:kern w:val="2"/>
                <w:sz w:val="21"/>
                <w:szCs w:val="21"/>
              </w:rPr>
            </w:pPr>
            <w:r>
              <w:rPr>
                <w:rFonts w:hint="eastAsia" w:eastAsia="仿宋_GB2312"/>
                <w:kern w:val="2"/>
                <w:sz w:val="21"/>
                <w:szCs w:val="21"/>
              </w:rPr>
              <w:t>5</w:t>
            </w:r>
          </w:p>
        </w:tc>
        <w:tc>
          <w:tcPr>
            <w:tcW w:w="2117" w:type="dxa"/>
            <w:noWrap/>
            <w:vAlign w:val="center"/>
          </w:tcPr>
          <w:p>
            <w:pPr>
              <w:widowControl w:val="0"/>
              <w:adjustRightInd/>
              <w:snapToGrid/>
              <w:jc w:val="center"/>
              <w:rPr>
                <w:rFonts w:eastAsia="仿宋_GB2312"/>
                <w:kern w:val="2"/>
                <w:sz w:val="21"/>
                <w:szCs w:val="21"/>
              </w:rPr>
            </w:pPr>
            <w:r>
              <w:rPr>
                <w:rFonts w:hint="eastAsia" w:eastAsia="仿宋_GB2312"/>
                <w:sz w:val="21"/>
                <w:szCs w:val="21"/>
              </w:rPr>
              <w:t>双枪加油机</w:t>
            </w:r>
          </w:p>
        </w:tc>
        <w:tc>
          <w:tcPr>
            <w:tcW w:w="2267" w:type="dxa"/>
            <w:noWrap/>
            <w:vAlign w:val="center"/>
          </w:tcPr>
          <w:p>
            <w:pPr>
              <w:widowControl w:val="0"/>
              <w:adjustRightInd/>
              <w:snapToGrid/>
              <w:jc w:val="center"/>
              <w:rPr>
                <w:rFonts w:eastAsia="仿宋_GB2312"/>
                <w:kern w:val="2"/>
                <w:sz w:val="21"/>
                <w:szCs w:val="21"/>
              </w:rPr>
            </w:pPr>
            <w:r>
              <w:rPr>
                <w:rFonts w:eastAsia="仿宋_GB2312"/>
                <w:kern w:val="2"/>
                <w:sz w:val="21"/>
                <w:szCs w:val="21"/>
              </w:rPr>
              <w:t>/</w:t>
            </w:r>
          </w:p>
        </w:tc>
        <w:tc>
          <w:tcPr>
            <w:tcW w:w="1007" w:type="dxa"/>
            <w:noWrap/>
            <w:vAlign w:val="center"/>
          </w:tcPr>
          <w:p>
            <w:pPr>
              <w:widowControl w:val="0"/>
              <w:adjustRightInd/>
              <w:snapToGrid/>
              <w:jc w:val="center"/>
              <w:rPr>
                <w:rFonts w:eastAsia="仿宋_GB2312"/>
                <w:kern w:val="2"/>
                <w:sz w:val="21"/>
                <w:szCs w:val="21"/>
              </w:rPr>
            </w:pPr>
            <w:r>
              <w:rPr>
                <w:rFonts w:hint="eastAsia" w:eastAsia="仿宋_GB2312"/>
                <w:sz w:val="21"/>
                <w:szCs w:val="21"/>
              </w:rPr>
              <w:t>4台</w:t>
            </w:r>
          </w:p>
        </w:tc>
        <w:tc>
          <w:tcPr>
            <w:tcW w:w="2184" w:type="dxa"/>
            <w:noWrap/>
            <w:vAlign w:val="center"/>
          </w:tcPr>
          <w:p>
            <w:pPr>
              <w:widowControl w:val="0"/>
              <w:adjustRightInd/>
              <w:snapToGrid/>
              <w:jc w:val="center"/>
              <w:rPr>
                <w:rFonts w:eastAsia="仿宋_GB2312"/>
                <w:kern w:val="2"/>
                <w:sz w:val="21"/>
                <w:szCs w:val="21"/>
              </w:rPr>
            </w:pPr>
            <w:r>
              <w:rPr>
                <w:rFonts w:hint="eastAsia" w:eastAsia="仿宋_GB2312"/>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703" w:type="dxa"/>
            <w:noWrap/>
            <w:vAlign w:val="center"/>
          </w:tcPr>
          <w:p>
            <w:pPr>
              <w:widowControl w:val="0"/>
              <w:adjustRightInd/>
              <w:snapToGrid/>
              <w:jc w:val="center"/>
              <w:rPr>
                <w:rFonts w:eastAsia="仿宋_GB2312"/>
                <w:kern w:val="2"/>
                <w:sz w:val="21"/>
                <w:szCs w:val="21"/>
              </w:rPr>
            </w:pPr>
            <w:r>
              <w:rPr>
                <w:rFonts w:hint="eastAsia" w:eastAsia="仿宋_GB2312"/>
                <w:kern w:val="2"/>
                <w:sz w:val="21"/>
                <w:szCs w:val="21"/>
              </w:rPr>
              <w:t>6</w:t>
            </w:r>
          </w:p>
        </w:tc>
        <w:tc>
          <w:tcPr>
            <w:tcW w:w="2117" w:type="dxa"/>
            <w:noWrap/>
            <w:vAlign w:val="center"/>
          </w:tcPr>
          <w:p>
            <w:pPr>
              <w:widowControl w:val="0"/>
              <w:adjustRightInd/>
              <w:snapToGrid/>
              <w:jc w:val="center"/>
              <w:rPr>
                <w:rFonts w:eastAsia="仿宋_GB2312"/>
                <w:sz w:val="21"/>
                <w:szCs w:val="21"/>
              </w:rPr>
            </w:pPr>
            <w:r>
              <w:rPr>
                <w:rFonts w:hint="eastAsia" w:eastAsia="仿宋_GB2312"/>
                <w:sz w:val="21"/>
                <w:szCs w:val="21"/>
              </w:rPr>
              <w:t>加油枪</w:t>
            </w:r>
          </w:p>
        </w:tc>
        <w:tc>
          <w:tcPr>
            <w:tcW w:w="2267" w:type="dxa"/>
            <w:noWrap/>
            <w:vAlign w:val="center"/>
          </w:tcPr>
          <w:p>
            <w:pPr>
              <w:widowControl w:val="0"/>
              <w:adjustRightInd/>
              <w:snapToGrid/>
              <w:jc w:val="center"/>
              <w:rPr>
                <w:rFonts w:eastAsia="仿宋_GB2312"/>
                <w:kern w:val="2"/>
                <w:sz w:val="21"/>
                <w:szCs w:val="21"/>
              </w:rPr>
            </w:pPr>
            <w:r>
              <w:rPr>
                <w:rFonts w:hint="eastAsia" w:eastAsia="仿宋_GB2312"/>
                <w:kern w:val="2"/>
                <w:sz w:val="21"/>
                <w:szCs w:val="21"/>
              </w:rPr>
              <w:t>/</w:t>
            </w:r>
          </w:p>
        </w:tc>
        <w:tc>
          <w:tcPr>
            <w:tcW w:w="1007" w:type="dxa"/>
            <w:noWrap/>
            <w:vAlign w:val="center"/>
          </w:tcPr>
          <w:p>
            <w:pPr>
              <w:widowControl w:val="0"/>
              <w:adjustRightInd/>
              <w:snapToGrid/>
              <w:jc w:val="center"/>
              <w:rPr>
                <w:rFonts w:eastAsia="仿宋_GB2312"/>
                <w:sz w:val="21"/>
                <w:szCs w:val="21"/>
              </w:rPr>
            </w:pPr>
            <w:r>
              <w:rPr>
                <w:rFonts w:hint="eastAsia" w:eastAsia="仿宋_GB2312"/>
                <w:sz w:val="21"/>
                <w:szCs w:val="21"/>
              </w:rPr>
              <w:t>16支</w:t>
            </w:r>
          </w:p>
        </w:tc>
        <w:tc>
          <w:tcPr>
            <w:tcW w:w="2184" w:type="dxa"/>
            <w:noWrap/>
            <w:vAlign w:val="center"/>
          </w:tcPr>
          <w:p>
            <w:pPr>
              <w:widowControl w:val="0"/>
              <w:adjustRightInd/>
              <w:snapToGrid/>
              <w:jc w:val="center"/>
              <w:rPr>
                <w:rFonts w:eastAsia="仿宋_GB2312"/>
                <w:kern w:val="2"/>
                <w:sz w:val="21"/>
                <w:szCs w:val="21"/>
              </w:rPr>
            </w:pPr>
            <w:r>
              <w:rPr>
                <w:rFonts w:hint="eastAsia" w:eastAsia="仿宋_GB2312"/>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703" w:type="dxa"/>
            <w:noWrap/>
            <w:vAlign w:val="center"/>
          </w:tcPr>
          <w:p>
            <w:pPr>
              <w:widowControl w:val="0"/>
              <w:adjustRightInd/>
              <w:snapToGrid/>
              <w:jc w:val="center"/>
              <w:rPr>
                <w:rFonts w:eastAsia="仿宋_GB2312"/>
                <w:kern w:val="2"/>
                <w:sz w:val="21"/>
                <w:szCs w:val="21"/>
              </w:rPr>
            </w:pPr>
            <w:r>
              <w:rPr>
                <w:rFonts w:hint="eastAsia" w:eastAsia="仿宋_GB2312"/>
                <w:kern w:val="2"/>
                <w:sz w:val="21"/>
                <w:szCs w:val="21"/>
              </w:rPr>
              <w:t>7</w:t>
            </w:r>
          </w:p>
        </w:tc>
        <w:tc>
          <w:tcPr>
            <w:tcW w:w="2117" w:type="dxa"/>
            <w:noWrap/>
            <w:vAlign w:val="center"/>
          </w:tcPr>
          <w:p>
            <w:pPr>
              <w:widowControl w:val="0"/>
              <w:adjustRightInd/>
              <w:snapToGrid/>
              <w:jc w:val="center"/>
              <w:rPr>
                <w:rFonts w:eastAsia="仿宋_GB2312"/>
                <w:kern w:val="2"/>
                <w:sz w:val="21"/>
                <w:szCs w:val="21"/>
              </w:rPr>
            </w:pPr>
            <w:r>
              <w:rPr>
                <w:rFonts w:hint="eastAsia" w:eastAsia="仿宋_GB2312"/>
                <w:kern w:val="2"/>
                <w:sz w:val="21"/>
                <w:szCs w:val="21"/>
              </w:rPr>
              <w:t>备用发电机组</w:t>
            </w:r>
          </w:p>
        </w:tc>
        <w:tc>
          <w:tcPr>
            <w:tcW w:w="2267" w:type="dxa"/>
            <w:noWrap/>
            <w:vAlign w:val="center"/>
          </w:tcPr>
          <w:p>
            <w:pPr>
              <w:widowControl w:val="0"/>
              <w:adjustRightInd/>
              <w:snapToGrid/>
              <w:jc w:val="center"/>
              <w:rPr>
                <w:rFonts w:eastAsia="仿宋_GB2312"/>
                <w:kern w:val="2"/>
                <w:sz w:val="21"/>
                <w:szCs w:val="21"/>
              </w:rPr>
            </w:pPr>
            <w:r>
              <w:rPr>
                <w:rFonts w:hint="eastAsia" w:eastAsia="仿宋_GB2312"/>
                <w:kern w:val="2"/>
                <w:sz w:val="21"/>
                <w:szCs w:val="21"/>
              </w:rPr>
              <w:t>/</w:t>
            </w:r>
          </w:p>
        </w:tc>
        <w:tc>
          <w:tcPr>
            <w:tcW w:w="1007" w:type="dxa"/>
            <w:noWrap/>
            <w:vAlign w:val="center"/>
          </w:tcPr>
          <w:p>
            <w:pPr>
              <w:widowControl w:val="0"/>
              <w:adjustRightInd/>
              <w:snapToGrid/>
              <w:jc w:val="center"/>
              <w:rPr>
                <w:rFonts w:eastAsia="仿宋_GB2312"/>
                <w:kern w:val="2"/>
                <w:sz w:val="21"/>
                <w:szCs w:val="21"/>
              </w:rPr>
            </w:pPr>
            <w:r>
              <w:rPr>
                <w:rFonts w:hint="eastAsia" w:eastAsia="仿宋_GB2312"/>
                <w:sz w:val="21"/>
                <w:szCs w:val="21"/>
              </w:rPr>
              <w:t>1台</w:t>
            </w:r>
          </w:p>
        </w:tc>
        <w:tc>
          <w:tcPr>
            <w:tcW w:w="2184" w:type="dxa"/>
            <w:noWrap/>
            <w:vAlign w:val="center"/>
          </w:tcPr>
          <w:p>
            <w:pPr>
              <w:widowControl w:val="0"/>
              <w:adjustRightInd/>
              <w:snapToGrid/>
              <w:jc w:val="center"/>
              <w:rPr>
                <w:rFonts w:eastAsia="仿宋_GB2312"/>
                <w:kern w:val="2"/>
                <w:sz w:val="21"/>
                <w:szCs w:val="21"/>
              </w:rPr>
            </w:pPr>
            <w:r>
              <w:rPr>
                <w:rFonts w:hint="eastAsia" w:eastAsia="仿宋_GB2312"/>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703" w:type="dxa"/>
            <w:noWrap/>
            <w:vAlign w:val="center"/>
          </w:tcPr>
          <w:p>
            <w:pPr>
              <w:widowControl w:val="0"/>
              <w:adjustRightInd/>
              <w:snapToGrid/>
              <w:jc w:val="center"/>
              <w:rPr>
                <w:rFonts w:eastAsia="仿宋_GB2312"/>
                <w:kern w:val="2"/>
                <w:sz w:val="21"/>
                <w:szCs w:val="21"/>
              </w:rPr>
            </w:pPr>
            <w:r>
              <w:rPr>
                <w:rFonts w:hint="eastAsia" w:eastAsia="仿宋_GB2312"/>
                <w:kern w:val="2"/>
                <w:sz w:val="21"/>
                <w:szCs w:val="21"/>
              </w:rPr>
              <w:t>8</w:t>
            </w:r>
          </w:p>
        </w:tc>
        <w:tc>
          <w:tcPr>
            <w:tcW w:w="2117" w:type="dxa"/>
            <w:noWrap/>
            <w:vAlign w:val="center"/>
          </w:tcPr>
          <w:p>
            <w:pPr>
              <w:widowControl w:val="0"/>
              <w:adjustRightInd/>
              <w:snapToGrid/>
              <w:jc w:val="center"/>
              <w:rPr>
                <w:rFonts w:eastAsia="仿宋_GB2312"/>
                <w:kern w:val="2"/>
                <w:sz w:val="21"/>
                <w:szCs w:val="21"/>
              </w:rPr>
            </w:pPr>
            <w:r>
              <w:rPr>
                <w:rFonts w:hint="eastAsia" w:eastAsia="仿宋_GB2312"/>
                <w:kern w:val="2"/>
                <w:sz w:val="21"/>
                <w:szCs w:val="21"/>
              </w:rPr>
              <w:t>加油及卸油油气回收装置</w:t>
            </w:r>
          </w:p>
        </w:tc>
        <w:tc>
          <w:tcPr>
            <w:tcW w:w="2267" w:type="dxa"/>
            <w:noWrap/>
            <w:vAlign w:val="center"/>
          </w:tcPr>
          <w:p>
            <w:pPr>
              <w:widowControl w:val="0"/>
              <w:adjustRightInd/>
              <w:snapToGrid/>
              <w:jc w:val="center"/>
              <w:rPr>
                <w:rFonts w:eastAsia="仿宋_GB2312"/>
                <w:kern w:val="2"/>
                <w:sz w:val="21"/>
                <w:szCs w:val="21"/>
              </w:rPr>
            </w:pPr>
            <w:r>
              <w:rPr>
                <w:rFonts w:hint="eastAsia" w:eastAsia="仿宋_GB2312"/>
                <w:kern w:val="2"/>
                <w:sz w:val="21"/>
                <w:szCs w:val="21"/>
              </w:rPr>
              <w:t>/</w:t>
            </w:r>
          </w:p>
        </w:tc>
        <w:tc>
          <w:tcPr>
            <w:tcW w:w="1007" w:type="dxa"/>
            <w:noWrap/>
            <w:vAlign w:val="center"/>
          </w:tcPr>
          <w:p>
            <w:pPr>
              <w:widowControl w:val="0"/>
              <w:adjustRightInd/>
              <w:snapToGrid/>
              <w:jc w:val="center"/>
              <w:rPr>
                <w:rFonts w:eastAsia="仿宋_GB2312"/>
                <w:kern w:val="2"/>
                <w:sz w:val="21"/>
                <w:szCs w:val="21"/>
              </w:rPr>
            </w:pPr>
            <w:r>
              <w:rPr>
                <w:rFonts w:hint="eastAsia" w:eastAsia="仿宋_GB2312"/>
                <w:kern w:val="2"/>
                <w:sz w:val="21"/>
                <w:szCs w:val="21"/>
              </w:rPr>
              <w:t>2套</w:t>
            </w:r>
          </w:p>
        </w:tc>
        <w:tc>
          <w:tcPr>
            <w:tcW w:w="2184" w:type="dxa"/>
            <w:noWrap/>
            <w:vAlign w:val="center"/>
          </w:tcPr>
          <w:p>
            <w:pPr>
              <w:widowControl w:val="0"/>
              <w:adjustRightInd/>
              <w:snapToGrid/>
              <w:jc w:val="center"/>
              <w:rPr>
                <w:rFonts w:eastAsia="仿宋_GB2312"/>
                <w:kern w:val="2"/>
                <w:sz w:val="21"/>
                <w:szCs w:val="21"/>
              </w:rPr>
            </w:pPr>
            <w:r>
              <w:rPr>
                <w:rFonts w:hint="eastAsia" w:eastAsia="仿宋_GB2312"/>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703" w:type="dxa"/>
            <w:noWrap/>
            <w:vAlign w:val="center"/>
          </w:tcPr>
          <w:p>
            <w:pPr>
              <w:widowControl w:val="0"/>
              <w:adjustRightInd/>
              <w:snapToGrid/>
              <w:jc w:val="center"/>
              <w:rPr>
                <w:rFonts w:eastAsia="仿宋_GB2312"/>
                <w:kern w:val="2"/>
                <w:sz w:val="21"/>
                <w:szCs w:val="21"/>
              </w:rPr>
            </w:pPr>
            <w:r>
              <w:rPr>
                <w:rFonts w:hint="eastAsia" w:eastAsia="仿宋_GB2312"/>
                <w:kern w:val="2"/>
                <w:sz w:val="21"/>
                <w:szCs w:val="21"/>
              </w:rPr>
              <w:t>9</w:t>
            </w:r>
          </w:p>
        </w:tc>
        <w:tc>
          <w:tcPr>
            <w:tcW w:w="2117" w:type="dxa"/>
            <w:noWrap/>
            <w:vAlign w:val="center"/>
          </w:tcPr>
          <w:p>
            <w:pPr>
              <w:widowControl w:val="0"/>
              <w:adjustRightInd/>
              <w:snapToGrid/>
              <w:jc w:val="center"/>
              <w:rPr>
                <w:rFonts w:eastAsia="仿宋_GB2312"/>
                <w:kern w:val="2"/>
                <w:sz w:val="21"/>
                <w:szCs w:val="21"/>
              </w:rPr>
            </w:pPr>
            <w:r>
              <w:rPr>
                <w:rFonts w:hint="eastAsia" w:eastAsia="仿宋_GB2312"/>
                <w:kern w:val="2"/>
                <w:sz w:val="21"/>
                <w:szCs w:val="21"/>
              </w:rPr>
              <w:t>直吸泵</w:t>
            </w:r>
          </w:p>
        </w:tc>
        <w:tc>
          <w:tcPr>
            <w:tcW w:w="2267" w:type="dxa"/>
            <w:noWrap/>
            <w:vAlign w:val="center"/>
          </w:tcPr>
          <w:p>
            <w:pPr>
              <w:widowControl w:val="0"/>
              <w:adjustRightInd/>
              <w:snapToGrid/>
              <w:jc w:val="center"/>
              <w:rPr>
                <w:rFonts w:eastAsia="仿宋_GB2312"/>
                <w:kern w:val="2"/>
                <w:sz w:val="21"/>
                <w:szCs w:val="21"/>
              </w:rPr>
            </w:pPr>
            <w:r>
              <w:rPr>
                <w:rFonts w:hint="eastAsia" w:eastAsia="仿宋_GB2312"/>
                <w:kern w:val="2"/>
                <w:sz w:val="21"/>
                <w:szCs w:val="21"/>
              </w:rPr>
              <w:t>/</w:t>
            </w:r>
          </w:p>
        </w:tc>
        <w:tc>
          <w:tcPr>
            <w:tcW w:w="1007" w:type="dxa"/>
            <w:noWrap/>
            <w:vAlign w:val="center"/>
          </w:tcPr>
          <w:p>
            <w:pPr>
              <w:widowControl w:val="0"/>
              <w:adjustRightInd/>
              <w:snapToGrid/>
              <w:jc w:val="center"/>
              <w:rPr>
                <w:rFonts w:eastAsia="仿宋_GB2312"/>
                <w:kern w:val="2"/>
                <w:sz w:val="21"/>
                <w:szCs w:val="21"/>
              </w:rPr>
            </w:pPr>
            <w:r>
              <w:rPr>
                <w:rFonts w:hint="eastAsia" w:eastAsia="仿宋_GB2312"/>
                <w:kern w:val="2"/>
                <w:sz w:val="21"/>
                <w:szCs w:val="21"/>
                <w:lang w:val="en-US" w:eastAsia="zh-CN"/>
              </w:rPr>
              <w:t>4</w:t>
            </w:r>
            <w:r>
              <w:rPr>
                <w:rFonts w:hint="eastAsia" w:eastAsia="仿宋_GB2312"/>
                <w:kern w:val="2"/>
                <w:sz w:val="21"/>
                <w:szCs w:val="21"/>
              </w:rPr>
              <w:t>套</w:t>
            </w:r>
          </w:p>
        </w:tc>
        <w:tc>
          <w:tcPr>
            <w:tcW w:w="2184" w:type="dxa"/>
            <w:noWrap/>
            <w:vAlign w:val="center"/>
          </w:tcPr>
          <w:p>
            <w:pPr>
              <w:widowControl w:val="0"/>
              <w:adjustRightInd/>
              <w:snapToGrid/>
              <w:jc w:val="center"/>
              <w:rPr>
                <w:rFonts w:eastAsia="仿宋_GB2312"/>
                <w:kern w:val="2"/>
                <w:sz w:val="21"/>
                <w:szCs w:val="21"/>
              </w:rPr>
            </w:pPr>
            <w:r>
              <w:rPr>
                <w:rFonts w:hint="eastAsia" w:eastAsia="仿宋_GB2312"/>
                <w:kern w:val="2"/>
                <w:sz w:val="21"/>
                <w:szCs w:val="21"/>
              </w:rPr>
              <w:t>/</w:t>
            </w:r>
          </w:p>
        </w:tc>
      </w:tr>
      <w:bookmarkEnd w:id="134"/>
    </w:tbl>
    <w:p>
      <w:pPr>
        <w:pStyle w:val="7"/>
        <w:adjustRightInd w:val="0"/>
        <w:snapToGrid w:val="0"/>
        <w:spacing w:beforeLines="50"/>
        <w:rPr>
          <w:rFonts w:eastAsia="仿宋_GB2312"/>
          <w:szCs w:val="28"/>
        </w:rPr>
      </w:pPr>
      <w:bookmarkStart w:id="151" w:name="_Toc74855970"/>
      <w:bookmarkStart w:id="152" w:name="_Toc331526098"/>
      <w:bookmarkStart w:id="153" w:name="_Toc6536"/>
      <w:bookmarkStart w:id="154" w:name="_Toc522025635"/>
      <w:bookmarkStart w:id="155" w:name="_Toc15161"/>
      <w:r>
        <w:rPr>
          <w:rFonts w:eastAsia="仿宋_GB2312"/>
          <w:szCs w:val="28"/>
        </w:rPr>
        <w:t>2.2</w:t>
      </w:r>
      <w:r>
        <w:rPr>
          <w:rFonts w:hint="eastAsia" w:eastAsia="仿宋_GB2312"/>
          <w:szCs w:val="28"/>
        </w:rPr>
        <w:t>.4环保设施概况</w:t>
      </w:r>
      <w:bookmarkEnd w:id="151"/>
    </w:p>
    <w:p>
      <w:pPr>
        <w:spacing w:after="0" w:line="360" w:lineRule="auto"/>
        <w:ind w:firstLine="480"/>
        <w:rPr>
          <w:rFonts w:eastAsia="仿宋_GB2312"/>
          <w:sz w:val="24"/>
          <w:szCs w:val="24"/>
        </w:rPr>
      </w:pPr>
      <w:r>
        <w:rPr>
          <w:rFonts w:hint="eastAsia" w:eastAsia="仿宋_GB2312"/>
          <w:sz w:val="24"/>
          <w:szCs w:val="24"/>
        </w:rPr>
        <w:t>中国石油化工股份有限公司文山石油分公司西畴县金玉加油站，建设</w:t>
      </w:r>
      <w:r>
        <w:rPr>
          <w:rFonts w:hint="eastAsia" w:eastAsia="仿宋_GB2312"/>
          <w:bCs/>
          <w:sz w:val="24"/>
          <w:szCs w:val="24"/>
        </w:rPr>
        <w:t>项目总投资2000万元，其中环保投资24.2万元,占总投资的1.21%。</w:t>
      </w:r>
      <w:r>
        <w:rPr>
          <w:rFonts w:eastAsia="仿宋_GB2312"/>
          <w:sz w:val="24"/>
          <w:szCs w:val="24"/>
        </w:rPr>
        <w:t>环保</w:t>
      </w:r>
      <w:r>
        <w:rPr>
          <w:rFonts w:hint="eastAsia" w:eastAsia="仿宋_GB2312"/>
          <w:sz w:val="24"/>
          <w:szCs w:val="24"/>
        </w:rPr>
        <w:t>投资明细如下</w:t>
      </w:r>
      <w:r>
        <w:rPr>
          <w:rFonts w:eastAsia="仿宋_GB2312"/>
          <w:sz w:val="24"/>
          <w:szCs w:val="24"/>
        </w:rPr>
        <w:t>：</w:t>
      </w:r>
    </w:p>
    <w:p>
      <w:pPr>
        <w:spacing w:after="0" w:line="360" w:lineRule="auto"/>
        <w:ind w:firstLine="482"/>
        <w:jc w:val="center"/>
        <w:rPr>
          <w:rFonts w:ascii="仿宋" w:hAnsi="仿宋"/>
          <w:szCs w:val="28"/>
        </w:rPr>
      </w:pPr>
      <w:r>
        <w:rPr>
          <w:rFonts w:eastAsia="仿宋_GB2312"/>
          <w:b/>
          <w:sz w:val="24"/>
          <w:szCs w:val="24"/>
        </w:rPr>
        <w:t>表2.2.</w:t>
      </w:r>
      <w:r>
        <w:rPr>
          <w:rFonts w:hint="eastAsia" w:eastAsia="仿宋_GB2312"/>
          <w:b/>
          <w:sz w:val="24"/>
          <w:szCs w:val="24"/>
        </w:rPr>
        <w:t>4</w:t>
      </w:r>
      <w:r>
        <w:rPr>
          <w:rFonts w:eastAsia="仿宋_GB2312"/>
          <w:b/>
          <w:sz w:val="24"/>
          <w:szCs w:val="24"/>
        </w:rPr>
        <w:t>-1</w:t>
      </w:r>
      <w:r>
        <w:rPr>
          <w:rFonts w:hint="eastAsia" w:eastAsia="仿宋_GB2312"/>
          <w:b/>
          <w:sz w:val="24"/>
          <w:szCs w:val="24"/>
        </w:rPr>
        <w:t>环保工程设施一览表</w:t>
      </w:r>
    </w:p>
    <w:tbl>
      <w:tblPr>
        <w:tblStyle w:val="31"/>
        <w:tblW w:w="82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54"/>
        <w:gridCol w:w="5062"/>
        <w:gridCol w:w="1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4" w:hRule="atLeast"/>
          <w:jc w:val="center"/>
        </w:trPr>
        <w:tc>
          <w:tcPr>
            <w:tcW w:w="6516" w:type="dxa"/>
            <w:gridSpan w:val="2"/>
            <w:noWrap/>
            <w:vAlign w:val="center"/>
          </w:tcPr>
          <w:p>
            <w:pPr>
              <w:autoSpaceDE w:val="0"/>
              <w:autoSpaceDN w:val="0"/>
              <w:jc w:val="center"/>
              <w:rPr>
                <w:rFonts w:hAnsi="仿宋_GB2312" w:eastAsia="仿宋_GB2312"/>
                <w:color w:val="000000"/>
                <w:kern w:val="2"/>
                <w:sz w:val="21"/>
                <w:szCs w:val="21"/>
              </w:rPr>
            </w:pPr>
            <w:r>
              <w:rPr>
                <w:rFonts w:hAnsi="仿宋_GB2312" w:eastAsia="仿宋_GB2312"/>
                <w:color w:val="000000"/>
                <w:kern w:val="2"/>
                <w:sz w:val="21"/>
                <w:szCs w:val="21"/>
              </w:rPr>
              <w:t>环保工程设施</w:t>
            </w:r>
          </w:p>
        </w:tc>
        <w:tc>
          <w:tcPr>
            <w:tcW w:w="1723" w:type="dxa"/>
            <w:noWrap/>
            <w:vAlign w:val="center"/>
          </w:tcPr>
          <w:p>
            <w:pPr>
              <w:autoSpaceDE w:val="0"/>
              <w:autoSpaceDN w:val="0"/>
              <w:jc w:val="center"/>
              <w:rPr>
                <w:rFonts w:hAnsi="仿宋_GB2312" w:eastAsia="仿宋_GB2312"/>
                <w:color w:val="000000"/>
                <w:kern w:val="2"/>
                <w:sz w:val="21"/>
                <w:szCs w:val="21"/>
              </w:rPr>
            </w:pPr>
            <w:r>
              <w:rPr>
                <w:rFonts w:hint="eastAsia" w:hAnsi="仿宋_GB2312" w:eastAsia="仿宋_GB2312"/>
                <w:color w:val="000000"/>
                <w:kern w:val="2"/>
                <w:sz w:val="21"/>
                <w:szCs w:val="21"/>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4" w:hRule="atLeast"/>
          <w:jc w:val="center"/>
        </w:trPr>
        <w:tc>
          <w:tcPr>
            <w:tcW w:w="1454" w:type="dxa"/>
            <w:noWrap/>
            <w:vAlign w:val="center"/>
          </w:tcPr>
          <w:p>
            <w:pPr>
              <w:autoSpaceDE w:val="0"/>
              <w:autoSpaceDN w:val="0"/>
              <w:jc w:val="center"/>
              <w:rPr>
                <w:rFonts w:hAnsi="仿宋_GB2312" w:eastAsia="仿宋_GB2312"/>
                <w:color w:val="000000"/>
                <w:kern w:val="2"/>
                <w:sz w:val="21"/>
                <w:szCs w:val="21"/>
              </w:rPr>
            </w:pPr>
            <w:r>
              <w:rPr>
                <w:rFonts w:hint="eastAsia" w:hAnsi="仿宋_GB2312" w:eastAsia="仿宋_GB2312"/>
                <w:color w:val="000000"/>
                <w:kern w:val="2"/>
                <w:sz w:val="21"/>
                <w:szCs w:val="21"/>
              </w:rPr>
              <w:t>废气</w:t>
            </w:r>
          </w:p>
        </w:tc>
        <w:tc>
          <w:tcPr>
            <w:tcW w:w="5062" w:type="dxa"/>
            <w:noWrap/>
            <w:vAlign w:val="center"/>
          </w:tcPr>
          <w:p>
            <w:pPr>
              <w:autoSpaceDE w:val="0"/>
              <w:autoSpaceDN w:val="0"/>
              <w:jc w:val="center"/>
              <w:rPr>
                <w:rFonts w:hAnsi="仿宋_GB2312" w:eastAsia="仿宋_GB2312"/>
                <w:color w:val="000000"/>
                <w:kern w:val="2"/>
                <w:sz w:val="21"/>
                <w:szCs w:val="21"/>
              </w:rPr>
            </w:pPr>
            <w:r>
              <w:rPr>
                <w:rFonts w:hint="eastAsia" w:hAnsi="仿宋_GB2312" w:eastAsia="仿宋_GB2312"/>
                <w:color w:val="000000"/>
                <w:kern w:val="2"/>
                <w:sz w:val="21"/>
                <w:szCs w:val="21"/>
              </w:rPr>
              <w:t>洒水降尘设施</w:t>
            </w:r>
          </w:p>
        </w:tc>
        <w:tc>
          <w:tcPr>
            <w:tcW w:w="1723" w:type="dxa"/>
            <w:noWrap/>
            <w:vAlign w:val="center"/>
          </w:tcPr>
          <w:p>
            <w:pPr>
              <w:autoSpaceDE w:val="0"/>
              <w:autoSpaceDN w:val="0"/>
              <w:jc w:val="center"/>
              <w:rPr>
                <w:rFonts w:hAnsi="仿宋_GB2312" w:eastAsia="仿宋_GB2312"/>
                <w:color w:val="000000"/>
                <w:kern w:val="2"/>
                <w:sz w:val="21"/>
                <w:szCs w:val="21"/>
              </w:rPr>
            </w:pPr>
            <w:r>
              <w:rPr>
                <w:rFonts w:hint="eastAsia" w:hAnsi="仿宋_GB2312" w:eastAsia="仿宋_GB2312"/>
                <w:color w:val="000000"/>
                <w:kern w:val="2"/>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4" w:hRule="atLeast"/>
          <w:jc w:val="center"/>
        </w:trPr>
        <w:tc>
          <w:tcPr>
            <w:tcW w:w="1454" w:type="dxa"/>
            <w:vMerge w:val="restart"/>
            <w:noWrap/>
            <w:vAlign w:val="center"/>
          </w:tcPr>
          <w:p>
            <w:pPr>
              <w:autoSpaceDE w:val="0"/>
              <w:autoSpaceDN w:val="0"/>
              <w:jc w:val="center"/>
              <w:rPr>
                <w:rFonts w:hAnsi="仿宋_GB2312" w:eastAsia="仿宋_GB2312"/>
                <w:color w:val="000000"/>
                <w:kern w:val="2"/>
                <w:sz w:val="21"/>
                <w:szCs w:val="21"/>
              </w:rPr>
            </w:pPr>
            <w:r>
              <w:rPr>
                <w:rFonts w:hint="eastAsia" w:hAnsi="仿宋_GB2312" w:eastAsia="仿宋_GB2312"/>
                <w:color w:val="000000"/>
                <w:kern w:val="2"/>
                <w:sz w:val="21"/>
                <w:szCs w:val="21"/>
              </w:rPr>
              <w:t>废水</w:t>
            </w:r>
          </w:p>
        </w:tc>
        <w:tc>
          <w:tcPr>
            <w:tcW w:w="5062" w:type="dxa"/>
            <w:noWrap/>
            <w:vAlign w:val="center"/>
          </w:tcPr>
          <w:p>
            <w:pPr>
              <w:autoSpaceDE w:val="0"/>
              <w:autoSpaceDN w:val="0"/>
              <w:jc w:val="center"/>
              <w:rPr>
                <w:rFonts w:hAnsi="仿宋_GB2312" w:eastAsia="仿宋_GB2312"/>
                <w:color w:val="000000"/>
                <w:kern w:val="2"/>
                <w:sz w:val="21"/>
                <w:szCs w:val="21"/>
              </w:rPr>
            </w:pPr>
            <w:r>
              <w:rPr>
                <w:rFonts w:hint="eastAsia" w:hAnsi="仿宋_GB2312" w:eastAsia="仿宋_GB2312"/>
                <w:color w:val="000000"/>
                <w:kern w:val="2"/>
                <w:sz w:val="21"/>
                <w:szCs w:val="21"/>
              </w:rPr>
              <w:t>三级油水分离池（1.5m</w:t>
            </w:r>
            <w:r>
              <w:rPr>
                <w:rFonts w:hint="eastAsia" w:hAnsi="仿宋_GB2312" w:eastAsia="仿宋_GB2312"/>
                <w:color w:val="000000"/>
                <w:kern w:val="2"/>
                <w:sz w:val="21"/>
                <w:szCs w:val="21"/>
                <w:vertAlign w:val="superscript"/>
              </w:rPr>
              <w:t>3</w:t>
            </w:r>
            <w:r>
              <w:rPr>
                <w:rFonts w:hint="eastAsia" w:hAnsi="仿宋_GB2312" w:eastAsia="仿宋_GB2312"/>
                <w:color w:val="000000"/>
                <w:kern w:val="2"/>
                <w:sz w:val="21"/>
                <w:szCs w:val="21"/>
              </w:rPr>
              <w:t>）2个</w:t>
            </w:r>
          </w:p>
        </w:tc>
        <w:tc>
          <w:tcPr>
            <w:tcW w:w="1723" w:type="dxa"/>
            <w:noWrap/>
            <w:vAlign w:val="center"/>
          </w:tcPr>
          <w:p>
            <w:pPr>
              <w:autoSpaceDE w:val="0"/>
              <w:autoSpaceDN w:val="0"/>
              <w:jc w:val="center"/>
              <w:rPr>
                <w:rFonts w:hAnsi="仿宋_GB2312" w:eastAsia="仿宋_GB2312"/>
                <w:color w:val="000000"/>
                <w:kern w:val="2"/>
                <w:sz w:val="21"/>
                <w:szCs w:val="21"/>
              </w:rPr>
            </w:pPr>
            <w:r>
              <w:rPr>
                <w:rFonts w:hint="eastAsia" w:hAnsi="仿宋_GB2312" w:eastAsia="仿宋_GB2312"/>
                <w:color w:val="000000"/>
                <w:kern w:val="2"/>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4" w:hRule="atLeast"/>
          <w:jc w:val="center"/>
        </w:trPr>
        <w:tc>
          <w:tcPr>
            <w:tcW w:w="1454" w:type="dxa"/>
            <w:vMerge w:val="continue"/>
            <w:noWrap/>
            <w:vAlign w:val="center"/>
          </w:tcPr>
          <w:p>
            <w:pPr>
              <w:autoSpaceDE w:val="0"/>
              <w:autoSpaceDN w:val="0"/>
              <w:jc w:val="center"/>
              <w:rPr>
                <w:rFonts w:hAnsi="仿宋_GB2312" w:eastAsia="仿宋_GB2312"/>
                <w:color w:val="000000"/>
                <w:kern w:val="2"/>
                <w:sz w:val="21"/>
                <w:szCs w:val="21"/>
              </w:rPr>
            </w:pPr>
          </w:p>
        </w:tc>
        <w:tc>
          <w:tcPr>
            <w:tcW w:w="5062" w:type="dxa"/>
            <w:noWrap/>
            <w:vAlign w:val="center"/>
          </w:tcPr>
          <w:p>
            <w:pPr>
              <w:autoSpaceDE w:val="0"/>
              <w:autoSpaceDN w:val="0"/>
              <w:jc w:val="center"/>
              <w:rPr>
                <w:rFonts w:hAnsi="仿宋_GB2312" w:eastAsia="仿宋_GB2312"/>
                <w:color w:val="000000"/>
                <w:kern w:val="2"/>
                <w:sz w:val="21"/>
                <w:szCs w:val="21"/>
              </w:rPr>
            </w:pPr>
            <w:r>
              <w:rPr>
                <w:rFonts w:hint="eastAsia" w:hAnsi="仿宋_GB2312" w:eastAsia="仿宋_GB2312"/>
                <w:color w:val="000000"/>
                <w:kern w:val="2"/>
                <w:sz w:val="21"/>
                <w:szCs w:val="21"/>
              </w:rPr>
              <w:t>化粪池（8m</w:t>
            </w:r>
            <w:r>
              <w:rPr>
                <w:rFonts w:hint="eastAsia" w:hAnsi="仿宋_GB2312" w:eastAsia="仿宋_GB2312"/>
                <w:color w:val="000000"/>
                <w:kern w:val="2"/>
                <w:sz w:val="21"/>
                <w:szCs w:val="21"/>
                <w:vertAlign w:val="superscript"/>
              </w:rPr>
              <w:t>3</w:t>
            </w:r>
            <w:r>
              <w:rPr>
                <w:rFonts w:hint="eastAsia" w:hAnsi="仿宋_GB2312" w:eastAsia="仿宋_GB2312"/>
                <w:color w:val="000000"/>
                <w:kern w:val="2"/>
                <w:sz w:val="21"/>
                <w:szCs w:val="21"/>
              </w:rPr>
              <w:t>）1个</w:t>
            </w:r>
          </w:p>
        </w:tc>
        <w:tc>
          <w:tcPr>
            <w:tcW w:w="1723" w:type="dxa"/>
            <w:noWrap/>
            <w:vAlign w:val="center"/>
          </w:tcPr>
          <w:p>
            <w:pPr>
              <w:autoSpaceDE w:val="0"/>
              <w:autoSpaceDN w:val="0"/>
              <w:jc w:val="center"/>
              <w:rPr>
                <w:rFonts w:hAnsi="仿宋_GB2312" w:eastAsia="仿宋_GB2312"/>
                <w:color w:val="000000"/>
                <w:kern w:val="2"/>
                <w:sz w:val="21"/>
                <w:szCs w:val="21"/>
              </w:rPr>
            </w:pPr>
            <w:r>
              <w:rPr>
                <w:rFonts w:hint="eastAsia" w:hAnsi="仿宋_GB2312" w:eastAsia="仿宋_GB2312"/>
                <w:color w:val="000000"/>
                <w:kern w:val="2"/>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4" w:hRule="atLeast"/>
          <w:jc w:val="center"/>
        </w:trPr>
        <w:tc>
          <w:tcPr>
            <w:tcW w:w="1454" w:type="dxa"/>
            <w:vMerge w:val="continue"/>
            <w:noWrap/>
            <w:vAlign w:val="center"/>
          </w:tcPr>
          <w:p>
            <w:pPr>
              <w:autoSpaceDE w:val="0"/>
              <w:autoSpaceDN w:val="0"/>
              <w:jc w:val="center"/>
              <w:rPr>
                <w:rFonts w:hAnsi="仿宋_GB2312" w:eastAsia="仿宋_GB2312"/>
                <w:color w:val="000000"/>
                <w:kern w:val="2"/>
                <w:sz w:val="21"/>
                <w:szCs w:val="21"/>
              </w:rPr>
            </w:pPr>
          </w:p>
        </w:tc>
        <w:tc>
          <w:tcPr>
            <w:tcW w:w="5062" w:type="dxa"/>
            <w:noWrap/>
            <w:vAlign w:val="center"/>
          </w:tcPr>
          <w:p>
            <w:pPr>
              <w:autoSpaceDE w:val="0"/>
              <w:autoSpaceDN w:val="0"/>
              <w:jc w:val="center"/>
              <w:rPr>
                <w:rFonts w:hAnsi="仿宋_GB2312" w:eastAsia="仿宋_GB2312"/>
                <w:color w:val="000000"/>
                <w:kern w:val="2"/>
                <w:sz w:val="21"/>
                <w:szCs w:val="21"/>
              </w:rPr>
            </w:pPr>
            <w:r>
              <w:rPr>
                <w:rFonts w:hint="eastAsia" w:hAnsi="仿宋_GB2312" w:eastAsia="仿宋_GB2312"/>
                <w:color w:val="000000"/>
                <w:kern w:val="2"/>
                <w:sz w:val="21"/>
                <w:szCs w:val="21"/>
              </w:rPr>
              <w:t>雨污分流设施</w:t>
            </w:r>
          </w:p>
        </w:tc>
        <w:tc>
          <w:tcPr>
            <w:tcW w:w="1723" w:type="dxa"/>
            <w:noWrap/>
            <w:vAlign w:val="center"/>
          </w:tcPr>
          <w:p>
            <w:pPr>
              <w:autoSpaceDE w:val="0"/>
              <w:autoSpaceDN w:val="0"/>
              <w:jc w:val="center"/>
              <w:rPr>
                <w:rFonts w:hAnsi="仿宋_GB2312" w:eastAsia="仿宋_GB2312"/>
                <w:color w:val="000000"/>
                <w:kern w:val="2"/>
                <w:sz w:val="21"/>
                <w:szCs w:val="21"/>
              </w:rPr>
            </w:pPr>
            <w:r>
              <w:rPr>
                <w:rFonts w:hint="eastAsia" w:hAnsi="仿宋_GB2312" w:eastAsia="仿宋_GB2312"/>
                <w:color w:val="000000"/>
                <w:kern w:val="2"/>
                <w:sz w:val="21"/>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4" w:hRule="atLeast"/>
          <w:jc w:val="center"/>
        </w:trPr>
        <w:tc>
          <w:tcPr>
            <w:tcW w:w="1454" w:type="dxa"/>
            <w:vMerge w:val="restart"/>
            <w:noWrap/>
            <w:vAlign w:val="center"/>
          </w:tcPr>
          <w:p>
            <w:pPr>
              <w:autoSpaceDE w:val="0"/>
              <w:autoSpaceDN w:val="0"/>
              <w:jc w:val="center"/>
              <w:rPr>
                <w:rFonts w:hAnsi="仿宋_GB2312" w:eastAsia="仿宋_GB2312"/>
                <w:kern w:val="2"/>
                <w:sz w:val="21"/>
                <w:szCs w:val="21"/>
              </w:rPr>
            </w:pPr>
            <w:r>
              <w:rPr>
                <w:rFonts w:hint="eastAsia" w:hAnsi="仿宋_GB2312" w:eastAsia="仿宋_GB2312"/>
                <w:kern w:val="2"/>
                <w:sz w:val="21"/>
                <w:szCs w:val="21"/>
              </w:rPr>
              <w:t>固废</w:t>
            </w:r>
          </w:p>
        </w:tc>
        <w:tc>
          <w:tcPr>
            <w:tcW w:w="5062" w:type="dxa"/>
            <w:noWrap/>
            <w:vAlign w:val="center"/>
          </w:tcPr>
          <w:p>
            <w:pPr>
              <w:autoSpaceDE w:val="0"/>
              <w:autoSpaceDN w:val="0"/>
              <w:jc w:val="center"/>
              <w:rPr>
                <w:rFonts w:hAnsi="仿宋_GB2312" w:eastAsia="仿宋_GB2312"/>
                <w:kern w:val="2"/>
                <w:sz w:val="21"/>
                <w:szCs w:val="21"/>
              </w:rPr>
            </w:pPr>
            <w:r>
              <w:rPr>
                <w:rFonts w:hint="eastAsia" w:hAnsi="仿宋_GB2312" w:eastAsia="仿宋_GB2312"/>
                <w:kern w:val="2"/>
                <w:sz w:val="21"/>
                <w:szCs w:val="21"/>
              </w:rPr>
              <w:t>垃圾桶</w:t>
            </w:r>
          </w:p>
        </w:tc>
        <w:tc>
          <w:tcPr>
            <w:tcW w:w="1723" w:type="dxa"/>
            <w:noWrap/>
            <w:vAlign w:val="center"/>
          </w:tcPr>
          <w:p>
            <w:pPr>
              <w:autoSpaceDE w:val="0"/>
              <w:autoSpaceDN w:val="0"/>
              <w:jc w:val="center"/>
              <w:rPr>
                <w:rFonts w:hAnsi="仿宋_GB2312" w:eastAsia="仿宋_GB2312"/>
                <w:kern w:val="2"/>
                <w:sz w:val="21"/>
                <w:szCs w:val="21"/>
              </w:rPr>
            </w:pPr>
            <w:r>
              <w:rPr>
                <w:rFonts w:hint="eastAsia" w:hAnsi="仿宋_GB2312" w:eastAsia="仿宋_GB2312"/>
                <w:kern w:val="2"/>
                <w:sz w:val="21"/>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4" w:hRule="atLeast"/>
          <w:jc w:val="center"/>
        </w:trPr>
        <w:tc>
          <w:tcPr>
            <w:tcW w:w="1454" w:type="dxa"/>
            <w:vMerge w:val="continue"/>
            <w:noWrap/>
            <w:vAlign w:val="center"/>
          </w:tcPr>
          <w:p>
            <w:pPr>
              <w:autoSpaceDE w:val="0"/>
              <w:autoSpaceDN w:val="0"/>
              <w:jc w:val="center"/>
              <w:rPr>
                <w:rFonts w:hAnsi="仿宋_GB2312" w:eastAsia="仿宋_GB2312"/>
                <w:kern w:val="2"/>
                <w:sz w:val="21"/>
                <w:szCs w:val="21"/>
              </w:rPr>
            </w:pPr>
          </w:p>
        </w:tc>
        <w:tc>
          <w:tcPr>
            <w:tcW w:w="5062" w:type="dxa"/>
            <w:noWrap/>
            <w:vAlign w:val="center"/>
          </w:tcPr>
          <w:p>
            <w:pPr>
              <w:autoSpaceDE w:val="0"/>
              <w:autoSpaceDN w:val="0"/>
              <w:jc w:val="center"/>
              <w:rPr>
                <w:rFonts w:hAnsi="仿宋_GB2312" w:eastAsia="仿宋_GB2312"/>
                <w:kern w:val="2"/>
                <w:sz w:val="21"/>
                <w:szCs w:val="21"/>
              </w:rPr>
            </w:pPr>
            <w:r>
              <w:rPr>
                <w:rFonts w:hint="eastAsia" w:hAnsi="仿宋_GB2312" w:eastAsia="仿宋_GB2312"/>
                <w:kern w:val="2"/>
                <w:sz w:val="21"/>
                <w:szCs w:val="21"/>
              </w:rPr>
              <w:t>危废暂存间</w:t>
            </w:r>
          </w:p>
        </w:tc>
        <w:tc>
          <w:tcPr>
            <w:tcW w:w="1723" w:type="dxa"/>
            <w:noWrap/>
            <w:vAlign w:val="center"/>
          </w:tcPr>
          <w:p>
            <w:pPr>
              <w:autoSpaceDE w:val="0"/>
              <w:autoSpaceDN w:val="0"/>
              <w:jc w:val="center"/>
              <w:rPr>
                <w:rFonts w:hAnsi="仿宋_GB2312" w:eastAsia="仿宋_GB2312"/>
                <w:kern w:val="2"/>
                <w:sz w:val="21"/>
                <w:szCs w:val="21"/>
              </w:rPr>
            </w:pPr>
            <w:r>
              <w:rPr>
                <w:rFonts w:hint="eastAsia" w:hAnsi="仿宋_GB2312" w:eastAsia="仿宋_GB2312"/>
                <w:kern w:val="2"/>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1454" w:type="dxa"/>
            <w:vMerge w:val="restart"/>
            <w:noWrap/>
            <w:vAlign w:val="center"/>
          </w:tcPr>
          <w:p>
            <w:pPr>
              <w:autoSpaceDE w:val="0"/>
              <w:autoSpaceDN w:val="0"/>
              <w:jc w:val="center"/>
              <w:rPr>
                <w:rFonts w:hAnsi="仿宋_GB2312" w:eastAsia="仿宋_GB2312"/>
                <w:kern w:val="2"/>
                <w:sz w:val="21"/>
                <w:szCs w:val="21"/>
              </w:rPr>
            </w:pPr>
            <w:r>
              <w:rPr>
                <w:rFonts w:hint="eastAsia" w:hAnsi="仿宋_GB2312" w:eastAsia="仿宋_GB2312"/>
                <w:kern w:val="2"/>
                <w:sz w:val="21"/>
                <w:szCs w:val="21"/>
              </w:rPr>
              <w:t>其他</w:t>
            </w:r>
          </w:p>
        </w:tc>
        <w:tc>
          <w:tcPr>
            <w:tcW w:w="5062" w:type="dxa"/>
            <w:noWrap/>
            <w:vAlign w:val="center"/>
          </w:tcPr>
          <w:p>
            <w:pPr>
              <w:autoSpaceDE w:val="0"/>
              <w:autoSpaceDN w:val="0"/>
              <w:jc w:val="center"/>
              <w:rPr>
                <w:rFonts w:hAnsi="仿宋_GB2312" w:eastAsia="仿宋_GB2312"/>
                <w:kern w:val="2"/>
                <w:sz w:val="21"/>
                <w:szCs w:val="21"/>
              </w:rPr>
            </w:pPr>
            <w:r>
              <w:rPr>
                <w:rFonts w:hint="eastAsia" w:hAnsi="仿宋_GB2312" w:eastAsia="仿宋_GB2312"/>
                <w:kern w:val="2"/>
                <w:sz w:val="21"/>
                <w:szCs w:val="21"/>
              </w:rPr>
              <w:t>厂区绿化</w:t>
            </w:r>
          </w:p>
        </w:tc>
        <w:tc>
          <w:tcPr>
            <w:tcW w:w="1723" w:type="dxa"/>
            <w:noWrap/>
            <w:vAlign w:val="center"/>
          </w:tcPr>
          <w:p>
            <w:pPr>
              <w:autoSpaceDE w:val="0"/>
              <w:autoSpaceDN w:val="0"/>
              <w:jc w:val="center"/>
              <w:rPr>
                <w:rFonts w:hAnsi="仿宋_GB2312" w:eastAsia="仿宋_GB2312"/>
                <w:kern w:val="2"/>
                <w:sz w:val="21"/>
                <w:szCs w:val="21"/>
              </w:rPr>
            </w:pPr>
            <w:r>
              <w:rPr>
                <w:rFonts w:hint="eastAsia" w:hAnsi="仿宋_GB2312" w:eastAsia="仿宋_GB2312"/>
                <w:kern w:val="2"/>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4" w:hRule="atLeast"/>
          <w:jc w:val="center"/>
        </w:trPr>
        <w:tc>
          <w:tcPr>
            <w:tcW w:w="1454" w:type="dxa"/>
            <w:vMerge w:val="continue"/>
            <w:noWrap/>
            <w:vAlign w:val="center"/>
          </w:tcPr>
          <w:p>
            <w:pPr>
              <w:autoSpaceDE w:val="0"/>
              <w:autoSpaceDN w:val="0"/>
              <w:jc w:val="center"/>
              <w:rPr>
                <w:rFonts w:hAnsi="仿宋_GB2312" w:eastAsia="仿宋_GB2312"/>
                <w:kern w:val="2"/>
                <w:sz w:val="21"/>
                <w:szCs w:val="21"/>
              </w:rPr>
            </w:pPr>
          </w:p>
        </w:tc>
        <w:tc>
          <w:tcPr>
            <w:tcW w:w="5062" w:type="dxa"/>
            <w:noWrap/>
            <w:vAlign w:val="center"/>
          </w:tcPr>
          <w:p>
            <w:pPr>
              <w:autoSpaceDE w:val="0"/>
              <w:autoSpaceDN w:val="0"/>
              <w:jc w:val="center"/>
              <w:rPr>
                <w:rFonts w:hAnsi="仿宋_GB2312" w:eastAsia="仿宋_GB2312"/>
                <w:kern w:val="2"/>
                <w:sz w:val="21"/>
                <w:szCs w:val="21"/>
              </w:rPr>
            </w:pPr>
            <w:r>
              <w:rPr>
                <w:rFonts w:hint="eastAsia" w:hAnsi="仿宋_GB2312" w:eastAsia="仿宋_GB2312"/>
                <w:kern w:val="2"/>
                <w:sz w:val="21"/>
                <w:szCs w:val="21"/>
              </w:rPr>
              <w:t>环境影响评价费</w:t>
            </w:r>
          </w:p>
        </w:tc>
        <w:tc>
          <w:tcPr>
            <w:tcW w:w="1723" w:type="dxa"/>
            <w:noWrap/>
            <w:vAlign w:val="center"/>
          </w:tcPr>
          <w:p>
            <w:pPr>
              <w:autoSpaceDE w:val="0"/>
              <w:autoSpaceDN w:val="0"/>
              <w:jc w:val="center"/>
              <w:rPr>
                <w:rFonts w:hAnsi="仿宋_GB2312" w:eastAsia="仿宋_GB2312"/>
                <w:kern w:val="2"/>
                <w:sz w:val="21"/>
                <w:szCs w:val="21"/>
              </w:rPr>
            </w:pPr>
            <w:r>
              <w:rPr>
                <w:rFonts w:hint="eastAsia" w:hAnsi="仿宋_GB2312" w:eastAsia="仿宋_GB2312"/>
                <w:kern w:val="2"/>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9" w:hRule="atLeast"/>
          <w:jc w:val="center"/>
        </w:trPr>
        <w:tc>
          <w:tcPr>
            <w:tcW w:w="1454" w:type="dxa"/>
            <w:vMerge w:val="continue"/>
            <w:noWrap/>
            <w:vAlign w:val="center"/>
          </w:tcPr>
          <w:p>
            <w:pPr>
              <w:autoSpaceDE w:val="0"/>
              <w:autoSpaceDN w:val="0"/>
              <w:jc w:val="center"/>
              <w:rPr>
                <w:rFonts w:hAnsi="仿宋_GB2312" w:eastAsia="仿宋_GB2312"/>
                <w:kern w:val="2"/>
                <w:sz w:val="21"/>
                <w:szCs w:val="21"/>
              </w:rPr>
            </w:pPr>
          </w:p>
        </w:tc>
        <w:tc>
          <w:tcPr>
            <w:tcW w:w="5062" w:type="dxa"/>
            <w:noWrap/>
            <w:vAlign w:val="center"/>
          </w:tcPr>
          <w:p>
            <w:pPr>
              <w:autoSpaceDE w:val="0"/>
              <w:autoSpaceDN w:val="0"/>
              <w:jc w:val="center"/>
              <w:rPr>
                <w:rFonts w:hAnsi="仿宋_GB2312" w:eastAsia="仿宋_GB2312"/>
                <w:kern w:val="2"/>
                <w:sz w:val="21"/>
                <w:szCs w:val="21"/>
              </w:rPr>
            </w:pPr>
            <w:r>
              <w:rPr>
                <w:rFonts w:hint="eastAsia" w:hAnsi="仿宋_GB2312" w:eastAsia="仿宋_GB2312"/>
                <w:kern w:val="2"/>
                <w:sz w:val="21"/>
                <w:szCs w:val="21"/>
              </w:rPr>
              <w:t>项目竣工环境保护验收监测费</w:t>
            </w:r>
          </w:p>
        </w:tc>
        <w:tc>
          <w:tcPr>
            <w:tcW w:w="1723" w:type="dxa"/>
            <w:noWrap/>
            <w:vAlign w:val="center"/>
          </w:tcPr>
          <w:p>
            <w:pPr>
              <w:autoSpaceDE w:val="0"/>
              <w:autoSpaceDN w:val="0"/>
              <w:jc w:val="center"/>
              <w:rPr>
                <w:rFonts w:hAnsi="仿宋_GB2312" w:eastAsia="仿宋_GB2312"/>
                <w:kern w:val="2"/>
                <w:sz w:val="21"/>
                <w:szCs w:val="21"/>
              </w:rPr>
            </w:pPr>
            <w:r>
              <w:rPr>
                <w:rFonts w:hint="eastAsia" w:hAnsi="仿宋_GB2312" w:eastAsia="仿宋_GB2312"/>
                <w:kern w:val="2"/>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6516" w:type="dxa"/>
            <w:gridSpan w:val="2"/>
            <w:noWrap/>
            <w:vAlign w:val="center"/>
          </w:tcPr>
          <w:p>
            <w:pPr>
              <w:autoSpaceDE w:val="0"/>
              <w:autoSpaceDN w:val="0"/>
              <w:jc w:val="center"/>
              <w:rPr>
                <w:rFonts w:hAnsi="仿宋_GB2312" w:eastAsia="仿宋_GB2312"/>
                <w:kern w:val="2"/>
                <w:sz w:val="21"/>
                <w:szCs w:val="21"/>
              </w:rPr>
            </w:pPr>
            <w:r>
              <w:rPr>
                <w:rFonts w:hint="eastAsia" w:hAnsi="仿宋_GB2312" w:eastAsia="仿宋_GB2312"/>
                <w:kern w:val="2"/>
                <w:sz w:val="21"/>
                <w:szCs w:val="21"/>
              </w:rPr>
              <w:t>合计</w:t>
            </w:r>
          </w:p>
        </w:tc>
        <w:tc>
          <w:tcPr>
            <w:tcW w:w="1723" w:type="dxa"/>
            <w:noWrap/>
            <w:vAlign w:val="center"/>
          </w:tcPr>
          <w:p>
            <w:pPr>
              <w:autoSpaceDE w:val="0"/>
              <w:autoSpaceDN w:val="0"/>
              <w:jc w:val="center"/>
              <w:rPr>
                <w:rFonts w:hAnsi="仿宋_GB2312" w:eastAsia="仿宋_GB2312"/>
                <w:kern w:val="2"/>
                <w:sz w:val="21"/>
                <w:szCs w:val="21"/>
              </w:rPr>
            </w:pPr>
            <w:r>
              <w:rPr>
                <w:rFonts w:hint="eastAsia" w:hAnsi="仿宋_GB2312" w:eastAsia="仿宋_GB2312"/>
                <w:kern w:val="2"/>
                <w:sz w:val="21"/>
                <w:szCs w:val="21"/>
              </w:rPr>
              <w:t>24.2</w:t>
            </w:r>
          </w:p>
        </w:tc>
      </w:tr>
    </w:tbl>
    <w:p>
      <w:pPr>
        <w:pStyle w:val="7"/>
        <w:adjustRightInd w:val="0"/>
        <w:snapToGrid w:val="0"/>
        <w:spacing w:beforeLines="100"/>
        <w:rPr>
          <w:rFonts w:eastAsia="仿宋_GB2312"/>
          <w:szCs w:val="28"/>
        </w:rPr>
      </w:pPr>
      <w:bookmarkStart w:id="156" w:name="_Toc74855971"/>
      <w:r>
        <w:rPr>
          <w:rFonts w:eastAsia="仿宋_GB2312"/>
          <w:szCs w:val="28"/>
        </w:rPr>
        <w:t>2.2.</w:t>
      </w:r>
      <w:bookmarkEnd w:id="152"/>
      <w:r>
        <w:rPr>
          <w:rFonts w:hint="eastAsia" w:eastAsia="仿宋_GB2312"/>
          <w:szCs w:val="28"/>
        </w:rPr>
        <w:t>5</w:t>
      </w:r>
      <w:r>
        <w:rPr>
          <w:rFonts w:eastAsia="仿宋_GB2312"/>
          <w:szCs w:val="28"/>
        </w:rPr>
        <w:t>生产工艺流程</w:t>
      </w:r>
      <w:bookmarkEnd w:id="153"/>
      <w:bookmarkEnd w:id="154"/>
      <w:bookmarkEnd w:id="155"/>
      <w:bookmarkEnd w:id="156"/>
    </w:p>
    <w:p>
      <w:pPr>
        <w:spacing w:after="0" w:line="360" w:lineRule="auto"/>
        <w:ind w:firstLine="480"/>
        <w:jc w:val="both"/>
        <w:rPr>
          <w:rFonts w:ascii="仿宋" w:hAnsi="仿宋" w:eastAsia="仿宋" w:cs="仿宋"/>
          <w:sz w:val="24"/>
          <w:szCs w:val="24"/>
        </w:rPr>
      </w:pPr>
      <w:bookmarkStart w:id="157" w:name="_Toc522025636"/>
      <w:bookmarkStart w:id="158" w:name="_Toc331526100"/>
      <w:bookmarkStart w:id="159" w:name="_Toc12443"/>
      <w:r>
        <w:rPr>
          <w:rFonts w:hint="eastAsia" w:ascii="仿宋" w:hAnsi="仿宋" w:eastAsia="仿宋" w:cs="仿宋"/>
          <w:sz w:val="24"/>
          <w:szCs w:val="24"/>
        </w:rPr>
        <w:t>本加油站柴油和汽油均由成品油罐车送到站内，通过卸油管道卸到地埋式储油罐中，由潜油泵将油品从储油罐中经输油管线送入加油机中，然后给汽车加油。加油站工艺流程如下：</w:t>
      </w:r>
    </w:p>
    <w:p>
      <w:pPr>
        <w:spacing w:after="0" w:line="360" w:lineRule="auto"/>
        <w:ind w:firstLine="480"/>
        <w:jc w:val="both"/>
        <w:rPr>
          <w:rFonts w:ascii="仿宋" w:hAnsi="仿宋" w:eastAsia="仿宋" w:cs="仿宋"/>
          <w:sz w:val="24"/>
          <w:szCs w:val="24"/>
        </w:rPr>
      </w:pPr>
      <w:bookmarkStart w:id="160" w:name="_Toc72068658"/>
      <w:r>
        <w:rPr>
          <w:rFonts w:hint="eastAsia" w:ascii="仿宋" w:hAnsi="仿宋" w:eastAsia="仿宋" w:cs="仿宋"/>
          <w:sz w:val="24"/>
          <w:szCs w:val="24"/>
        </w:rPr>
        <w:t>（一）卸油、加油部分</w:t>
      </w:r>
      <w:bookmarkEnd w:id="160"/>
    </w:p>
    <w:p>
      <w:pPr>
        <w:spacing w:after="0" w:line="360" w:lineRule="auto"/>
        <w:ind w:firstLine="480"/>
        <w:jc w:val="both"/>
        <w:rPr>
          <w:rFonts w:ascii="仿宋" w:hAnsi="仿宋" w:eastAsia="仿宋" w:cs="仿宋"/>
          <w:sz w:val="24"/>
          <w:szCs w:val="24"/>
        </w:rPr>
      </w:pPr>
      <w:r>
        <w:rPr>
          <w:rFonts w:hint="eastAsia" w:ascii="仿宋" w:hAnsi="仿宋" w:eastAsia="仿宋" w:cs="仿宋"/>
          <w:sz w:val="24"/>
          <w:szCs w:val="24"/>
        </w:rPr>
        <w:t>加油站卸油环节采用常规的自流式工艺流程：装满汽油和柴油的油罐车到达站内密闭卸油点，停稳熄火，将卸油软管与油罐车的卸油口、密闭卸油点的进油口连接好，接好静电接地装置，油品靠重力自流通过卸油软管和埋地敷设的卸油管，分别卸入埋地式储油罐中；加油环节采用潜油泵抽送式工艺流程：加油机本身自带的潜油泵将油品由储油罐吸至各加油机，经过加油机的油气分离器、计量器，再经加油枪注入机动车油箱，每个加油枪设单独管线吸油。项目卸油、加油部分工艺流程图如下：</w:t>
      </w:r>
    </w:p>
    <w:p>
      <w:pPr>
        <w:widowControl w:val="0"/>
        <w:spacing w:line="360" w:lineRule="auto"/>
        <w:rPr>
          <w:rFonts w:eastAsia="方正仿宋_GBK"/>
        </w:rPr>
      </w:pPr>
      <w:r>
        <w:rPr>
          <w:rFonts w:eastAsia="方正仿宋_GBK"/>
        </w:rPr>
        <w:drawing>
          <wp:inline distT="0" distB="0" distL="114300" distR="114300">
            <wp:extent cx="5400040" cy="2801620"/>
            <wp:effectExtent l="0" t="0" r="10160" b="1778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5"/>
                    <a:stretch>
                      <a:fillRect/>
                    </a:stretch>
                  </pic:blipFill>
                  <pic:spPr>
                    <a:xfrm>
                      <a:off x="0" y="0"/>
                      <a:ext cx="5400040" cy="2801620"/>
                    </a:xfrm>
                    <a:prstGeom prst="rect">
                      <a:avLst/>
                    </a:prstGeom>
                    <a:noFill/>
                    <a:ln>
                      <a:noFill/>
                    </a:ln>
                  </pic:spPr>
                </pic:pic>
              </a:graphicData>
            </a:graphic>
          </wp:inline>
        </w:drawing>
      </w:r>
    </w:p>
    <w:p>
      <w:pPr>
        <w:widowControl w:val="0"/>
        <w:jc w:val="center"/>
        <w:rPr>
          <w:rFonts w:eastAsia="仿宋_GB2312"/>
          <w:b/>
          <w:color w:val="000000"/>
          <w:sz w:val="24"/>
          <w:szCs w:val="24"/>
        </w:rPr>
      </w:pPr>
      <w:r>
        <w:rPr>
          <w:rFonts w:hint="eastAsia" w:eastAsia="仿宋_GB2312"/>
          <w:b/>
          <w:color w:val="000000"/>
          <w:sz w:val="24"/>
          <w:szCs w:val="24"/>
        </w:rPr>
        <w:t>图</w:t>
      </w:r>
      <w:r>
        <w:rPr>
          <w:rFonts w:eastAsia="仿宋_GB2312"/>
          <w:b/>
          <w:color w:val="000000"/>
          <w:sz w:val="24"/>
          <w:szCs w:val="24"/>
        </w:rPr>
        <w:t>2.2.</w:t>
      </w:r>
      <w:r>
        <w:rPr>
          <w:rFonts w:hint="eastAsia" w:eastAsia="仿宋_GB2312"/>
          <w:b/>
          <w:color w:val="000000"/>
          <w:sz w:val="24"/>
          <w:szCs w:val="24"/>
        </w:rPr>
        <w:t>5-1  卸油加油工艺流程图</w:t>
      </w:r>
    </w:p>
    <w:p>
      <w:pPr>
        <w:spacing w:after="0" w:line="360" w:lineRule="auto"/>
        <w:ind w:firstLine="480"/>
        <w:jc w:val="both"/>
        <w:rPr>
          <w:rFonts w:ascii="仿宋" w:hAnsi="仿宋" w:eastAsia="仿宋" w:cs="仿宋"/>
          <w:sz w:val="24"/>
          <w:szCs w:val="24"/>
        </w:rPr>
      </w:pPr>
      <w:bookmarkStart w:id="161" w:name="_Toc72068659"/>
      <w:r>
        <w:rPr>
          <w:rFonts w:hint="eastAsia" w:ascii="仿宋" w:hAnsi="仿宋" w:eastAsia="仿宋" w:cs="仿宋"/>
          <w:sz w:val="24"/>
          <w:szCs w:val="24"/>
        </w:rPr>
        <w:t>（二）油气回收</w:t>
      </w:r>
      <w:bookmarkEnd w:id="161"/>
    </w:p>
    <w:p>
      <w:pPr>
        <w:spacing w:after="0" w:line="360" w:lineRule="auto"/>
        <w:ind w:firstLine="480"/>
        <w:jc w:val="both"/>
        <w:rPr>
          <w:rFonts w:ascii="仿宋" w:hAnsi="仿宋" w:eastAsia="仿宋" w:cs="仿宋"/>
          <w:sz w:val="24"/>
          <w:szCs w:val="24"/>
        </w:rPr>
      </w:pPr>
      <w:r>
        <w:rPr>
          <w:rFonts w:hint="eastAsia" w:ascii="仿宋" w:hAnsi="仿宋" w:eastAsia="仿宋" w:cs="仿宋"/>
          <w:sz w:val="24"/>
          <w:szCs w:val="24"/>
        </w:rPr>
        <w:t>项目设置油气回收系统，由卸油油气回收系统、加油储油混合油气回收系统组成。该系统的作用是通过相关油气回收工艺，将加油站在卸油、储油和加油过程中产生的油气进行密闭收集、储存和回收处理，抑制油气无控逸散挥发，达到保护环境及顾客、员工身体健康的目的。</w:t>
      </w:r>
    </w:p>
    <w:p>
      <w:pPr>
        <w:spacing w:after="0" w:line="360" w:lineRule="auto"/>
        <w:ind w:firstLine="480"/>
        <w:jc w:val="both"/>
        <w:rPr>
          <w:rFonts w:ascii="仿宋" w:hAnsi="仿宋" w:eastAsia="仿宋" w:cs="仿宋"/>
          <w:sz w:val="24"/>
          <w:szCs w:val="24"/>
        </w:rPr>
      </w:pPr>
      <w:bookmarkStart w:id="162" w:name="_Toc72068660"/>
      <w:r>
        <w:rPr>
          <w:rFonts w:hint="eastAsia" w:ascii="仿宋" w:hAnsi="仿宋" w:eastAsia="仿宋" w:cs="仿宋"/>
          <w:sz w:val="24"/>
          <w:szCs w:val="24"/>
        </w:rPr>
        <w:t>①一级汽油气回收系统</w:t>
      </w:r>
      <w:bookmarkEnd w:id="162"/>
    </w:p>
    <w:p>
      <w:pPr>
        <w:spacing w:after="0" w:line="360" w:lineRule="auto"/>
        <w:ind w:firstLine="480"/>
        <w:jc w:val="both"/>
        <w:rPr>
          <w:rFonts w:ascii="仿宋" w:hAnsi="仿宋" w:eastAsia="仿宋" w:cs="仿宋"/>
          <w:sz w:val="24"/>
          <w:szCs w:val="24"/>
        </w:rPr>
      </w:pPr>
      <w:r>
        <w:rPr>
          <w:rFonts w:hint="eastAsia" w:ascii="仿宋" w:hAnsi="仿宋" w:eastAsia="仿宋" w:cs="仿宋"/>
          <w:sz w:val="24"/>
          <w:szCs w:val="24"/>
        </w:rPr>
        <w:t>卸油油气回收阶段是通过压力平衡原理，将在卸油过程中挥发的油气收集到油罐车内，运回储油库进行油气回收处理的过程。该阶段油气回收实现过程：在油罐车卸油过程中，储油车内压力减小，地下储罐内压力增加，地下储罐与油罐车内的压力差，使卸油过程中挥发的油气通过管线回到油罐车内，达到油气收集的目的。待卸油结束，地下储罐与油罐车内压力达到平衡状态，卸油油气回收阶段结束。</w:t>
      </w:r>
    </w:p>
    <w:p>
      <w:pPr>
        <w:widowControl w:val="0"/>
        <w:spacing w:line="360" w:lineRule="auto"/>
        <w:jc w:val="center"/>
        <w:rPr>
          <w:rFonts w:eastAsia="仿宋_GB2312"/>
          <w:color w:val="000000"/>
          <w:sz w:val="24"/>
          <w:szCs w:val="24"/>
        </w:rPr>
      </w:pPr>
      <w:r>
        <w:rPr>
          <w:rFonts w:eastAsia="方正仿宋_GBK"/>
        </w:rPr>
        <w:drawing>
          <wp:inline distT="0" distB="0" distL="114300" distR="114300">
            <wp:extent cx="4345305" cy="1534160"/>
            <wp:effectExtent l="0" t="0" r="17145" b="8890"/>
            <wp:docPr id="2"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1"/>
                    <pic:cNvPicPr>
                      <a:picLocks noChangeAspect="1"/>
                    </pic:cNvPicPr>
                  </pic:nvPicPr>
                  <pic:blipFill>
                    <a:blip r:embed="rId16"/>
                    <a:stretch>
                      <a:fillRect/>
                    </a:stretch>
                  </pic:blipFill>
                  <pic:spPr>
                    <a:xfrm>
                      <a:off x="0" y="0"/>
                      <a:ext cx="4345305" cy="1534160"/>
                    </a:xfrm>
                    <a:prstGeom prst="rect">
                      <a:avLst/>
                    </a:prstGeom>
                    <a:noFill/>
                    <a:ln>
                      <a:noFill/>
                    </a:ln>
                  </pic:spPr>
                </pic:pic>
              </a:graphicData>
            </a:graphic>
          </wp:inline>
        </w:drawing>
      </w:r>
    </w:p>
    <w:p>
      <w:pPr>
        <w:widowControl w:val="0"/>
        <w:spacing w:line="360" w:lineRule="auto"/>
        <w:jc w:val="center"/>
        <w:rPr>
          <w:rFonts w:eastAsia="仿宋_GB2312"/>
          <w:color w:val="000000"/>
          <w:sz w:val="24"/>
          <w:szCs w:val="24"/>
        </w:rPr>
      </w:pPr>
      <w:r>
        <w:rPr>
          <w:rFonts w:hint="eastAsia" w:eastAsia="仿宋_GB2312"/>
          <w:b/>
          <w:color w:val="000000"/>
          <w:sz w:val="24"/>
          <w:szCs w:val="24"/>
        </w:rPr>
        <w:t>图</w:t>
      </w:r>
      <w:r>
        <w:rPr>
          <w:rFonts w:eastAsia="仿宋_GB2312"/>
          <w:b/>
          <w:color w:val="000000"/>
          <w:sz w:val="24"/>
          <w:szCs w:val="24"/>
        </w:rPr>
        <w:t>2.2.</w:t>
      </w:r>
      <w:r>
        <w:rPr>
          <w:rFonts w:hint="eastAsia" w:eastAsia="仿宋_GB2312"/>
          <w:b/>
          <w:color w:val="000000"/>
          <w:sz w:val="24"/>
          <w:szCs w:val="24"/>
        </w:rPr>
        <w:t>5-2  一级油气回收系统工艺流程图</w:t>
      </w:r>
    </w:p>
    <w:p>
      <w:pPr>
        <w:spacing w:after="0" w:line="360" w:lineRule="auto"/>
        <w:ind w:firstLine="480"/>
        <w:jc w:val="both"/>
        <w:rPr>
          <w:rFonts w:ascii="仿宋" w:hAnsi="仿宋" w:eastAsia="仿宋" w:cs="仿宋"/>
          <w:sz w:val="24"/>
          <w:szCs w:val="24"/>
        </w:rPr>
      </w:pPr>
      <w:bookmarkStart w:id="163" w:name="_Toc72068661"/>
      <w:r>
        <w:rPr>
          <w:rFonts w:hint="eastAsia" w:ascii="仿宋" w:hAnsi="仿宋" w:eastAsia="仿宋" w:cs="仿宋"/>
          <w:sz w:val="24"/>
          <w:szCs w:val="24"/>
        </w:rPr>
        <w:t>②二级油气回收系统</w:t>
      </w:r>
      <w:bookmarkEnd w:id="163"/>
    </w:p>
    <w:p>
      <w:pPr>
        <w:spacing w:after="0" w:line="360" w:lineRule="auto"/>
        <w:ind w:firstLine="480"/>
        <w:jc w:val="both"/>
        <w:rPr>
          <w:rFonts w:ascii="仿宋" w:hAnsi="仿宋" w:eastAsia="仿宋" w:cs="仿宋"/>
          <w:sz w:val="24"/>
          <w:szCs w:val="24"/>
        </w:rPr>
      </w:pPr>
      <w:r>
        <w:rPr>
          <w:rFonts w:hint="eastAsia" w:ascii="仿宋" w:hAnsi="仿宋" w:eastAsia="仿宋" w:cs="仿宋"/>
          <w:sz w:val="24"/>
          <w:szCs w:val="24"/>
        </w:rPr>
        <w:t>加油储油混合油气回收阶段是采用真空辅助式油气回收设备，将在加油过程和储油过程中挥发的油气通过地下油气回收管线收集到地下储罐内的油气回收过程。该阶段油气回收实现过程：加油站加油过程中，通过真空泵产生一定真空度，经加油枪、油气回收管、真空泵等油气回收设备。同时也可将储罐储油产生的油气通过油气回收管进行回收，将加油过程和储油过程挥发的油气回收到油罐内。加油过程是经常但不连续的发生，储油产生油气一般是在温度较高时会产生，即一般是在白天发生，加油会使储罐内气压降低，可用储油产生的油气平衡气压，同时也减少了储油产生的油气外排。因此，也起到了回收储油油气的作用。</w:t>
      </w:r>
    </w:p>
    <w:p>
      <w:pPr>
        <w:widowControl w:val="0"/>
        <w:spacing w:line="360" w:lineRule="auto"/>
        <w:jc w:val="center"/>
        <w:rPr>
          <w:rFonts w:eastAsia="仿宋_GB2312"/>
          <w:color w:val="000000"/>
          <w:sz w:val="24"/>
          <w:szCs w:val="24"/>
        </w:rPr>
      </w:pPr>
      <w:r>
        <w:rPr>
          <w:rFonts w:eastAsia="方正仿宋_GBK"/>
        </w:rPr>
        <w:drawing>
          <wp:inline distT="0" distB="0" distL="114300" distR="114300">
            <wp:extent cx="5143500" cy="2150745"/>
            <wp:effectExtent l="0" t="0" r="0" b="1905"/>
            <wp:docPr id="3" name="图片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2"/>
                    <pic:cNvPicPr>
                      <a:picLocks noChangeAspect="1"/>
                    </pic:cNvPicPr>
                  </pic:nvPicPr>
                  <pic:blipFill>
                    <a:blip r:embed="rId17"/>
                    <a:stretch>
                      <a:fillRect/>
                    </a:stretch>
                  </pic:blipFill>
                  <pic:spPr>
                    <a:xfrm>
                      <a:off x="0" y="0"/>
                      <a:ext cx="5143500" cy="2150745"/>
                    </a:xfrm>
                    <a:prstGeom prst="rect">
                      <a:avLst/>
                    </a:prstGeom>
                    <a:noFill/>
                    <a:ln>
                      <a:noFill/>
                    </a:ln>
                  </pic:spPr>
                </pic:pic>
              </a:graphicData>
            </a:graphic>
          </wp:inline>
        </w:drawing>
      </w:r>
    </w:p>
    <w:p>
      <w:pPr>
        <w:widowControl w:val="0"/>
        <w:spacing w:line="360" w:lineRule="auto"/>
        <w:jc w:val="center"/>
        <w:rPr>
          <w:rFonts w:eastAsia="仿宋_GB2312"/>
          <w:b/>
          <w:color w:val="000000"/>
          <w:sz w:val="24"/>
          <w:szCs w:val="24"/>
        </w:rPr>
      </w:pPr>
      <w:r>
        <w:rPr>
          <w:rFonts w:hint="eastAsia" w:eastAsia="仿宋_GB2312"/>
          <w:b/>
          <w:color w:val="000000"/>
          <w:sz w:val="24"/>
          <w:szCs w:val="24"/>
        </w:rPr>
        <w:t>图</w:t>
      </w:r>
      <w:r>
        <w:rPr>
          <w:rFonts w:eastAsia="仿宋_GB2312"/>
          <w:b/>
          <w:color w:val="000000"/>
          <w:sz w:val="24"/>
          <w:szCs w:val="24"/>
        </w:rPr>
        <w:t>2.2.</w:t>
      </w:r>
      <w:r>
        <w:rPr>
          <w:rFonts w:hint="eastAsia" w:eastAsia="仿宋_GB2312"/>
          <w:b/>
          <w:color w:val="000000"/>
          <w:sz w:val="24"/>
          <w:szCs w:val="24"/>
        </w:rPr>
        <w:t>5-3  二级油气回收系统工艺流程图</w:t>
      </w:r>
    </w:p>
    <w:p>
      <w:pPr>
        <w:pStyle w:val="6"/>
        <w:adjustRightInd w:val="0"/>
        <w:snapToGrid w:val="0"/>
        <w:spacing w:beforeLines="50"/>
        <w:rPr>
          <w:rFonts w:eastAsia="仿宋_GB2312"/>
          <w:sz w:val="28"/>
          <w:szCs w:val="28"/>
        </w:rPr>
      </w:pPr>
      <w:bookmarkStart w:id="164" w:name="_Toc18899"/>
      <w:bookmarkStart w:id="165" w:name="_Toc30212"/>
      <w:bookmarkStart w:id="166" w:name="_Toc74855972"/>
      <w:r>
        <w:rPr>
          <w:rFonts w:eastAsia="仿宋_GB2312"/>
          <w:sz w:val="28"/>
          <w:szCs w:val="28"/>
        </w:rPr>
        <w:t>2.3污染物产生及排放情况</w:t>
      </w:r>
      <w:bookmarkEnd w:id="157"/>
      <w:bookmarkEnd w:id="158"/>
      <w:bookmarkEnd w:id="159"/>
      <w:bookmarkEnd w:id="164"/>
      <w:bookmarkEnd w:id="165"/>
      <w:bookmarkEnd w:id="166"/>
    </w:p>
    <w:p>
      <w:pPr>
        <w:widowControl w:val="0"/>
        <w:spacing w:line="360" w:lineRule="auto"/>
        <w:ind w:firstLine="480"/>
        <w:rPr>
          <w:rFonts w:eastAsia="仿宋_GB2312"/>
          <w:color w:val="000000"/>
          <w:sz w:val="24"/>
          <w:szCs w:val="24"/>
        </w:rPr>
      </w:pPr>
      <w:r>
        <w:rPr>
          <w:rFonts w:eastAsia="仿宋_GB2312"/>
          <w:color w:val="000000"/>
          <w:sz w:val="24"/>
          <w:szCs w:val="24"/>
        </w:rPr>
        <w:t>项目营运过程中主要有废气、废水、固体废弃物、噪声产生。</w:t>
      </w:r>
    </w:p>
    <w:p>
      <w:pPr>
        <w:pStyle w:val="7"/>
        <w:adjustRightInd w:val="0"/>
        <w:snapToGrid w:val="0"/>
        <w:rPr>
          <w:rFonts w:eastAsia="仿宋_GB2312"/>
          <w:szCs w:val="28"/>
        </w:rPr>
      </w:pPr>
      <w:bookmarkStart w:id="167" w:name="_Toc74855973"/>
      <w:r>
        <w:rPr>
          <w:rFonts w:eastAsia="仿宋_GB2312"/>
          <w:szCs w:val="28"/>
        </w:rPr>
        <w:t>2.</w:t>
      </w:r>
      <w:r>
        <w:rPr>
          <w:rFonts w:hint="eastAsia" w:eastAsia="仿宋_GB2312"/>
          <w:szCs w:val="28"/>
        </w:rPr>
        <w:t>3</w:t>
      </w:r>
      <w:r>
        <w:rPr>
          <w:rFonts w:eastAsia="仿宋_GB2312"/>
          <w:szCs w:val="28"/>
        </w:rPr>
        <w:t>.1废水污染物排放情况</w:t>
      </w:r>
      <w:bookmarkEnd w:id="167"/>
    </w:p>
    <w:p>
      <w:pPr>
        <w:spacing w:after="0" w:line="360" w:lineRule="auto"/>
        <w:ind w:firstLine="480"/>
        <w:jc w:val="both"/>
        <w:rPr>
          <w:rFonts w:ascii="仿宋" w:hAnsi="仿宋" w:eastAsia="仿宋" w:cs="仿宋"/>
          <w:sz w:val="24"/>
          <w:szCs w:val="24"/>
        </w:rPr>
      </w:pPr>
      <w:r>
        <w:rPr>
          <w:rFonts w:hint="eastAsia" w:ascii="仿宋" w:hAnsi="仿宋" w:eastAsia="仿宋" w:cs="仿宋"/>
          <w:sz w:val="24"/>
          <w:szCs w:val="24"/>
        </w:rPr>
        <w:t>项目营运期实行雨污分流，雨水经屋檐、罩棚雨水管和地面雨水沟汇入市政雨水管网。运营期产生的废水主要包括地面清洗废水和员工及进站顾客日常废水。</w:t>
      </w:r>
    </w:p>
    <w:p>
      <w:pPr>
        <w:spacing w:after="0" w:line="360" w:lineRule="auto"/>
        <w:ind w:firstLine="480"/>
        <w:jc w:val="both"/>
        <w:rPr>
          <w:rFonts w:ascii="仿宋" w:hAnsi="仿宋" w:eastAsia="仿宋" w:cs="仿宋"/>
          <w:sz w:val="24"/>
          <w:szCs w:val="24"/>
        </w:rPr>
      </w:pPr>
      <w:r>
        <w:rPr>
          <w:rFonts w:hint="eastAsia" w:ascii="仿宋" w:hAnsi="仿宋" w:eastAsia="仿宋" w:cs="仿宋"/>
          <w:sz w:val="24"/>
          <w:szCs w:val="24"/>
        </w:rPr>
        <w:t>⑴地面清洗废水：加油区有散落的油品时需用消防沙处理后再用水清洗，清洗废水中主要污染为SS和少量石油成分，结合地面清洗废水产生量设置了一个油水分离池，可保证停留时间满足6小时，并采取防渗措施保证地面清洁废水的处理效果及处理量，废水经油水分离池收集处理后排入市政雨水管网。</w:t>
      </w:r>
    </w:p>
    <w:p>
      <w:pPr>
        <w:spacing w:after="0" w:line="360" w:lineRule="auto"/>
        <w:ind w:firstLine="480"/>
        <w:jc w:val="both"/>
        <w:rPr>
          <w:rFonts w:ascii="仿宋" w:hAnsi="仿宋" w:eastAsia="仿宋" w:cs="仿宋"/>
          <w:sz w:val="24"/>
          <w:szCs w:val="24"/>
        </w:rPr>
      </w:pPr>
      <w:r>
        <w:rPr>
          <w:rFonts w:hint="eastAsia" w:ascii="仿宋" w:hAnsi="仿宋" w:eastAsia="仿宋" w:cs="仿宋"/>
          <w:sz w:val="24"/>
          <w:szCs w:val="24"/>
        </w:rPr>
        <w:t>⑵生活污水：加油站生活污水主要产生于工作人员日常生活、加油车辆司机及随从人员加油活动中产生的生活污水，将其集中收集经化粪池处理后排至城市污水管网，未出现废水外流现象。</w:t>
      </w:r>
    </w:p>
    <w:p>
      <w:pPr>
        <w:pStyle w:val="7"/>
        <w:adjustRightInd w:val="0"/>
        <w:snapToGrid w:val="0"/>
        <w:rPr>
          <w:rFonts w:eastAsia="仿宋_GB2312"/>
          <w:szCs w:val="28"/>
        </w:rPr>
      </w:pPr>
      <w:bookmarkStart w:id="168" w:name="_Toc74855974"/>
      <w:r>
        <w:rPr>
          <w:rFonts w:eastAsia="仿宋_GB2312"/>
          <w:szCs w:val="28"/>
        </w:rPr>
        <w:t>2.</w:t>
      </w:r>
      <w:r>
        <w:rPr>
          <w:rFonts w:hint="eastAsia" w:eastAsia="仿宋_GB2312"/>
          <w:szCs w:val="28"/>
        </w:rPr>
        <w:t>3</w:t>
      </w:r>
      <w:r>
        <w:rPr>
          <w:rFonts w:eastAsia="仿宋_GB2312"/>
          <w:szCs w:val="28"/>
        </w:rPr>
        <w:t>.</w:t>
      </w:r>
      <w:r>
        <w:rPr>
          <w:rFonts w:hint="eastAsia" w:eastAsia="仿宋_GB2312"/>
          <w:szCs w:val="28"/>
        </w:rPr>
        <w:t>2</w:t>
      </w:r>
      <w:r>
        <w:rPr>
          <w:rFonts w:eastAsia="仿宋_GB2312"/>
          <w:szCs w:val="28"/>
        </w:rPr>
        <w:t>废气污染物排放情况</w:t>
      </w:r>
      <w:bookmarkEnd w:id="168"/>
    </w:p>
    <w:p>
      <w:pPr>
        <w:spacing w:after="0" w:line="360" w:lineRule="auto"/>
        <w:ind w:firstLine="480"/>
        <w:jc w:val="both"/>
        <w:rPr>
          <w:rFonts w:ascii="仿宋" w:hAnsi="仿宋" w:eastAsia="仿宋" w:cs="仿宋"/>
          <w:sz w:val="24"/>
          <w:szCs w:val="24"/>
        </w:rPr>
      </w:pPr>
      <w:r>
        <w:rPr>
          <w:rFonts w:hint="eastAsia" w:ascii="仿宋" w:hAnsi="仿宋" w:eastAsia="仿宋" w:cs="仿宋"/>
          <w:sz w:val="24"/>
          <w:szCs w:val="24"/>
        </w:rPr>
        <w:t>项目营运期废气排放主要为无组织废气。包括非甲烷总烃废气、备用发电机燃油废气、汽车尾气、扬尘、异味。</w:t>
      </w:r>
    </w:p>
    <w:p>
      <w:pPr>
        <w:spacing w:after="0" w:line="360" w:lineRule="auto"/>
        <w:ind w:firstLine="480"/>
        <w:jc w:val="both"/>
        <w:rPr>
          <w:rFonts w:ascii="仿宋" w:hAnsi="仿宋" w:eastAsia="仿宋" w:cs="仿宋"/>
          <w:sz w:val="24"/>
          <w:szCs w:val="24"/>
        </w:rPr>
      </w:pPr>
      <w:r>
        <w:rPr>
          <w:rFonts w:hint="eastAsia" w:ascii="仿宋" w:hAnsi="仿宋" w:eastAsia="仿宋" w:cs="仿宋"/>
          <w:sz w:val="24"/>
          <w:szCs w:val="24"/>
        </w:rPr>
        <w:t>⑴非甲烷总烃废气：项目区非甲烷总烃废气主要为卸油过程、存储过程、加油过程以及成品油滴漏过程中产生的。具体情况如下所述：</w:t>
      </w:r>
    </w:p>
    <w:p>
      <w:pPr>
        <w:spacing w:after="0" w:line="360" w:lineRule="auto"/>
        <w:ind w:firstLine="480"/>
        <w:jc w:val="both"/>
        <w:rPr>
          <w:rFonts w:ascii="仿宋" w:hAnsi="仿宋" w:eastAsia="仿宋" w:cs="仿宋"/>
          <w:sz w:val="24"/>
          <w:szCs w:val="24"/>
        </w:rPr>
      </w:pPr>
      <w:r>
        <w:rPr>
          <w:rFonts w:hint="eastAsia" w:ascii="仿宋" w:hAnsi="仿宋" w:eastAsia="仿宋" w:cs="仿宋"/>
          <w:sz w:val="24"/>
          <w:szCs w:val="24"/>
        </w:rPr>
        <w:t>①卸油过程：油罐车与地埋式储罐通过卸油软管密封连接，减少了非甲烷总烃气体对周围环境的影响。在卸油环节中，加油站设有油气回收装置，进行油气一次回收，有效减少非甲烷总烃的排放。</w:t>
      </w:r>
    </w:p>
    <w:p>
      <w:pPr>
        <w:spacing w:after="0" w:line="360" w:lineRule="auto"/>
        <w:ind w:firstLine="480"/>
        <w:jc w:val="both"/>
        <w:rPr>
          <w:rFonts w:ascii="仿宋" w:hAnsi="仿宋" w:eastAsia="仿宋" w:cs="仿宋"/>
          <w:sz w:val="24"/>
          <w:szCs w:val="24"/>
        </w:rPr>
      </w:pPr>
      <w:r>
        <w:rPr>
          <w:rFonts w:hint="eastAsia" w:ascii="仿宋" w:hAnsi="仿宋" w:eastAsia="仿宋" w:cs="仿宋"/>
          <w:sz w:val="24"/>
          <w:szCs w:val="24"/>
        </w:rPr>
        <w:t>②存储过程：由于昼夜温差变化，引起地下油罐压力变化，形成油罐“小呼吸”现象，导致少量油蒸汽外排。加油过程中，由于储油罐油量的减少所引起的“大呼吸”作用，会有部分油蒸汽产生。油气通过呼吸阀呼出，减少了非甲烷总烃对周围环境的影响。</w:t>
      </w:r>
    </w:p>
    <w:p>
      <w:pPr>
        <w:spacing w:after="0" w:line="360" w:lineRule="auto"/>
        <w:ind w:firstLine="480"/>
        <w:jc w:val="both"/>
        <w:rPr>
          <w:rFonts w:ascii="仿宋" w:hAnsi="仿宋" w:eastAsia="仿宋" w:cs="仿宋"/>
          <w:sz w:val="24"/>
          <w:szCs w:val="24"/>
        </w:rPr>
      </w:pPr>
      <w:r>
        <w:rPr>
          <w:rFonts w:hint="eastAsia" w:ascii="仿宋" w:hAnsi="仿宋" w:eastAsia="仿宋" w:cs="仿宋"/>
          <w:sz w:val="24"/>
          <w:szCs w:val="24"/>
        </w:rPr>
        <w:t>③成品油滴漏过程：项目加强对加油站的日常管理、维护，减少成品油滴漏现象的发生，非正常经营下汽油、柴油滴漏出来，采用消防沙对滴漏汽油、柴油进行清理，减少了非甲烷总烃对周围环境的影响。</w:t>
      </w:r>
    </w:p>
    <w:p>
      <w:pPr>
        <w:spacing w:after="0" w:line="360" w:lineRule="auto"/>
        <w:ind w:firstLine="480"/>
        <w:jc w:val="both"/>
        <w:rPr>
          <w:rFonts w:ascii="仿宋" w:hAnsi="仿宋" w:eastAsia="仿宋" w:cs="仿宋"/>
          <w:sz w:val="24"/>
          <w:szCs w:val="24"/>
        </w:rPr>
      </w:pPr>
      <w:r>
        <w:rPr>
          <w:rFonts w:hint="eastAsia" w:ascii="仿宋" w:hAnsi="仿宋" w:eastAsia="仿宋" w:cs="仿宋"/>
          <w:sz w:val="24"/>
          <w:szCs w:val="24"/>
        </w:rPr>
        <w:t>⑵备用发电机燃油废气：项目区配有备用发电机，由于柴油发电机为断电后的备用电源，本区域不会出现大规模、长期的断电现象，备用发电机使用频率低，项目地势开阔，备用发电机燃油废气产生量少，对周围环境影响较小。</w:t>
      </w:r>
    </w:p>
    <w:p>
      <w:pPr>
        <w:spacing w:after="0" w:line="360" w:lineRule="auto"/>
        <w:ind w:firstLine="480"/>
        <w:jc w:val="both"/>
        <w:rPr>
          <w:rFonts w:ascii="仿宋" w:hAnsi="仿宋" w:eastAsia="仿宋" w:cs="仿宋"/>
          <w:sz w:val="24"/>
          <w:szCs w:val="24"/>
        </w:rPr>
      </w:pPr>
      <w:r>
        <w:rPr>
          <w:rFonts w:hint="eastAsia" w:ascii="仿宋" w:hAnsi="仿宋" w:eastAsia="仿宋" w:cs="仿宋"/>
          <w:sz w:val="24"/>
          <w:szCs w:val="24"/>
        </w:rPr>
        <w:t>⑶汽车尾气：本项目运油罐车和加油车辆会产生一定浓度的汽车尾气，汽车尾气中主要污染物为非甲烷总烃、NOX和CO，浓度视汽车发动机的燃烧情况而异，为间断性排放。汽车在加油过程中由于行驶距离短、速度慢，汽车尾气通过自然扩散后对周围环境影响较小。</w:t>
      </w:r>
    </w:p>
    <w:p>
      <w:pPr>
        <w:spacing w:after="0" w:line="360" w:lineRule="auto"/>
        <w:ind w:firstLine="480"/>
        <w:jc w:val="both"/>
        <w:rPr>
          <w:rFonts w:ascii="仿宋" w:hAnsi="仿宋" w:eastAsia="仿宋" w:cs="仿宋"/>
          <w:sz w:val="24"/>
          <w:szCs w:val="24"/>
        </w:rPr>
      </w:pPr>
      <w:r>
        <w:rPr>
          <w:rFonts w:hint="eastAsia" w:ascii="仿宋" w:hAnsi="仿宋" w:eastAsia="仿宋" w:cs="仿宋"/>
          <w:sz w:val="24"/>
          <w:szCs w:val="24"/>
        </w:rPr>
        <w:t>⑷扬尘：项目区采用洒水降尘措施，较少了扬尘对周围环境的影响。</w:t>
      </w:r>
    </w:p>
    <w:p>
      <w:pPr>
        <w:spacing w:after="0" w:line="360" w:lineRule="auto"/>
        <w:ind w:firstLine="480"/>
        <w:jc w:val="both"/>
        <w:rPr>
          <w:rFonts w:ascii="仿宋" w:hAnsi="仿宋" w:eastAsia="仿宋" w:cs="仿宋"/>
          <w:sz w:val="24"/>
          <w:szCs w:val="24"/>
        </w:rPr>
      </w:pPr>
      <w:r>
        <w:rPr>
          <w:rFonts w:hint="eastAsia" w:ascii="仿宋" w:hAnsi="仿宋" w:eastAsia="仿宋" w:cs="仿宋"/>
          <w:sz w:val="24"/>
          <w:szCs w:val="24"/>
        </w:rPr>
        <w:t>⑸异味：包括化粪池异味、生活垃圾异味。化粪池定期清掏，生活垃圾定期清运，减少了异味对环境的影响。</w:t>
      </w:r>
    </w:p>
    <w:p>
      <w:pPr>
        <w:pStyle w:val="7"/>
        <w:adjustRightInd w:val="0"/>
        <w:snapToGrid w:val="0"/>
        <w:rPr>
          <w:rFonts w:eastAsia="仿宋_GB2312"/>
          <w:szCs w:val="28"/>
        </w:rPr>
      </w:pPr>
      <w:bookmarkStart w:id="169" w:name="_Toc74855975"/>
      <w:r>
        <w:rPr>
          <w:rFonts w:eastAsia="仿宋_GB2312"/>
          <w:szCs w:val="28"/>
        </w:rPr>
        <w:t>2.</w:t>
      </w:r>
      <w:r>
        <w:rPr>
          <w:rFonts w:hint="eastAsia" w:eastAsia="仿宋_GB2312"/>
          <w:szCs w:val="28"/>
        </w:rPr>
        <w:t>3</w:t>
      </w:r>
      <w:r>
        <w:rPr>
          <w:rFonts w:eastAsia="仿宋_GB2312"/>
          <w:szCs w:val="28"/>
        </w:rPr>
        <w:t>.</w:t>
      </w:r>
      <w:r>
        <w:rPr>
          <w:rFonts w:hint="eastAsia" w:eastAsia="仿宋_GB2312"/>
          <w:szCs w:val="28"/>
        </w:rPr>
        <w:t>3</w:t>
      </w:r>
      <w:r>
        <w:rPr>
          <w:rFonts w:eastAsia="仿宋_GB2312"/>
          <w:szCs w:val="28"/>
        </w:rPr>
        <w:t>噪声污染物排放情况</w:t>
      </w:r>
      <w:bookmarkEnd w:id="169"/>
    </w:p>
    <w:p>
      <w:pPr>
        <w:spacing w:after="0" w:line="360" w:lineRule="auto"/>
        <w:ind w:firstLine="480"/>
        <w:jc w:val="both"/>
        <w:rPr>
          <w:rFonts w:ascii="仿宋" w:hAnsi="仿宋" w:eastAsia="仿宋" w:cs="仿宋"/>
          <w:sz w:val="24"/>
          <w:szCs w:val="24"/>
        </w:rPr>
      </w:pPr>
      <w:r>
        <w:rPr>
          <w:rFonts w:hint="eastAsia" w:ascii="仿宋" w:hAnsi="仿宋" w:eastAsia="仿宋" w:cs="仿宋"/>
          <w:sz w:val="24"/>
          <w:szCs w:val="24"/>
        </w:rPr>
        <w:t>本加油站主要噪声来源于加油站区内来往的机动车行驶产生的交通噪声，其次为加油泵及其他设备噪声。</w:t>
      </w:r>
    </w:p>
    <w:p>
      <w:pPr>
        <w:spacing w:after="0" w:line="360" w:lineRule="auto"/>
        <w:ind w:firstLine="482"/>
        <w:jc w:val="both"/>
        <w:rPr>
          <w:rFonts w:ascii="仿宋" w:hAnsi="仿宋" w:eastAsia="仿宋" w:cs="仿宋"/>
          <w:sz w:val="24"/>
          <w:szCs w:val="24"/>
        </w:rPr>
      </w:pPr>
      <w:r>
        <w:rPr>
          <w:rFonts w:hint="eastAsia" w:ascii="仿宋" w:hAnsi="仿宋" w:eastAsia="仿宋" w:cs="仿宋"/>
          <w:b/>
          <w:sz w:val="24"/>
          <w:szCs w:val="24"/>
        </w:rPr>
        <w:t>⑴汽车噪声</w:t>
      </w:r>
      <w:r>
        <w:rPr>
          <w:rFonts w:hint="eastAsia" w:ascii="仿宋" w:hAnsi="仿宋" w:eastAsia="仿宋" w:cs="仿宋"/>
          <w:sz w:val="24"/>
          <w:szCs w:val="24"/>
        </w:rPr>
        <w:t>：加油站噪声主要是汽车行驶产生的噪声，产生区域为加油区停车场，为间断性噪声，其持续时间短，其噪声源强65～80dB（A）之间。</w:t>
      </w:r>
    </w:p>
    <w:p>
      <w:pPr>
        <w:spacing w:after="0" w:line="360" w:lineRule="auto"/>
        <w:ind w:firstLine="482"/>
        <w:jc w:val="both"/>
        <w:rPr>
          <w:rFonts w:ascii="仿宋" w:hAnsi="仿宋" w:eastAsia="仿宋" w:cs="仿宋"/>
          <w:sz w:val="24"/>
          <w:szCs w:val="24"/>
        </w:rPr>
      </w:pPr>
      <w:r>
        <w:rPr>
          <w:rFonts w:hint="eastAsia" w:ascii="仿宋" w:hAnsi="仿宋" w:eastAsia="仿宋" w:cs="仿宋"/>
          <w:b/>
          <w:sz w:val="24"/>
          <w:szCs w:val="24"/>
        </w:rPr>
        <w:t>⑵加油泵设备噪声</w:t>
      </w:r>
      <w:r>
        <w:rPr>
          <w:rFonts w:hint="eastAsia" w:ascii="仿宋" w:hAnsi="仿宋" w:eastAsia="仿宋" w:cs="仿宋"/>
          <w:sz w:val="24"/>
          <w:szCs w:val="24"/>
        </w:rPr>
        <w:t>：加油站主要设备噪声是加油泵在为车辆加油时所产生的噪声，其噪声源强约为65dB（A），属于低噪声设备。</w:t>
      </w:r>
    </w:p>
    <w:p>
      <w:pPr>
        <w:spacing w:after="0" w:line="360" w:lineRule="auto"/>
        <w:ind w:firstLine="482"/>
        <w:jc w:val="both"/>
        <w:rPr>
          <w:rFonts w:ascii="仿宋" w:hAnsi="仿宋" w:eastAsia="仿宋" w:cs="仿宋"/>
          <w:sz w:val="24"/>
          <w:szCs w:val="24"/>
        </w:rPr>
      </w:pPr>
      <w:r>
        <w:rPr>
          <w:rFonts w:hint="eastAsia" w:ascii="仿宋" w:hAnsi="仿宋" w:eastAsia="仿宋" w:cs="仿宋"/>
          <w:b/>
          <w:sz w:val="24"/>
          <w:szCs w:val="24"/>
        </w:rPr>
        <w:t>⑶其他设备噪声</w:t>
      </w:r>
      <w:r>
        <w:rPr>
          <w:rFonts w:hint="eastAsia" w:ascii="仿宋" w:hAnsi="仿宋" w:eastAsia="仿宋" w:cs="仿宋"/>
          <w:sz w:val="24"/>
          <w:szCs w:val="24"/>
        </w:rPr>
        <w:t>：加油站区设置了备用柴油发电机等其他设备，其噪声源强65～85dB（A）之间，由于其设备使用频率较低，设备噪声为间歇式排放。</w:t>
      </w:r>
    </w:p>
    <w:p>
      <w:pPr>
        <w:pStyle w:val="7"/>
        <w:adjustRightInd w:val="0"/>
        <w:snapToGrid w:val="0"/>
        <w:rPr>
          <w:rFonts w:eastAsia="仿宋_GB2312"/>
          <w:szCs w:val="28"/>
        </w:rPr>
      </w:pPr>
      <w:bookmarkStart w:id="170" w:name="_Toc74855976"/>
      <w:r>
        <w:rPr>
          <w:rFonts w:eastAsia="仿宋_GB2312"/>
          <w:szCs w:val="28"/>
        </w:rPr>
        <w:t>2.</w:t>
      </w:r>
      <w:r>
        <w:rPr>
          <w:rFonts w:hint="eastAsia" w:eastAsia="仿宋_GB2312"/>
          <w:szCs w:val="28"/>
        </w:rPr>
        <w:t>3</w:t>
      </w:r>
      <w:r>
        <w:rPr>
          <w:rFonts w:eastAsia="仿宋_GB2312"/>
          <w:szCs w:val="28"/>
        </w:rPr>
        <w:t>.</w:t>
      </w:r>
      <w:r>
        <w:rPr>
          <w:rFonts w:hint="eastAsia" w:eastAsia="仿宋_GB2312"/>
          <w:szCs w:val="28"/>
        </w:rPr>
        <w:t>4</w:t>
      </w:r>
      <w:r>
        <w:rPr>
          <w:rFonts w:eastAsia="仿宋_GB2312"/>
          <w:szCs w:val="28"/>
        </w:rPr>
        <w:t>固体废弃物污染物排放情况</w:t>
      </w:r>
      <w:bookmarkEnd w:id="170"/>
    </w:p>
    <w:p>
      <w:pPr>
        <w:spacing w:after="0" w:line="360" w:lineRule="auto"/>
        <w:ind w:firstLine="482"/>
        <w:jc w:val="both"/>
        <w:rPr>
          <w:rFonts w:hint="eastAsia" w:ascii="仿宋" w:hAnsi="仿宋" w:eastAsia="仿宋" w:cs="仿宋"/>
          <w:b w:val="0"/>
          <w:bCs/>
          <w:sz w:val="24"/>
          <w:szCs w:val="24"/>
        </w:rPr>
      </w:pPr>
      <w:r>
        <w:rPr>
          <w:rFonts w:hint="eastAsia" w:ascii="仿宋" w:hAnsi="仿宋" w:eastAsia="仿宋" w:cs="仿宋"/>
          <w:b w:val="0"/>
          <w:bCs/>
          <w:sz w:val="24"/>
          <w:szCs w:val="24"/>
        </w:rPr>
        <w:t>加油站产生的固体废弃物主要为职工生活垃圾、化粪池产生的污泥和隔油池产生的含油废渣、地下储油罐产生的油泥以及危废品。</w:t>
      </w:r>
    </w:p>
    <w:p>
      <w:pPr>
        <w:spacing w:after="0" w:line="360" w:lineRule="auto"/>
        <w:ind w:firstLine="482"/>
        <w:jc w:val="both"/>
        <w:rPr>
          <w:rFonts w:hint="eastAsia" w:ascii="仿宋" w:hAnsi="仿宋" w:eastAsia="仿宋" w:cs="仿宋"/>
          <w:b w:val="0"/>
          <w:bCs/>
          <w:sz w:val="24"/>
          <w:szCs w:val="24"/>
        </w:rPr>
      </w:pPr>
      <w:r>
        <w:rPr>
          <w:rFonts w:hint="eastAsia" w:ascii="仿宋" w:hAnsi="仿宋" w:eastAsia="仿宋" w:cs="仿宋"/>
          <w:b w:val="0"/>
          <w:bCs/>
          <w:sz w:val="24"/>
          <w:szCs w:val="24"/>
        </w:rPr>
        <w:t>⑴生活垃圾：项目工作人员、司机及随从会产生一定量的生活垃圾，建设单位在加油站内设置垃圾桶，集中收集后交由环卫部门统一处置。</w:t>
      </w:r>
    </w:p>
    <w:p>
      <w:pPr>
        <w:spacing w:after="0" w:line="360" w:lineRule="auto"/>
        <w:ind w:firstLine="482"/>
        <w:jc w:val="both"/>
        <w:rPr>
          <w:rFonts w:hint="eastAsia" w:ascii="仿宋" w:hAnsi="仿宋" w:eastAsia="仿宋" w:cs="仿宋"/>
          <w:b w:val="0"/>
          <w:bCs/>
          <w:sz w:val="24"/>
          <w:szCs w:val="24"/>
        </w:rPr>
      </w:pPr>
      <w:r>
        <w:rPr>
          <w:rFonts w:hint="eastAsia" w:ascii="仿宋" w:hAnsi="仿宋" w:eastAsia="仿宋" w:cs="仿宋"/>
          <w:b w:val="0"/>
          <w:bCs/>
          <w:sz w:val="24"/>
          <w:szCs w:val="24"/>
        </w:rPr>
        <w:t>⑵油泥：地下储油罐经过长期使用，在罐底会积累油泥，根据《国家危险废物名录》，罐底产生的油泥为废矿物油类危险废物，危废编号为HW08，油泥的清除、运输和处置均由具备相关资质的专业公司完成，频率为5年/次。</w:t>
      </w:r>
    </w:p>
    <w:p>
      <w:pPr>
        <w:spacing w:after="0" w:line="360" w:lineRule="auto"/>
        <w:ind w:firstLine="482"/>
        <w:jc w:val="both"/>
        <w:rPr>
          <w:rFonts w:hint="eastAsia" w:ascii="仿宋" w:hAnsi="仿宋" w:eastAsia="仿宋" w:cs="仿宋"/>
          <w:b w:val="0"/>
          <w:bCs/>
          <w:sz w:val="24"/>
          <w:szCs w:val="24"/>
        </w:rPr>
        <w:sectPr>
          <w:footerReference r:id="rId7" w:type="default"/>
          <w:pgSz w:w="11906" w:h="16838"/>
          <w:pgMar w:top="1440" w:right="1800" w:bottom="1398" w:left="1800" w:header="708" w:footer="708" w:gutter="0"/>
          <w:pgNumType w:start="1"/>
          <w:cols w:space="720" w:num="1"/>
          <w:docGrid w:linePitch="360" w:charSpace="0"/>
        </w:sectPr>
      </w:pPr>
      <w:r>
        <w:rPr>
          <w:rFonts w:hint="eastAsia" w:ascii="仿宋" w:hAnsi="仿宋" w:eastAsia="仿宋" w:cs="仿宋"/>
          <w:b w:val="0"/>
          <w:bCs/>
          <w:sz w:val="24"/>
          <w:szCs w:val="24"/>
        </w:rPr>
        <w:t>⑶危废品：加油站产生的含油棉手套、含油废砂等危废品，委托有资质的单位处置。</w:t>
      </w:r>
    </w:p>
    <w:bookmarkEnd w:id="135"/>
    <w:bookmarkEnd w:id="136"/>
    <w:bookmarkEnd w:id="137"/>
    <w:bookmarkEnd w:id="138"/>
    <w:bookmarkEnd w:id="139"/>
    <w:bookmarkEnd w:id="140"/>
    <w:p>
      <w:pPr>
        <w:pStyle w:val="5"/>
        <w:rPr>
          <w:rFonts w:eastAsia="仿宋_GB2312"/>
          <w:sz w:val="28"/>
          <w:szCs w:val="28"/>
        </w:rPr>
      </w:pPr>
      <w:bookmarkStart w:id="171" w:name="_Toc74855977"/>
      <w:bookmarkStart w:id="172" w:name="_Toc6381"/>
      <w:bookmarkStart w:id="173" w:name="_Toc8369"/>
      <w:bookmarkStart w:id="174" w:name="_Toc421095356"/>
      <w:bookmarkStart w:id="175" w:name="_Toc421097822"/>
      <w:bookmarkStart w:id="176" w:name="_Toc491785510"/>
      <w:bookmarkStart w:id="177" w:name="_Toc11447"/>
      <w:bookmarkStart w:id="178" w:name="_Toc522025646"/>
      <w:bookmarkStart w:id="179" w:name="_Toc466379466"/>
      <w:bookmarkStart w:id="180" w:name="_Toc398130436"/>
      <w:bookmarkStart w:id="181" w:name="_Toc6873"/>
      <w:r>
        <w:rPr>
          <w:rFonts w:eastAsia="仿宋_GB2312"/>
          <w:sz w:val="28"/>
          <w:szCs w:val="28"/>
        </w:rPr>
        <w:t>3.环境风险源及环境风险评价</w:t>
      </w:r>
      <w:bookmarkEnd w:id="171"/>
      <w:bookmarkEnd w:id="172"/>
      <w:bookmarkEnd w:id="173"/>
    </w:p>
    <w:p>
      <w:pPr>
        <w:pStyle w:val="6"/>
        <w:rPr>
          <w:rFonts w:eastAsia="仿宋_GB2312"/>
          <w:sz w:val="28"/>
          <w:szCs w:val="28"/>
        </w:rPr>
      </w:pPr>
      <w:bookmarkStart w:id="182" w:name="_Toc522025638"/>
      <w:bookmarkStart w:id="183" w:name="_Toc74855978"/>
      <w:bookmarkStart w:id="184" w:name="_Toc17383"/>
      <w:bookmarkStart w:id="185" w:name="_Toc466379457"/>
      <w:bookmarkStart w:id="186" w:name="_Toc2145"/>
      <w:bookmarkStart w:id="187" w:name="_Toc433795499"/>
      <w:bookmarkStart w:id="188" w:name="_Toc2908"/>
      <w:r>
        <w:rPr>
          <w:rFonts w:eastAsia="仿宋_GB2312"/>
          <w:sz w:val="28"/>
          <w:szCs w:val="28"/>
        </w:rPr>
        <w:t>3.1主要环境风险源识别</w:t>
      </w:r>
      <w:bookmarkEnd w:id="182"/>
      <w:bookmarkEnd w:id="183"/>
      <w:bookmarkEnd w:id="184"/>
      <w:bookmarkEnd w:id="185"/>
      <w:bookmarkEnd w:id="186"/>
      <w:bookmarkEnd w:id="187"/>
      <w:bookmarkEnd w:id="188"/>
    </w:p>
    <w:p>
      <w:pPr>
        <w:pStyle w:val="7"/>
        <w:adjustRightInd w:val="0"/>
        <w:snapToGrid w:val="0"/>
        <w:rPr>
          <w:rFonts w:eastAsia="仿宋_GB2312"/>
          <w:szCs w:val="28"/>
        </w:rPr>
      </w:pPr>
      <w:bookmarkStart w:id="189" w:name="_Toc74855979"/>
      <w:r>
        <w:rPr>
          <w:rFonts w:hint="eastAsia" w:eastAsia="仿宋_GB2312"/>
          <w:szCs w:val="28"/>
        </w:rPr>
        <w:t>3.1.1 环境风险定义</w:t>
      </w:r>
      <w:bookmarkEnd w:id="189"/>
    </w:p>
    <w:p>
      <w:pPr>
        <w:pStyle w:val="73"/>
        <w:spacing w:after="0"/>
        <w:ind w:firstLine="482"/>
        <w:rPr>
          <w:rFonts w:ascii="仿宋" w:hAnsi="仿宋" w:eastAsia="仿宋" w:cs="仿宋"/>
          <w:sz w:val="24"/>
          <w:szCs w:val="24"/>
        </w:rPr>
      </w:pPr>
      <w:r>
        <w:rPr>
          <w:rFonts w:hint="eastAsia" w:ascii="仿宋" w:hAnsi="仿宋" w:eastAsia="仿宋" w:cs="仿宋"/>
          <w:sz w:val="24"/>
          <w:szCs w:val="24"/>
        </w:rPr>
        <w:t>环境风险是指突发性事故对环境（或健康）的危害程度，用风险值 R 表征，其定义为事故发生概率 P 与事故造成的环境（或健康）后果 C 的乘积，用 R 表示，即：R[危害/单位时间]=P[事故/单位时间]×C[危害/事故]。</w:t>
      </w:r>
    </w:p>
    <w:p>
      <w:pPr>
        <w:pStyle w:val="73"/>
        <w:spacing w:after="0"/>
        <w:ind w:firstLine="482"/>
        <w:rPr>
          <w:rFonts w:ascii="仿宋" w:hAnsi="仿宋" w:eastAsia="仿宋" w:cs="仿宋"/>
          <w:sz w:val="24"/>
          <w:szCs w:val="24"/>
        </w:rPr>
      </w:pPr>
      <w:r>
        <w:rPr>
          <w:rFonts w:hint="eastAsia" w:ascii="仿宋" w:hAnsi="仿宋" w:eastAsia="仿宋" w:cs="仿宋"/>
          <w:sz w:val="24"/>
          <w:szCs w:val="24"/>
        </w:rPr>
        <w:t>加油站的环境风险是指油品在运输、贮存和使用过程中，油品在失控情况下发生的突发事故对环境（或健康）的危害程度，其定义为事故发生的概率与事故造成的环境（或健康）后果的乘积。这类事故发生的概率大小及事故造成的环境（或健康）后果影响程度与物料的性质、物料的泄漏量、工艺流程、管理以及防范补救措施等多种因素有关，较难用数字准确表示。但事故一旦发生，将对周围生态环境及人体健康造成比较严重的影响。</w:t>
      </w:r>
    </w:p>
    <w:p>
      <w:pPr>
        <w:pStyle w:val="7"/>
        <w:rPr>
          <w:rFonts w:eastAsia="仿宋_GB2312"/>
          <w:szCs w:val="28"/>
        </w:rPr>
      </w:pPr>
      <w:bookmarkStart w:id="190" w:name="_Toc16128"/>
      <w:bookmarkStart w:id="191" w:name="_Toc21964"/>
      <w:bookmarkStart w:id="192" w:name="_Toc466379458"/>
      <w:bookmarkStart w:id="193" w:name="_Toc74855980"/>
      <w:bookmarkStart w:id="194" w:name="_Toc522025639"/>
      <w:bookmarkStart w:id="195" w:name="_Toc433795500"/>
      <w:r>
        <w:rPr>
          <w:rFonts w:eastAsia="仿宋_GB2312"/>
          <w:szCs w:val="28"/>
        </w:rPr>
        <w:t>3.1.</w:t>
      </w:r>
      <w:r>
        <w:rPr>
          <w:rFonts w:hint="eastAsia" w:eastAsia="仿宋_GB2312"/>
          <w:szCs w:val="28"/>
        </w:rPr>
        <w:t>2</w:t>
      </w:r>
      <w:r>
        <w:rPr>
          <w:rFonts w:eastAsia="仿宋_GB2312"/>
          <w:szCs w:val="28"/>
        </w:rPr>
        <w:t>物质风险识别</w:t>
      </w:r>
      <w:bookmarkEnd w:id="190"/>
      <w:bookmarkEnd w:id="191"/>
      <w:bookmarkEnd w:id="192"/>
      <w:bookmarkEnd w:id="193"/>
      <w:bookmarkEnd w:id="194"/>
      <w:bookmarkEnd w:id="195"/>
    </w:p>
    <w:p>
      <w:pPr>
        <w:pStyle w:val="73"/>
        <w:spacing w:after="0"/>
        <w:ind w:firstLine="482"/>
        <w:rPr>
          <w:rFonts w:ascii="仿宋" w:hAnsi="仿宋" w:eastAsia="仿宋" w:cs="仿宋"/>
          <w:sz w:val="24"/>
          <w:szCs w:val="24"/>
        </w:rPr>
      </w:pPr>
      <w:bookmarkStart w:id="196" w:name="_Toc20881"/>
      <w:bookmarkStart w:id="197" w:name="_Toc433795501"/>
      <w:bookmarkStart w:id="198" w:name="_Toc466379459"/>
      <w:bookmarkStart w:id="199" w:name="_Toc522025640"/>
      <w:r>
        <w:rPr>
          <w:rFonts w:hint="eastAsia" w:ascii="仿宋" w:hAnsi="仿宋" w:eastAsia="仿宋" w:cs="仿宋"/>
          <w:sz w:val="24"/>
          <w:szCs w:val="24"/>
        </w:rPr>
        <w:t>物质风险识别，主要包括原辅材料、燃料、中间产品、副产品、最终产品、污染物、火灾和爆炸伴生/次生物等。</w:t>
      </w:r>
    </w:p>
    <w:p>
      <w:pPr>
        <w:pStyle w:val="73"/>
        <w:spacing w:after="0"/>
        <w:ind w:firstLine="482"/>
        <w:rPr>
          <w:rFonts w:ascii="仿宋" w:hAnsi="仿宋" w:eastAsia="仿宋" w:cs="仿宋"/>
          <w:sz w:val="24"/>
          <w:szCs w:val="24"/>
        </w:rPr>
      </w:pPr>
      <w:r>
        <w:rPr>
          <w:rFonts w:hint="eastAsia" w:ascii="仿宋" w:hAnsi="仿宋" w:eastAsia="仿宋" w:cs="仿宋"/>
          <w:sz w:val="24"/>
          <w:szCs w:val="24"/>
        </w:rPr>
        <w:t>根据《企业突发环境事件风险分级方法（HJ941-2018）和附录A《突发环境事件风险物质及临界量清单》，对照项目所用物料及“三废”污染物分析。根据《建设项目环境风险评价技术导则》（HJ169-2018）的要求，本加油站共设置4个双层埋地卧式储油罐，其中30m</w:t>
      </w:r>
      <w:r>
        <w:rPr>
          <w:rFonts w:hint="eastAsia" w:ascii="仿宋" w:hAnsi="仿宋" w:eastAsia="仿宋" w:cs="仿宋"/>
          <w:sz w:val="24"/>
          <w:szCs w:val="24"/>
          <w:vertAlign w:val="superscript"/>
        </w:rPr>
        <w:t>3</w:t>
      </w:r>
      <w:r>
        <w:rPr>
          <w:rFonts w:hint="eastAsia" w:ascii="仿宋" w:hAnsi="仿宋" w:eastAsia="仿宋" w:cs="仿宋"/>
          <w:sz w:val="24"/>
          <w:szCs w:val="24"/>
        </w:rPr>
        <w:t>的 92#汽油油罐1个、30m</w:t>
      </w:r>
      <w:r>
        <w:rPr>
          <w:rFonts w:hint="eastAsia" w:ascii="仿宋" w:hAnsi="仿宋" w:eastAsia="仿宋" w:cs="仿宋"/>
          <w:sz w:val="24"/>
          <w:szCs w:val="24"/>
          <w:vertAlign w:val="superscript"/>
        </w:rPr>
        <w:t>3</w:t>
      </w:r>
      <w:r>
        <w:rPr>
          <w:rFonts w:hint="eastAsia" w:ascii="仿宋" w:hAnsi="仿宋" w:eastAsia="仿宋" w:cs="仿宋"/>
          <w:sz w:val="24"/>
          <w:szCs w:val="24"/>
        </w:rPr>
        <w:t>的95#汽油油罐1个、30m</w:t>
      </w:r>
      <w:r>
        <w:rPr>
          <w:rFonts w:hint="eastAsia" w:ascii="仿宋" w:hAnsi="仿宋" w:eastAsia="仿宋" w:cs="仿宋"/>
          <w:sz w:val="24"/>
          <w:szCs w:val="24"/>
          <w:vertAlign w:val="superscript"/>
        </w:rPr>
        <w:t>3</w:t>
      </w:r>
      <w:r>
        <w:rPr>
          <w:rFonts w:hint="eastAsia" w:ascii="仿宋" w:hAnsi="仿宋" w:eastAsia="仿宋" w:cs="仿宋"/>
          <w:sz w:val="24"/>
          <w:szCs w:val="24"/>
        </w:rPr>
        <w:t>的 98#汽油油罐1个、50m</w:t>
      </w:r>
      <w:r>
        <w:rPr>
          <w:rFonts w:hint="eastAsia" w:ascii="仿宋" w:hAnsi="仿宋" w:eastAsia="仿宋" w:cs="仿宋"/>
          <w:sz w:val="24"/>
          <w:szCs w:val="24"/>
          <w:vertAlign w:val="superscript"/>
        </w:rPr>
        <w:t>3</w:t>
      </w:r>
      <w:r>
        <w:rPr>
          <w:rFonts w:hint="eastAsia" w:ascii="仿宋" w:hAnsi="仿宋" w:eastAsia="仿宋" w:cs="仿宋"/>
          <w:sz w:val="24"/>
          <w:szCs w:val="24"/>
        </w:rPr>
        <w:t>的0#柴油油罐1个。油罐充装油品最大储存量按容积的90%计，汽油密度按 0.75kg/L 计，柴油密度按 0.85kg/L 计，则本加油站内柴油最大储存量为38.25t，汽油最大储存量为60.75t。</w:t>
      </w:r>
    </w:p>
    <w:p>
      <w:pPr>
        <w:widowControl w:val="0"/>
        <w:spacing w:after="0" w:line="360" w:lineRule="auto"/>
        <w:ind w:firstLine="480"/>
        <w:jc w:val="both"/>
        <w:rPr>
          <w:rFonts w:ascii="仿宋" w:hAnsi="仿宋" w:eastAsia="仿宋" w:cs="仿宋"/>
          <w:sz w:val="24"/>
          <w:szCs w:val="24"/>
        </w:rPr>
      </w:pPr>
      <w:r>
        <w:rPr>
          <w:rFonts w:hint="eastAsia" w:ascii="仿宋" w:hAnsi="仿宋" w:eastAsia="仿宋" w:cs="仿宋"/>
          <w:sz w:val="24"/>
          <w:szCs w:val="24"/>
        </w:rPr>
        <w:t>加油站环境风险物质详见表3.1.2-1。</w:t>
      </w:r>
    </w:p>
    <w:p>
      <w:pPr>
        <w:widowControl w:val="0"/>
        <w:spacing w:after="0" w:line="360" w:lineRule="auto"/>
        <w:jc w:val="center"/>
        <w:rPr>
          <w:rFonts w:eastAsia="仿宋_GB2312"/>
          <w:b/>
          <w:color w:val="000000"/>
          <w:sz w:val="24"/>
          <w:szCs w:val="24"/>
        </w:rPr>
      </w:pPr>
      <w:r>
        <w:rPr>
          <w:rFonts w:hint="eastAsia" w:ascii="仿宋" w:hAnsi="仿宋" w:eastAsia="仿宋" w:cs="仿宋"/>
          <w:b/>
          <w:color w:val="000000"/>
          <w:sz w:val="24"/>
          <w:szCs w:val="24"/>
        </w:rPr>
        <w:t>表3.1.2-1  物质风险识别表</w:t>
      </w:r>
    </w:p>
    <w:tbl>
      <w:tblPr>
        <w:tblStyle w:val="31"/>
        <w:tblW w:w="8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4"/>
        <w:gridCol w:w="1078"/>
        <w:gridCol w:w="1642"/>
        <w:gridCol w:w="1602"/>
        <w:gridCol w:w="2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1634" w:type="dxa"/>
            <w:noWrap/>
            <w:vAlign w:val="center"/>
          </w:tcPr>
          <w:p>
            <w:pPr>
              <w:widowControl w:val="0"/>
              <w:jc w:val="center"/>
              <w:rPr>
                <w:rFonts w:eastAsia="仿宋_GB2312"/>
                <w:b/>
                <w:sz w:val="21"/>
              </w:rPr>
            </w:pPr>
            <w:r>
              <w:rPr>
                <w:rFonts w:hint="eastAsia" w:eastAsia="仿宋_GB2312"/>
                <w:b/>
                <w:sz w:val="21"/>
              </w:rPr>
              <w:t>类别</w:t>
            </w:r>
          </w:p>
        </w:tc>
        <w:tc>
          <w:tcPr>
            <w:tcW w:w="1078" w:type="dxa"/>
            <w:noWrap/>
            <w:vAlign w:val="center"/>
          </w:tcPr>
          <w:p>
            <w:pPr>
              <w:widowControl w:val="0"/>
              <w:jc w:val="center"/>
              <w:rPr>
                <w:rFonts w:eastAsia="仿宋_GB2312"/>
                <w:b/>
                <w:sz w:val="21"/>
              </w:rPr>
            </w:pPr>
            <w:r>
              <w:rPr>
                <w:rFonts w:hint="eastAsia" w:eastAsia="仿宋_GB2312"/>
                <w:b/>
                <w:sz w:val="21"/>
              </w:rPr>
              <w:t>物质名称</w:t>
            </w:r>
          </w:p>
        </w:tc>
        <w:tc>
          <w:tcPr>
            <w:tcW w:w="1642" w:type="dxa"/>
            <w:noWrap/>
            <w:vAlign w:val="center"/>
          </w:tcPr>
          <w:p>
            <w:pPr>
              <w:widowControl w:val="0"/>
              <w:jc w:val="center"/>
              <w:rPr>
                <w:rFonts w:eastAsia="仿宋_GB2312"/>
                <w:b/>
                <w:sz w:val="21"/>
              </w:rPr>
            </w:pPr>
            <w:r>
              <w:rPr>
                <w:rFonts w:hint="eastAsia" w:eastAsia="仿宋_GB2312"/>
                <w:b/>
                <w:sz w:val="21"/>
              </w:rPr>
              <w:t>最大储量（t）</w:t>
            </w:r>
          </w:p>
        </w:tc>
        <w:tc>
          <w:tcPr>
            <w:tcW w:w="1602" w:type="dxa"/>
            <w:noWrap/>
            <w:vAlign w:val="center"/>
          </w:tcPr>
          <w:p>
            <w:pPr>
              <w:widowControl w:val="0"/>
              <w:jc w:val="center"/>
              <w:rPr>
                <w:rFonts w:eastAsia="仿宋_GB2312"/>
                <w:b/>
                <w:sz w:val="21"/>
              </w:rPr>
            </w:pPr>
            <w:r>
              <w:rPr>
                <w:rFonts w:hint="eastAsia" w:eastAsia="仿宋_GB2312"/>
                <w:b/>
                <w:sz w:val="21"/>
              </w:rPr>
              <w:t>风险类型</w:t>
            </w:r>
          </w:p>
        </w:tc>
        <w:tc>
          <w:tcPr>
            <w:tcW w:w="2385" w:type="dxa"/>
            <w:noWrap/>
            <w:vAlign w:val="center"/>
          </w:tcPr>
          <w:p>
            <w:pPr>
              <w:widowControl w:val="0"/>
              <w:jc w:val="center"/>
              <w:rPr>
                <w:rFonts w:eastAsia="仿宋_GB2312"/>
                <w:b/>
                <w:sz w:val="21"/>
              </w:rPr>
            </w:pPr>
            <w:r>
              <w:rPr>
                <w:rFonts w:hint="eastAsia" w:eastAsia="仿宋_GB2312"/>
                <w:b/>
                <w:sz w:val="21"/>
              </w:rPr>
              <w:t>储存位置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634" w:type="dxa"/>
            <w:vMerge w:val="restart"/>
            <w:noWrap/>
            <w:vAlign w:val="center"/>
          </w:tcPr>
          <w:p>
            <w:pPr>
              <w:widowControl w:val="0"/>
              <w:jc w:val="center"/>
              <w:rPr>
                <w:rFonts w:eastAsia="仿宋_GB2312"/>
                <w:sz w:val="21"/>
              </w:rPr>
            </w:pPr>
            <w:r>
              <w:rPr>
                <w:rFonts w:hint="eastAsia" w:eastAsia="仿宋_GB2312"/>
                <w:sz w:val="21"/>
              </w:rPr>
              <w:t>易燃易爆物质</w:t>
            </w:r>
          </w:p>
        </w:tc>
        <w:tc>
          <w:tcPr>
            <w:tcW w:w="1078" w:type="dxa"/>
            <w:noWrap/>
            <w:vAlign w:val="center"/>
          </w:tcPr>
          <w:p>
            <w:pPr>
              <w:widowControl w:val="0"/>
              <w:jc w:val="center"/>
              <w:rPr>
                <w:rFonts w:eastAsia="仿宋_GB2312"/>
                <w:sz w:val="21"/>
              </w:rPr>
            </w:pPr>
            <w:r>
              <w:rPr>
                <w:rFonts w:hint="eastAsia" w:eastAsia="仿宋_GB2312"/>
                <w:sz w:val="21"/>
              </w:rPr>
              <w:t>柴油</w:t>
            </w:r>
          </w:p>
        </w:tc>
        <w:tc>
          <w:tcPr>
            <w:tcW w:w="1642" w:type="dxa"/>
            <w:noWrap/>
            <w:vAlign w:val="center"/>
          </w:tcPr>
          <w:p>
            <w:pPr>
              <w:widowControl w:val="0"/>
              <w:jc w:val="center"/>
              <w:rPr>
                <w:rFonts w:eastAsia="仿宋_GB2312"/>
                <w:sz w:val="21"/>
              </w:rPr>
            </w:pPr>
            <w:r>
              <w:rPr>
                <w:rFonts w:hint="eastAsia" w:eastAsia="仿宋_GB2312"/>
                <w:sz w:val="21"/>
              </w:rPr>
              <w:t>38.25</w:t>
            </w:r>
          </w:p>
        </w:tc>
        <w:tc>
          <w:tcPr>
            <w:tcW w:w="1602" w:type="dxa"/>
            <w:vMerge w:val="restart"/>
            <w:noWrap/>
            <w:vAlign w:val="center"/>
          </w:tcPr>
          <w:p>
            <w:pPr>
              <w:widowControl w:val="0"/>
              <w:jc w:val="both"/>
              <w:rPr>
                <w:rFonts w:eastAsia="仿宋_GB2312"/>
                <w:sz w:val="21"/>
              </w:rPr>
            </w:pPr>
            <w:r>
              <w:rPr>
                <w:rFonts w:hint="eastAsia" w:eastAsia="仿宋_GB2312"/>
                <w:sz w:val="21"/>
              </w:rPr>
              <w:t>泄漏、火灾、爆炸</w:t>
            </w:r>
          </w:p>
        </w:tc>
        <w:tc>
          <w:tcPr>
            <w:tcW w:w="2385" w:type="dxa"/>
            <w:noWrap/>
            <w:vAlign w:val="center"/>
          </w:tcPr>
          <w:p>
            <w:pPr>
              <w:widowControl w:val="0"/>
              <w:jc w:val="center"/>
              <w:rPr>
                <w:rFonts w:eastAsia="仿宋_GB2312"/>
                <w:sz w:val="21"/>
              </w:rPr>
            </w:pPr>
            <w:r>
              <w:rPr>
                <w:rFonts w:hint="eastAsia" w:eastAsia="仿宋_GB2312"/>
                <w:sz w:val="21"/>
              </w:rPr>
              <w:t>地埋式双层储油罐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634" w:type="dxa"/>
            <w:vMerge w:val="continue"/>
            <w:noWrap/>
            <w:vAlign w:val="center"/>
          </w:tcPr>
          <w:p>
            <w:pPr>
              <w:widowControl w:val="0"/>
              <w:jc w:val="center"/>
              <w:rPr>
                <w:rFonts w:eastAsia="仿宋_GB2312"/>
                <w:sz w:val="21"/>
              </w:rPr>
            </w:pPr>
          </w:p>
        </w:tc>
        <w:tc>
          <w:tcPr>
            <w:tcW w:w="1078" w:type="dxa"/>
            <w:noWrap/>
            <w:vAlign w:val="center"/>
          </w:tcPr>
          <w:p>
            <w:pPr>
              <w:widowControl w:val="0"/>
              <w:jc w:val="center"/>
              <w:rPr>
                <w:rFonts w:eastAsia="仿宋_GB2312"/>
                <w:sz w:val="21"/>
              </w:rPr>
            </w:pPr>
            <w:r>
              <w:rPr>
                <w:rFonts w:hint="eastAsia" w:eastAsia="仿宋_GB2312"/>
                <w:sz w:val="21"/>
              </w:rPr>
              <w:t>汽油</w:t>
            </w:r>
          </w:p>
        </w:tc>
        <w:tc>
          <w:tcPr>
            <w:tcW w:w="1642" w:type="dxa"/>
            <w:noWrap/>
            <w:vAlign w:val="center"/>
          </w:tcPr>
          <w:p>
            <w:pPr>
              <w:widowControl w:val="0"/>
              <w:jc w:val="center"/>
              <w:rPr>
                <w:rFonts w:eastAsia="仿宋_GB2312"/>
                <w:sz w:val="21"/>
              </w:rPr>
            </w:pPr>
            <w:r>
              <w:rPr>
                <w:rFonts w:hint="eastAsia" w:eastAsia="仿宋_GB2312"/>
                <w:sz w:val="21"/>
              </w:rPr>
              <w:t>60.75</w:t>
            </w:r>
          </w:p>
        </w:tc>
        <w:tc>
          <w:tcPr>
            <w:tcW w:w="1602" w:type="dxa"/>
            <w:vMerge w:val="continue"/>
            <w:noWrap/>
            <w:vAlign w:val="center"/>
          </w:tcPr>
          <w:p>
            <w:pPr>
              <w:widowControl w:val="0"/>
              <w:jc w:val="center"/>
              <w:rPr>
                <w:rFonts w:eastAsia="仿宋_GB2312"/>
                <w:sz w:val="21"/>
              </w:rPr>
            </w:pPr>
          </w:p>
        </w:tc>
        <w:tc>
          <w:tcPr>
            <w:tcW w:w="2385" w:type="dxa"/>
            <w:noWrap/>
            <w:vAlign w:val="center"/>
          </w:tcPr>
          <w:p>
            <w:pPr>
              <w:widowControl w:val="0"/>
              <w:jc w:val="center"/>
              <w:rPr>
                <w:rFonts w:eastAsia="仿宋_GB2312"/>
                <w:sz w:val="21"/>
              </w:rPr>
            </w:pPr>
            <w:r>
              <w:rPr>
                <w:rFonts w:hint="eastAsia" w:eastAsia="仿宋_GB2312"/>
                <w:sz w:val="21"/>
              </w:rPr>
              <w:t>地埋式双层储油罐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634" w:type="dxa"/>
            <w:noWrap/>
            <w:vAlign w:val="center"/>
          </w:tcPr>
          <w:p>
            <w:pPr>
              <w:widowControl w:val="0"/>
              <w:jc w:val="center"/>
              <w:rPr>
                <w:rFonts w:eastAsia="仿宋_GB2312"/>
                <w:sz w:val="21"/>
              </w:rPr>
            </w:pPr>
            <w:r>
              <w:rPr>
                <w:rFonts w:hint="eastAsia" w:eastAsia="仿宋_GB2312"/>
                <w:sz w:val="21"/>
              </w:rPr>
              <w:t>含矿物油物质</w:t>
            </w:r>
          </w:p>
        </w:tc>
        <w:tc>
          <w:tcPr>
            <w:tcW w:w="1078" w:type="dxa"/>
            <w:noWrap/>
            <w:vAlign w:val="center"/>
          </w:tcPr>
          <w:p>
            <w:pPr>
              <w:widowControl w:val="0"/>
              <w:jc w:val="center"/>
              <w:rPr>
                <w:rFonts w:eastAsia="仿宋_GB2312"/>
                <w:sz w:val="21"/>
              </w:rPr>
            </w:pPr>
            <w:r>
              <w:rPr>
                <w:rFonts w:hint="eastAsia" w:eastAsia="仿宋_GB2312"/>
                <w:sz w:val="21"/>
              </w:rPr>
              <w:t>罐底油泥</w:t>
            </w:r>
          </w:p>
        </w:tc>
        <w:tc>
          <w:tcPr>
            <w:tcW w:w="1642" w:type="dxa"/>
            <w:noWrap/>
            <w:vAlign w:val="center"/>
          </w:tcPr>
          <w:p>
            <w:pPr>
              <w:widowControl w:val="0"/>
              <w:jc w:val="center"/>
              <w:rPr>
                <w:rFonts w:eastAsia="仿宋_GB2312"/>
                <w:sz w:val="21"/>
              </w:rPr>
            </w:pPr>
            <w:r>
              <w:rPr>
                <w:rFonts w:hint="eastAsia" w:eastAsia="仿宋_GB2312"/>
                <w:sz w:val="21"/>
              </w:rPr>
              <w:t>/</w:t>
            </w:r>
          </w:p>
        </w:tc>
        <w:tc>
          <w:tcPr>
            <w:tcW w:w="1602" w:type="dxa"/>
            <w:noWrap/>
            <w:vAlign w:val="center"/>
          </w:tcPr>
          <w:p>
            <w:pPr>
              <w:widowControl w:val="0"/>
              <w:jc w:val="center"/>
              <w:rPr>
                <w:rFonts w:eastAsia="仿宋_GB2312"/>
                <w:sz w:val="21"/>
              </w:rPr>
            </w:pPr>
            <w:r>
              <w:rPr>
                <w:rFonts w:hint="eastAsia" w:eastAsia="仿宋_GB2312"/>
                <w:sz w:val="21"/>
              </w:rPr>
              <w:t>泄漏</w:t>
            </w:r>
          </w:p>
        </w:tc>
        <w:tc>
          <w:tcPr>
            <w:tcW w:w="2385" w:type="dxa"/>
            <w:noWrap/>
            <w:vAlign w:val="center"/>
          </w:tcPr>
          <w:p>
            <w:pPr>
              <w:widowControl w:val="0"/>
              <w:jc w:val="center"/>
              <w:rPr>
                <w:rFonts w:eastAsia="仿宋_GB2312"/>
                <w:sz w:val="21"/>
              </w:rPr>
            </w:pPr>
            <w:r>
              <w:rPr>
                <w:rFonts w:hint="eastAsia" w:eastAsia="仿宋_GB2312"/>
                <w:sz w:val="21"/>
              </w:rPr>
              <w:t>地埋式双层储油罐</w:t>
            </w:r>
          </w:p>
        </w:tc>
      </w:tr>
    </w:tbl>
    <w:p>
      <w:pPr>
        <w:adjustRightInd/>
        <w:spacing w:after="0" w:line="360" w:lineRule="auto"/>
        <w:ind w:firstLine="480"/>
        <w:rPr>
          <w:rFonts w:eastAsia="仿宋_GB2312"/>
          <w:sz w:val="24"/>
          <w:szCs w:val="24"/>
        </w:rPr>
      </w:pPr>
      <w:r>
        <w:rPr>
          <w:rFonts w:eastAsia="仿宋_GB2312"/>
          <w:sz w:val="24"/>
          <w:szCs w:val="24"/>
        </w:rPr>
        <w:t>根据上表的识别结果可知，</w:t>
      </w:r>
      <w:r>
        <w:rPr>
          <w:rFonts w:hint="eastAsia" w:eastAsia="仿宋_GB2312"/>
          <w:sz w:val="24"/>
          <w:szCs w:val="24"/>
        </w:rPr>
        <w:t>加油站</w:t>
      </w:r>
      <w:r>
        <w:rPr>
          <w:rFonts w:eastAsia="仿宋_GB2312"/>
          <w:sz w:val="24"/>
          <w:szCs w:val="24"/>
        </w:rPr>
        <w:t>运营过程所涉及的风险物质有：</w:t>
      </w:r>
      <w:r>
        <w:rPr>
          <w:rFonts w:hint="eastAsia" w:eastAsia="仿宋_GB2312"/>
          <w:sz w:val="24"/>
          <w:szCs w:val="24"/>
        </w:rPr>
        <w:t>汽油、柴油</w:t>
      </w:r>
      <w:r>
        <w:rPr>
          <w:rFonts w:eastAsia="仿宋_GB2312"/>
          <w:sz w:val="24"/>
          <w:szCs w:val="24"/>
        </w:rPr>
        <w:t>；风险物质理化性质详见表3.1.</w:t>
      </w:r>
      <w:r>
        <w:rPr>
          <w:rFonts w:hint="eastAsia" w:eastAsia="仿宋_GB2312"/>
          <w:sz w:val="24"/>
          <w:szCs w:val="24"/>
        </w:rPr>
        <w:t>2</w:t>
      </w:r>
      <w:r>
        <w:rPr>
          <w:rFonts w:eastAsia="仿宋_GB2312"/>
          <w:sz w:val="24"/>
          <w:szCs w:val="24"/>
        </w:rPr>
        <w:t>-2、表3.1.</w:t>
      </w:r>
      <w:r>
        <w:rPr>
          <w:rFonts w:hint="eastAsia" w:eastAsia="仿宋_GB2312"/>
          <w:sz w:val="24"/>
          <w:szCs w:val="24"/>
        </w:rPr>
        <w:t>2</w:t>
      </w:r>
      <w:r>
        <w:rPr>
          <w:rFonts w:eastAsia="仿宋_GB2312"/>
          <w:sz w:val="24"/>
          <w:szCs w:val="24"/>
        </w:rPr>
        <w:t>-3。</w:t>
      </w:r>
    </w:p>
    <w:p>
      <w:pPr>
        <w:pStyle w:val="30"/>
        <w:spacing w:after="0" w:line="360" w:lineRule="auto"/>
        <w:ind w:left="0" w:firstLine="0"/>
        <w:jc w:val="center"/>
        <w:rPr>
          <w:rFonts w:eastAsia="仿宋_GB2312"/>
          <w:b/>
          <w:bCs/>
          <w:szCs w:val="24"/>
        </w:rPr>
      </w:pPr>
      <w:r>
        <w:rPr>
          <w:rFonts w:eastAsia="仿宋_GB2312"/>
          <w:b/>
          <w:bCs/>
          <w:szCs w:val="24"/>
        </w:rPr>
        <w:t>表</w:t>
      </w:r>
      <w:r>
        <w:rPr>
          <w:rFonts w:eastAsia="仿宋_GB2312"/>
          <w:szCs w:val="24"/>
        </w:rPr>
        <w:t>3.1.</w:t>
      </w:r>
      <w:r>
        <w:rPr>
          <w:rFonts w:hint="eastAsia" w:eastAsia="仿宋_GB2312"/>
          <w:szCs w:val="24"/>
        </w:rPr>
        <w:t>2</w:t>
      </w:r>
      <w:r>
        <w:rPr>
          <w:rFonts w:eastAsia="仿宋_GB2312"/>
          <w:szCs w:val="24"/>
        </w:rPr>
        <w:t>-2</w:t>
      </w:r>
      <w:r>
        <w:rPr>
          <w:rFonts w:hint="eastAsia" w:ascii="仿宋_GB2312" w:hAnsi="仿宋_GB2312" w:eastAsia="仿宋_GB2312" w:cs="仿宋_GB2312"/>
          <w:b/>
        </w:rPr>
        <w:t>汽油</w:t>
      </w:r>
      <w:r>
        <w:rPr>
          <w:rFonts w:eastAsia="仿宋_GB2312"/>
          <w:b/>
          <w:bCs/>
          <w:szCs w:val="24"/>
        </w:rPr>
        <w:t>的理化特性</w:t>
      </w:r>
    </w:p>
    <w:tbl>
      <w:tblPr>
        <w:tblStyle w:val="31"/>
        <w:tblW w:w="8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9"/>
        <w:gridCol w:w="2918"/>
        <w:gridCol w:w="2251"/>
        <w:gridCol w:w="358"/>
        <w:gridCol w:w="1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358" w:type="dxa"/>
            <w:gridSpan w:val="5"/>
            <w:noWrap/>
            <w:vAlign w:val="center"/>
          </w:tcPr>
          <w:p>
            <w:pPr>
              <w:widowControl w:val="0"/>
              <w:spacing w:after="0"/>
              <w:jc w:val="center"/>
              <w:rPr>
                <w:rFonts w:eastAsia="仿宋_GB2312"/>
                <w:sz w:val="21"/>
                <w:szCs w:val="21"/>
              </w:rPr>
            </w:pPr>
            <w:r>
              <w:rPr>
                <w:rFonts w:hAnsi="仿宋_GB2312" w:eastAsia="仿宋_GB2312"/>
                <w:sz w:val="21"/>
                <w:szCs w:val="21"/>
              </w:rPr>
              <w:t>第一部分危险性概述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529" w:type="dxa"/>
            <w:noWrap/>
            <w:vAlign w:val="center"/>
          </w:tcPr>
          <w:p>
            <w:pPr>
              <w:widowControl w:val="0"/>
              <w:spacing w:after="0"/>
              <w:jc w:val="center"/>
              <w:rPr>
                <w:rFonts w:eastAsia="仿宋_GB2312"/>
                <w:sz w:val="21"/>
                <w:szCs w:val="21"/>
              </w:rPr>
            </w:pPr>
            <w:r>
              <w:rPr>
                <w:rFonts w:hAnsi="仿宋_GB2312" w:eastAsia="仿宋_GB2312"/>
                <w:sz w:val="21"/>
                <w:szCs w:val="21"/>
              </w:rPr>
              <w:t>危险性类别：</w:t>
            </w:r>
          </w:p>
        </w:tc>
        <w:tc>
          <w:tcPr>
            <w:tcW w:w="2918" w:type="dxa"/>
            <w:tcBorders>
              <w:right w:val="nil"/>
            </w:tcBorders>
            <w:noWrap/>
            <w:vAlign w:val="center"/>
          </w:tcPr>
          <w:p>
            <w:pPr>
              <w:widowControl w:val="0"/>
              <w:spacing w:after="0"/>
              <w:jc w:val="center"/>
              <w:rPr>
                <w:rFonts w:eastAsia="仿宋_GB2312"/>
                <w:sz w:val="21"/>
                <w:szCs w:val="21"/>
              </w:rPr>
            </w:pPr>
            <w:r>
              <w:rPr>
                <w:rFonts w:hAnsi="仿宋_GB2312" w:eastAsia="仿宋_GB2312"/>
                <w:sz w:val="21"/>
                <w:szCs w:val="21"/>
              </w:rPr>
              <w:t>第</w:t>
            </w:r>
            <w:r>
              <w:rPr>
                <w:rFonts w:eastAsia="仿宋_GB2312"/>
                <w:sz w:val="21"/>
                <w:szCs w:val="21"/>
              </w:rPr>
              <w:t>3.1</w:t>
            </w:r>
            <w:r>
              <w:rPr>
                <w:rFonts w:hAnsi="仿宋_GB2312" w:eastAsia="仿宋_GB2312"/>
                <w:sz w:val="21"/>
                <w:szCs w:val="21"/>
              </w:rPr>
              <w:t>类低闪点</w:t>
            </w:r>
          </w:p>
          <w:p>
            <w:pPr>
              <w:widowControl w:val="0"/>
              <w:spacing w:after="0"/>
              <w:jc w:val="center"/>
              <w:rPr>
                <w:rFonts w:eastAsia="仿宋_GB2312"/>
                <w:sz w:val="21"/>
                <w:szCs w:val="21"/>
              </w:rPr>
            </w:pPr>
            <w:r>
              <w:rPr>
                <w:rFonts w:hAnsi="仿宋_GB2312" w:eastAsia="仿宋_GB2312"/>
                <w:sz w:val="21"/>
                <w:szCs w:val="21"/>
              </w:rPr>
              <w:t>易燃液体</w:t>
            </w:r>
          </w:p>
        </w:tc>
        <w:tc>
          <w:tcPr>
            <w:tcW w:w="2609" w:type="dxa"/>
            <w:gridSpan w:val="2"/>
            <w:tcBorders>
              <w:right w:val="single" w:color="auto" w:sz="4" w:space="0"/>
            </w:tcBorders>
            <w:noWrap/>
            <w:vAlign w:val="center"/>
          </w:tcPr>
          <w:p>
            <w:pPr>
              <w:widowControl w:val="0"/>
              <w:spacing w:after="0"/>
              <w:jc w:val="center"/>
              <w:rPr>
                <w:rFonts w:eastAsia="仿宋_GB2312"/>
                <w:sz w:val="21"/>
                <w:szCs w:val="21"/>
              </w:rPr>
            </w:pPr>
            <w:r>
              <w:rPr>
                <w:rFonts w:hAnsi="仿宋_GB2312" w:eastAsia="仿宋_GB2312"/>
                <w:sz w:val="21"/>
                <w:szCs w:val="21"/>
              </w:rPr>
              <w:t>燃爆危险：</w:t>
            </w:r>
          </w:p>
        </w:tc>
        <w:tc>
          <w:tcPr>
            <w:tcW w:w="1302" w:type="dxa"/>
            <w:tcBorders>
              <w:left w:val="single" w:color="auto" w:sz="4" w:space="0"/>
            </w:tcBorders>
            <w:noWrap/>
            <w:vAlign w:val="center"/>
          </w:tcPr>
          <w:p>
            <w:pPr>
              <w:widowControl w:val="0"/>
              <w:spacing w:after="0"/>
              <w:jc w:val="center"/>
              <w:rPr>
                <w:rFonts w:eastAsia="仿宋_GB2312"/>
                <w:sz w:val="21"/>
                <w:szCs w:val="21"/>
              </w:rPr>
            </w:pPr>
            <w:r>
              <w:rPr>
                <w:rFonts w:hAnsi="仿宋_GB2312" w:eastAsia="仿宋_GB2312"/>
                <w:sz w:val="21"/>
                <w:szCs w:val="21"/>
              </w:rPr>
              <w:t>易燃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529" w:type="dxa"/>
            <w:noWrap/>
            <w:vAlign w:val="center"/>
          </w:tcPr>
          <w:p>
            <w:pPr>
              <w:widowControl w:val="0"/>
              <w:spacing w:after="0"/>
              <w:jc w:val="center"/>
              <w:rPr>
                <w:rFonts w:eastAsia="仿宋_GB2312"/>
                <w:sz w:val="21"/>
                <w:szCs w:val="21"/>
              </w:rPr>
            </w:pPr>
            <w:r>
              <w:rPr>
                <w:rFonts w:hAnsi="仿宋_GB2312" w:eastAsia="仿宋_GB2312"/>
                <w:sz w:val="21"/>
                <w:szCs w:val="21"/>
              </w:rPr>
              <w:t>侵入途径：</w:t>
            </w:r>
          </w:p>
        </w:tc>
        <w:tc>
          <w:tcPr>
            <w:tcW w:w="2918" w:type="dxa"/>
            <w:tcBorders>
              <w:right w:val="nil"/>
            </w:tcBorders>
            <w:noWrap/>
            <w:vAlign w:val="center"/>
          </w:tcPr>
          <w:p>
            <w:pPr>
              <w:widowControl w:val="0"/>
              <w:spacing w:after="0"/>
              <w:jc w:val="center"/>
              <w:rPr>
                <w:rFonts w:eastAsia="仿宋_GB2312"/>
                <w:sz w:val="21"/>
                <w:szCs w:val="21"/>
              </w:rPr>
            </w:pPr>
            <w:r>
              <w:rPr>
                <w:rFonts w:hAnsi="仿宋_GB2312" w:eastAsia="仿宋_GB2312"/>
                <w:sz w:val="21"/>
                <w:szCs w:val="21"/>
              </w:rPr>
              <w:t>吸入、食入、经皮肤吸收。</w:t>
            </w:r>
          </w:p>
        </w:tc>
        <w:tc>
          <w:tcPr>
            <w:tcW w:w="2609" w:type="dxa"/>
            <w:gridSpan w:val="2"/>
            <w:tcBorders>
              <w:right w:val="single" w:color="auto" w:sz="4" w:space="0"/>
            </w:tcBorders>
            <w:noWrap/>
            <w:vAlign w:val="center"/>
          </w:tcPr>
          <w:p>
            <w:pPr>
              <w:widowControl w:val="0"/>
              <w:spacing w:after="0"/>
              <w:jc w:val="center"/>
              <w:rPr>
                <w:rFonts w:eastAsia="仿宋_GB2312"/>
                <w:sz w:val="21"/>
                <w:szCs w:val="21"/>
              </w:rPr>
            </w:pPr>
            <w:r>
              <w:rPr>
                <w:rFonts w:hAnsi="仿宋_GB2312" w:eastAsia="仿宋_GB2312"/>
                <w:sz w:val="21"/>
                <w:szCs w:val="21"/>
              </w:rPr>
              <w:t>有害燃烧产物：</w:t>
            </w:r>
          </w:p>
        </w:tc>
        <w:tc>
          <w:tcPr>
            <w:tcW w:w="1302" w:type="dxa"/>
            <w:tcBorders>
              <w:left w:val="single" w:color="auto" w:sz="4" w:space="0"/>
            </w:tcBorders>
            <w:noWrap/>
            <w:vAlign w:val="center"/>
          </w:tcPr>
          <w:p>
            <w:pPr>
              <w:widowControl w:val="0"/>
              <w:spacing w:after="0"/>
              <w:jc w:val="center"/>
              <w:rPr>
                <w:rFonts w:eastAsia="仿宋_GB2312"/>
                <w:sz w:val="21"/>
                <w:szCs w:val="21"/>
              </w:rPr>
            </w:pPr>
            <w:r>
              <w:rPr>
                <w:rFonts w:hAnsi="仿宋_GB2312" w:eastAsia="仿宋_GB2312"/>
                <w:sz w:val="21"/>
                <w:szCs w:val="21"/>
              </w:rPr>
              <w:t>一氧化碳</w:t>
            </w:r>
          </w:p>
          <w:p>
            <w:pPr>
              <w:widowControl w:val="0"/>
              <w:spacing w:after="0"/>
              <w:jc w:val="center"/>
              <w:rPr>
                <w:rFonts w:eastAsia="仿宋_GB2312"/>
                <w:sz w:val="21"/>
                <w:szCs w:val="21"/>
              </w:rPr>
            </w:pPr>
            <w:r>
              <w:rPr>
                <w:rFonts w:hAnsi="仿宋_GB2312" w:eastAsia="仿宋_GB2312"/>
                <w:sz w:val="21"/>
                <w:szCs w:val="21"/>
              </w:rPr>
              <w:t>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4" w:hRule="atLeast"/>
          <w:jc w:val="center"/>
        </w:trPr>
        <w:tc>
          <w:tcPr>
            <w:tcW w:w="1529" w:type="dxa"/>
            <w:noWrap/>
            <w:vAlign w:val="center"/>
          </w:tcPr>
          <w:p>
            <w:pPr>
              <w:widowControl w:val="0"/>
              <w:spacing w:after="0"/>
              <w:jc w:val="center"/>
              <w:rPr>
                <w:rFonts w:eastAsia="仿宋_GB2312"/>
                <w:sz w:val="21"/>
                <w:szCs w:val="21"/>
              </w:rPr>
            </w:pPr>
            <w:r>
              <w:rPr>
                <w:rFonts w:hAnsi="仿宋_GB2312" w:eastAsia="仿宋_GB2312"/>
                <w:sz w:val="21"/>
                <w:szCs w:val="21"/>
              </w:rPr>
              <w:t>健康危害：</w:t>
            </w:r>
          </w:p>
        </w:tc>
        <w:tc>
          <w:tcPr>
            <w:tcW w:w="6829" w:type="dxa"/>
            <w:gridSpan w:val="4"/>
            <w:noWrap/>
            <w:vAlign w:val="center"/>
          </w:tcPr>
          <w:p>
            <w:pPr>
              <w:widowControl w:val="0"/>
              <w:spacing w:after="0"/>
              <w:jc w:val="center"/>
              <w:rPr>
                <w:rFonts w:eastAsia="仿宋_GB2312"/>
                <w:sz w:val="21"/>
                <w:szCs w:val="21"/>
              </w:rPr>
            </w:pPr>
            <w:r>
              <w:rPr>
                <w:rFonts w:hAnsi="仿宋_GB2312" w:eastAsia="仿宋_GB2312"/>
                <w:sz w:val="21"/>
                <w:szCs w:val="21"/>
              </w:rPr>
              <w:t>主要作用于中枢神经系统，急性中毒症状有头晕、头痛、恶心、呕吐、步态不稳。高浓度吸入出现中毒性脑病。极高浓度吸入引起意识突然丧失，反射性呼吸停止及化学性肺炎。可致角膜溃疡、穿孔、甚至失明。皮肤接触致急性接触性皮炎或过敏性皮炎。急性经口中毒引起急性胃肠炎，重者出现类似急性吸入中毒症状。慢性中毒：神经衰弱综合症，神经病，皮肤损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529" w:type="dxa"/>
            <w:noWrap/>
            <w:vAlign w:val="center"/>
          </w:tcPr>
          <w:p>
            <w:pPr>
              <w:widowControl w:val="0"/>
              <w:spacing w:after="0"/>
              <w:jc w:val="center"/>
              <w:rPr>
                <w:rFonts w:eastAsia="仿宋_GB2312"/>
                <w:sz w:val="21"/>
                <w:szCs w:val="21"/>
              </w:rPr>
            </w:pPr>
            <w:r>
              <w:rPr>
                <w:rFonts w:hAnsi="仿宋_GB2312" w:eastAsia="仿宋_GB2312"/>
                <w:sz w:val="21"/>
                <w:szCs w:val="21"/>
              </w:rPr>
              <w:t>环境危害：</w:t>
            </w:r>
          </w:p>
        </w:tc>
        <w:tc>
          <w:tcPr>
            <w:tcW w:w="6829" w:type="dxa"/>
            <w:gridSpan w:val="4"/>
            <w:noWrap/>
            <w:vAlign w:val="center"/>
          </w:tcPr>
          <w:p>
            <w:pPr>
              <w:widowControl w:val="0"/>
              <w:spacing w:after="0"/>
              <w:jc w:val="center"/>
              <w:rPr>
                <w:rFonts w:eastAsia="仿宋_GB2312"/>
                <w:sz w:val="21"/>
                <w:szCs w:val="21"/>
              </w:rPr>
            </w:pPr>
            <w:r>
              <w:rPr>
                <w:rFonts w:hAnsi="仿宋_GB2312" w:eastAsia="仿宋_GB2312"/>
                <w:sz w:val="21"/>
                <w:szCs w:val="21"/>
              </w:rPr>
              <w:t>该物质对环境有危害，应特别注意对地表水、土壤、大气和饮用水的污染。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8358" w:type="dxa"/>
            <w:gridSpan w:val="5"/>
            <w:noWrap/>
            <w:vAlign w:val="center"/>
          </w:tcPr>
          <w:p>
            <w:pPr>
              <w:widowControl w:val="0"/>
              <w:spacing w:after="0"/>
              <w:jc w:val="center"/>
              <w:rPr>
                <w:rFonts w:eastAsia="仿宋_GB2312"/>
                <w:sz w:val="21"/>
                <w:szCs w:val="21"/>
              </w:rPr>
            </w:pPr>
            <w:r>
              <w:rPr>
                <w:rFonts w:hAnsi="仿宋_GB2312" w:eastAsia="仿宋_GB2312"/>
                <w:sz w:val="21"/>
                <w:szCs w:val="21"/>
              </w:rPr>
              <w:t>第二部分理化特性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529" w:type="dxa"/>
            <w:noWrap/>
            <w:vAlign w:val="center"/>
          </w:tcPr>
          <w:p>
            <w:pPr>
              <w:widowControl w:val="0"/>
              <w:spacing w:after="0"/>
              <w:jc w:val="center"/>
              <w:rPr>
                <w:rFonts w:eastAsia="仿宋_GB2312"/>
                <w:sz w:val="21"/>
                <w:szCs w:val="21"/>
              </w:rPr>
            </w:pPr>
            <w:r>
              <w:rPr>
                <w:rFonts w:hAnsi="仿宋_GB2312" w:eastAsia="仿宋_GB2312"/>
                <w:sz w:val="21"/>
                <w:szCs w:val="21"/>
              </w:rPr>
              <w:t>外观及性状：</w:t>
            </w:r>
          </w:p>
        </w:tc>
        <w:tc>
          <w:tcPr>
            <w:tcW w:w="6829" w:type="dxa"/>
            <w:gridSpan w:val="4"/>
            <w:noWrap/>
            <w:vAlign w:val="center"/>
          </w:tcPr>
          <w:p>
            <w:pPr>
              <w:widowControl w:val="0"/>
              <w:spacing w:after="0"/>
              <w:jc w:val="center"/>
              <w:rPr>
                <w:rFonts w:eastAsia="仿宋_GB2312"/>
                <w:sz w:val="21"/>
                <w:szCs w:val="21"/>
              </w:rPr>
            </w:pPr>
            <w:r>
              <w:rPr>
                <w:rFonts w:hAnsi="仿宋_GB2312" w:eastAsia="仿宋_GB2312"/>
                <w:sz w:val="21"/>
                <w:szCs w:val="21"/>
              </w:rPr>
              <w:t>无色或淡黄色易挥发液体，具有特殊臭味。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529" w:type="dxa"/>
            <w:noWrap/>
            <w:vAlign w:val="center"/>
          </w:tcPr>
          <w:p>
            <w:pPr>
              <w:widowControl w:val="0"/>
              <w:spacing w:after="0"/>
              <w:jc w:val="center"/>
              <w:rPr>
                <w:rFonts w:eastAsia="仿宋_GB2312"/>
                <w:sz w:val="21"/>
                <w:szCs w:val="21"/>
              </w:rPr>
            </w:pPr>
            <w:r>
              <w:rPr>
                <w:rFonts w:hAnsi="仿宋_GB2312" w:eastAsia="仿宋_GB2312"/>
                <w:sz w:val="21"/>
                <w:szCs w:val="21"/>
              </w:rPr>
              <w:t>熔点（℃）：</w:t>
            </w:r>
          </w:p>
        </w:tc>
        <w:tc>
          <w:tcPr>
            <w:tcW w:w="2918" w:type="dxa"/>
            <w:noWrap/>
            <w:vAlign w:val="center"/>
          </w:tcPr>
          <w:p>
            <w:pPr>
              <w:widowControl w:val="0"/>
              <w:spacing w:after="0"/>
              <w:jc w:val="center"/>
              <w:rPr>
                <w:rFonts w:eastAsia="仿宋_GB2312"/>
                <w:sz w:val="21"/>
                <w:szCs w:val="21"/>
              </w:rPr>
            </w:pPr>
            <w:r>
              <w:rPr>
                <w:rFonts w:eastAsia="仿宋_GB2312"/>
                <w:sz w:val="21"/>
                <w:szCs w:val="21"/>
              </w:rPr>
              <w:t>&lt;-60</w:t>
            </w:r>
          </w:p>
        </w:tc>
        <w:tc>
          <w:tcPr>
            <w:tcW w:w="2251" w:type="dxa"/>
            <w:noWrap/>
            <w:vAlign w:val="center"/>
          </w:tcPr>
          <w:p>
            <w:pPr>
              <w:widowControl w:val="0"/>
              <w:spacing w:after="0"/>
              <w:jc w:val="center"/>
              <w:rPr>
                <w:rFonts w:eastAsia="仿宋_GB2312"/>
                <w:sz w:val="21"/>
                <w:szCs w:val="21"/>
              </w:rPr>
            </w:pPr>
            <w:r>
              <w:rPr>
                <w:rFonts w:hAnsi="仿宋_GB2312" w:eastAsia="仿宋_GB2312"/>
                <w:sz w:val="21"/>
                <w:szCs w:val="21"/>
              </w:rPr>
              <w:t>相对密度（水＝</w:t>
            </w:r>
            <w:r>
              <w:rPr>
                <w:rFonts w:eastAsia="仿宋_GB2312"/>
                <w:sz w:val="21"/>
                <w:szCs w:val="21"/>
              </w:rPr>
              <w:t>1</w:t>
            </w:r>
            <w:r>
              <w:rPr>
                <w:rFonts w:hAnsi="仿宋_GB2312" w:eastAsia="仿宋_GB2312"/>
                <w:sz w:val="21"/>
                <w:szCs w:val="21"/>
              </w:rPr>
              <w:t>）</w:t>
            </w:r>
          </w:p>
        </w:tc>
        <w:tc>
          <w:tcPr>
            <w:tcW w:w="1660" w:type="dxa"/>
            <w:gridSpan w:val="2"/>
            <w:noWrap/>
            <w:vAlign w:val="center"/>
          </w:tcPr>
          <w:p>
            <w:pPr>
              <w:widowControl w:val="0"/>
              <w:spacing w:after="0"/>
              <w:jc w:val="center"/>
              <w:rPr>
                <w:rFonts w:eastAsia="仿宋_GB2312"/>
                <w:sz w:val="21"/>
                <w:szCs w:val="21"/>
              </w:rPr>
            </w:pPr>
            <w:r>
              <w:rPr>
                <w:rFonts w:eastAsia="仿宋_GB2312"/>
                <w:sz w:val="21"/>
                <w:szCs w:val="21"/>
              </w:rPr>
              <w:t>0.70</w:t>
            </w:r>
            <w:r>
              <w:rPr>
                <w:rFonts w:hAnsi="仿宋_GB2312" w:eastAsia="仿宋_GB2312"/>
                <w:sz w:val="21"/>
                <w:szCs w:val="21"/>
              </w:rPr>
              <w:t>～</w:t>
            </w:r>
            <w:r>
              <w:rPr>
                <w:rFonts w:eastAsia="仿宋_GB2312"/>
                <w:sz w:val="21"/>
                <w:szCs w:val="21"/>
              </w:rPr>
              <w:t>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529" w:type="dxa"/>
            <w:noWrap/>
            <w:vAlign w:val="center"/>
          </w:tcPr>
          <w:p>
            <w:pPr>
              <w:widowControl w:val="0"/>
              <w:spacing w:after="0"/>
              <w:jc w:val="center"/>
              <w:rPr>
                <w:rFonts w:eastAsia="仿宋_GB2312"/>
                <w:sz w:val="21"/>
                <w:szCs w:val="21"/>
              </w:rPr>
            </w:pPr>
            <w:r>
              <w:rPr>
                <w:rFonts w:hAnsi="仿宋_GB2312" w:eastAsia="仿宋_GB2312"/>
                <w:sz w:val="21"/>
                <w:szCs w:val="21"/>
              </w:rPr>
              <w:t>闪点（℃）：</w:t>
            </w:r>
          </w:p>
        </w:tc>
        <w:tc>
          <w:tcPr>
            <w:tcW w:w="2918" w:type="dxa"/>
            <w:noWrap/>
            <w:vAlign w:val="center"/>
          </w:tcPr>
          <w:p>
            <w:pPr>
              <w:widowControl w:val="0"/>
              <w:spacing w:after="0"/>
              <w:jc w:val="center"/>
              <w:rPr>
                <w:rFonts w:eastAsia="仿宋_GB2312"/>
                <w:sz w:val="21"/>
                <w:szCs w:val="21"/>
              </w:rPr>
            </w:pPr>
            <w:r>
              <w:rPr>
                <w:rFonts w:eastAsia="仿宋_GB2312"/>
                <w:sz w:val="21"/>
                <w:szCs w:val="21"/>
              </w:rPr>
              <w:t>-50</w:t>
            </w:r>
          </w:p>
        </w:tc>
        <w:tc>
          <w:tcPr>
            <w:tcW w:w="2251" w:type="dxa"/>
            <w:noWrap/>
            <w:vAlign w:val="center"/>
          </w:tcPr>
          <w:p>
            <w:pPr>
              <w:widowControl w:val="0"/>
              <w:spacing w:after="0"/>
              <w:jc w:val="center"/>
              <w:rPr>
                <w:rFonts w:eastAsia="仿宋_GB2312"/>
                <w:sz w:val="21"/>
                <w:szCs w:val="21"/>
              </w:rPr>
            </w:pPr>
            <w:r>
              <w:rPr>
                <w:rFonts w:hAnsi="仿宋_GB2312" w:eastAsia="仿宋_GB2312"/>
                <w:sz w:val="21"/>
                <w:szCs w:val="21"/>
              </w:rPr>
              <w:t>相对密度（空气</w:t>
            </w:r>
            <w:r>
              <w:rPr>
                <w:rFonts w:eastAsia="仿宋_GB2312"/>
                <w:sz w:val="21"/>
                <w:szCs w:val="21"/>
              </w:rPr>
              <w:t>=1</w:t>
            </w:r>
            <w:r>
              <w:rPr>
                <w:rFonts w:hAnsi="仿宋_GB2312" w:eastAsia="仿宋_GB2312"/>
                <w:sz w:val="21"/>
                <w:szCs w:val="21"/>
              </w:rPr>
              <w:t>）</w:t>
            </w:r>
          </w:p>
        </w:tc>
        <w:tc>
          <w:tcPr>
            <w:tcW w:w="1660" w:type="dxa"/>
            <w:gridSpan w:val="2"/>
            <w:noWrap/>
            <w:vAlign w:val="center"/>
          </w:tcPr>
          <w:p>
            <w:pPr>
              <w:widowControl w:val="0"/>
              <w:spacing w:after="0"/>
              <w:jc w:val="center"/>
              <w:rPr>
                <w:rFonts w:eastAsia="仿宋_GB2312"/>
                <w:sz w:val="21"/>
                <w:szCs w:val="21"/>
              </w:rPr>
            </w:pPr>
            <w:r>
              <w:rPr>
                <w:rFonts w:eastAsia="仿宋_GB2312"/>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529" w:type="dxa"/>
            <w:noWrap/>
            <w:vAlign w:val="center"/>
          </w:tcPr>
          <w:p>
            <w:pPr>
              <w:widowControl w:val="0"/>
              <w:spacing w:after="0"/>
              <w:jc w:val="center"/>
              <w:rPr>
                <w:rFonts w:eastAsia="仿宋_GB2312"/>
                <w:sz w:val="21"/>
                <w:szCs w:val="21"/>
              </w:rPr>
            </w:pPr>
            <w:r>
              <w:rPr>
                <w:rFonts w:hAnsi="仿宋_GB2312" w:eastAsia="仿宋_GB2312"/>
                <w:sz w:val="21"/>
                <w:szCs w:val="21"/>
              </w:rPr>
              <w:t>引燃温度（℃）：</w:t>
            </w:r>
          </w:p>
        </w:tc>
        <w:tc>
          <w:tcPr>
            <w:tcW w:w="2918" w:type="dxa"/>
            <w:noWrap/>
            <w:vAlign w:val="center"/>
          </w:tcPr>
          <w:p>
            <w:pPr>
              <w:widowControl w:val="0"/>
              <w:spacing w:after="0"/>
              <w:jc w:val="center"/>
              <w:rPr>
                <w:rFonts w:eastAsia="仿宋_GB2312"/>
                <w:sz w:val="21"/>
                <w:szCs w:val="21"/>
              </w:rPr>
            </w:pPr>
            <w:r>
              <w:rPr>
                <w:rFonts w:eastAsia="仿宋_GB2312"/>
                <w:sz w:val="21"/>
                <w:szCs w:val="21"/>
              </w:rPr>
              <w:t>415</w:t>
            </w:r>
            <w:r>
              <w:rPr>
                <w:rFonts w:hAnsi="仿宋_GB2312" w:eastAsia="仿宋_GB2312"/>
                <w:sz w:val="21"/>
                <w:szCs w:val="21"/>
              </w:rPr>
              <w:t>～</w:t>
            </w:r>
            <w:r>
              <w:rPr>
                <w:rFonts w:eastAsia="仿宋_GB2312"/>
                <w:sz w:val="21"/>
                <w:szCs w:val="21"/>
              </w:rPr>
              <w:t>530</w:t>
            </w:r>
          </w:p>
        </w:tc>
        <w:tc>
          <w:tcPr>
            <w:tcW w:w="2251" w:type="dxa"/>
            <w:noWrap/>
            <w:vAlign w:val="center"/>
          </w:tcPr>
          <w:p>
            <w:pPr>
              <w:widowControl w:val="0"/>
              <w:spacing w:after="0"/>
              <w:jc w:val="center"/>
              <w:rPr>
                <w:rFonts w:eastAsia="仿宋_GB2312"/>
                <w:sz w:val="21"/>
                <w:szCs w:val="21"/>
              </w:rPr>
            </w:pPr>
            <w:r>
              <w:rPr>
                <w:rFonts w:hAnsi="仿宋_GB2312" w:eastAsia="仿宋_GB2312"/>
                <w:sz w:val="21"/>
                <w:szCs w:val="21"/>
              </w:rPr>
              <w:t>爆炸上限％（</w:t>
            </w:r>
            <w:r>
              <w:rPr>
                <w:rFonts w:eastAsia="仿宋_GB2312"/>
                <w:sz w:val="21"/>
                <w:szCs w:val="21"/>
              </w:rPr>
              <w:t>V/V</w:t>
            </w:r>
            <w:r>
              <w:rPr>
                <w:rFonts w:hAnsi="仿宋_GB2312" w:eastAsia="仿宋_GB2312"/>
                <w:sz w:val="21"/>
                <w:szCs w:val="21"/>
              </w:rPr>
              <w:t>）：</w:t>
            </w:r>
          </w:p>
        </w:tc>
        <w:tc>
          <w:tcPr>
            <w:tcW w:w="1660" w:type="dxa"/>
            <w:gridSpan w:val="2"/>
            <w:noWrap/>
            <w:vAlign w:val="center"/>
          </w:tcPr>
          <w:p>
            <w:pPr>
              <w:widowControl w:val="0"/>
              <w:spacing w:after="0"/>
              <w:jc w:val="center"/>
              <w:rPr>
                <w:rFonts w:eastAsia="仿宋_GB2312"/>
                <w:sz w:val="21"/>
                <w:szCs w:val="21"/>
              </w:rPr>
            </w:pPr>
            <w:r>
              <w:rPr>
                <w:rFonts w:eastAsia="仿宋_GB2312"/>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529" w:type="dxa"/>
            <w:noWrap/>
            <w:vAlign w:val="center"/>
          </w:tcPr>
          <w:p>
            <w:pPr>
              <w:widowControl w:val="0"/>
              <w:spacing w:after="0"/>
              <w:jc w:val="center"/>
              <w:rPr>
                <w:rFonts w:eastAsia="仿宋_GB2312"/>
                <w:sz w:val="21"/>
                <w:szCs w:val="21"/>
              </w:rPr>
            </w:pPr>
            <w:r>
              <w:rPr>
                <w:rFonts w:hAnsi="仿宋_GB2312" w:eastAsia="仿宋_GB2312"/>
                <w:sz w:val="21"/>
                <w:szCs w:val="21"/>
              </w:rPr>
              <w:t>沸点（℃）：</w:t>
            </w:r>
          </w:p>
        </w:tc>
        <w:tc>
          <w:tcPr>
            <w:tcW w:w="2918" w:type="dxa"/>
            <w:noWrap/>
            <w:vAlign w:val="center"/>
          </w:tcPr>
          <w:p>
            <w:pPr>
              <w:widowControl w:val="0"/>
              <w:spacing w:after="0"/>
              <w:jc w:val="center"/>
              <w:rPr>
                <w:rFonts w:eastAsia="仿宋_GB2312"/>
                <w:sz w:val="21"/>
                <w:szCs w:val="21"/>
              </w:rPr>
            </w:pPr>
            <w:r>
              <w:rPr>
                <w:rFonts w:eastAsia="仿宋_GB2312"/>
                <w:sz w:val="21"/>
                <w:szCs w:val="21"/>
              </w:rPr>
              <w:t>40</w:t>
            </w:r>
            <w:r>
              <w:rPr>
                <w:rFonts w:hAnsi="仿宋_GB2312" w:eastAsia="仿宋_GB2312"/>
                <w:sz w:val="21"/>
                <w:szCs w:val="21"/>
              </w:rPr>
              <w:t>～</w:t>
            </w:r>
            <w:r>
              <w:rPr>
                <w:rFonts w:eastAsia="仿宋_GB2312"/>
                <w:sz w:val="21"/>
                <w:szCs w:val="21"/>
              </w:rPr>
              <w:t>200</w:t>
            </w:r>
          </w:p>
        </w:tc>
        <w:tc>
          <w:tcPr>
            <w:tcW w:w="2251" w:type="dxa"/>
            <w:noWrap/>
            <w:vAlign w:val="center"/>
          </w:tcPr>
          <w:p>
            <w:pPr>
              <w:widowControl w:val="0"/>
              <w:spacing w:after="0"/>
              <w:jc w:val="center"/>
              <w:rPr>
                <w:rFonts w:eastAsia="仿宋_GB2312"/>
                <w:sz w:val="21"/>
                <w:szCs w:val="21"/>
              </w:rPr>
            </w:pPr>
            <w:r>
              <w:rPr>
                <w:rFonts w:hAnsi="仿宋_GB2312" w:eastAsia="仿宋_GB2312"/>
                <w:sz w:val="21"/>
                <w:szCs w:val="21"/>
              </w:rPr>
              <w:t>爆炸下限％（</w:t>
            </w:r>
            <w:r>
              <w:rPr>
                <w:rFonts w:eastAsia="仿宋_GB2312"/>
                <w:sz w:val="21"/>
                <w:szCs w:val="21"/>
              </w:rPr>
              <w:t>V/V</w:t>
            </w:r>
            <w:r>
              <w:rPr>
                <w:rFonts w:hAnsi="仿宋_GB2312" w:eastAsia="仿宋_GB2312"/>
                <w:sz w:val="21"/>
                <w:szCs w:val="21"/>
              </w:rPr>
              <w:t>）：</w:t>
            </w:r>
          </w:p>
        </w:tc>
        <w:tc>
          <w:tcPr>
            <w:tcW w:w="1660" w:type="dxa"/>
            <w:gridSpan w:val="2"/>
            <w:noWrap/>
            <w:vAlign w:val="center"/>
          </w:tcPr>
          <w:p>
            <w:pPr>
              <w:widowControl w:val="0"/>
              <w:spacing w:after="0"/>
              <w:jc w:val="center"/>
              <w:rPr>
                <w:rFonts w:eastAsia="仿宋_GB2312"/>
                <w:sz w:val="21"/>
                <w:szCs w:val="21"/>
              </w:rPr>
            </w:pPr>
            <w:r>
              <w:rPr>
                <w:rFonts w:eastAsia="仿宋_GB2312"/>
                <w:sz w:val="21"/>
                <w:szCs w:val="21"/>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529" w:type="dxa"/>
            <w:noWrap/>
            <w:vAlign w:val="center"/>
          </w:tcPr>
          <w:p>
            <w:pPr>
              <w:widowControl w:val="0"/>
              <w:spacing w:after="0"/>
              <w:jc w:val="center"/>
              <w:rPr>
                <w:rFonts w:eastAsia="仿宋_GB2312"/>
                <w:sz w:val="21"/>
                <w:szCs w:val="21"/>
              </w:rPr>
            </w:pPr>
            <w:r>
              <w:rPr>
                <w:rFonts w:hAnsi="仿宋_GB2312" w:eastAsia="仿宋_GB2312"/>
                <w:sz w:val="21"/>
                <w:szCs w:val="21"/>
              </w:rPr>
              <w:t>溶解性：</w:t>
            </w:r>
          </w:p>
        </w:tc>
        <w:tc>
          <w:tcPr>
            <w:tcW w:w="6829" w:type="dxa"/>
            <w:gridSpan w:val="4"/>
            <w:noWrap/>
            <w:vAlign w:val="center"/>
          </w:tcPr>
          <w:p>
            <w:pPr>
              <w:widowControl w:val="0"/>
              <w:spacing w:after="0"/>
              <w:jc w:val="center"/>
              <w:rPr>
                <w:rFonts w:eastAsia="仿宋_GB2312"/>
                <w:sz w:val="21"/>
                <w:szCs w:val="21"/>
              </w:rPr>
            </w:pPr>
            <w:r>
              <w:rPr>
                <w:rFonts w:hAnsi="仿宋_GB2312" w:eastAsia="仿宋_GB2312"/>
                <w:sz w:val="21"/>
                <w:szCs w:val="21"/>
              </w:rPr>
              <w:t>不溶于水、易溶于苯、二硫化碳、醇、易溶于脂肪。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529" w:type="dxa"/>
            <w:noWrap/>
            <w:vAlign w:val="center"/>
          </w:tcPr>
          <w:p>
            <w:pPr>
              <w:widowControl w:val="0"/>
              <w:spacing w:after="0"/>
              <w:jc w:val="center"/>
              <w:rPr>
                <w:rFonts w:eastAsia="仿宋_GB2312"/>
                <w:sz w:val="21"/>
                <w:szCs w:val="21"/>
              </w:rPr>
            </w:pPr>
            <w:r>
              <w:rPr>
                <w:rFonts w:hAnsi="仿宋_GB2312" w:eastAsia="仿宋_GB2312"/>
                <w:sz w:val="21"/>
                <w:szCs w:val="21"/>
              </w:rPr>
              <w:t>主要用途：</w:t>
            </w:r>
          </w:p>
        </w:tc>
        <w:tc>
          <w:tcPr>
            <w:tcW w:w="6829" w:type="dxa"/>
            <w:gridSpan w:val="4"/>
            <w:noWrap/>
            <w:vAlign w:val="center"/>
          </w:tcPr>
          <w:p>
            <w:pPr>
              <w:widowControl w:val="0"/>
              <w:spacing w:after="0"/>
              <w:jc w:val="center"/>
              <w:rPr>
                <w:rFonts w:eastAsia="仿宋_GB2312"/>
                <w:sz w:val="21"/>
                <w:szCs w:val="21"/>
              </w:rPr>
            </w:pPr>
            <w:r>
              <w:rPr>
                <w:rFonts w:hAnsi="仿宋_GB2312" w:eastAsia="仿宋_GB2312"/>
                <w:sz w:val="21"/>
                <w:szCs w:val="21"/>
              </w:rPr>
              <w:t>主要用作汽油机的燃料，用于橡胶、制鞋、印刷、制革、等行业，也可用作机械零件的去污剂。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8358" w:type="dxa"/>
            <w:gridSpan w:val="5"/>
            <w:noWrap/>
            <w:vAlign w:val="center"/>
          </w:tcPr>
          <w:p>
            <w:pPr>
              <w:widowControl w:val="0"/>
              <w:spacing w:after="0"/>
              <w:jc w:val="center"/>
              <w:rPr>
                <w:rFonts w:eastAsia="仿宋_GB2312"/>
                <w:sz w:val="21"/>
                <w:szCs w:val="21"/>
              </w:rPr>
            </w:pPr>
            <w:r>
              <w:rPr>
                <w:rFonts w:hAnsi="仿宋_GB2312" w:eastAsia="仿宋_GB2312"/>
                <w:sz w:val="21"/>
                <w:szCs w:val="21"/>
              </w:rPr>
              <w:t>第三部分稳定性及化学活性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529" w:type="dxa"/>
            <w:noWrap/>
            <w:vAlign w:val="center"/>
          </w:tcPr>
          <w:p>
            <w:pPr>
              <w:widowControl w:val="0"/>
              <w:spacing w:after="0"/>
              <w:jc w:val="center"/>
              <w:rPr>
                <w:rFonts w:eastAsia="仿宋_GB2312"/>
                <w:sz w:val="21"/>
                <w:szCs w:val="21"/>
              </w:rPr>
            </w:pPr>
            <w:r>
              <w:rPr>
                <w:rFonts w:hAnsi="仿宋_GB2312" w:eastAsia="仿宋_GB2312"/>
                <w:sz w:val="21"/>
                <w:szCs w:val="21"/>
              </w:rPr>
              <w:t>稳定性：</w:t>
            </w:r>
          </w:p>
        </w:tc>
        <w:tc>
          <w:tcPr>
            <w:tcW w:w="2918" w:type="dxa"/>
            <w:noWrap/>
            <w:vAlign w:val="center"/>
          </w:tcPr>
          <w:p>
            <w:pPr>
              <w:widowControl w:val="0"/>
              <w:spacing w:after="0"/>
              <w:jc w:val="center"/>
              <w:rPr>
                <w:rFonts w:eastAsia="仿宋_GB2312"/>
                <w:sz w:val="21"/>
                <w:szCs w:val="21"/>
              </w:rPr>
            </w:pPr>
            <w:r>
              <w:rPr>
                <w:rFonts w:hAnsi="仿宋_GB2312" w:eastAsia="仿宋_GB2312"/>
                <w:sz w:val="21"/>
                <w:szCs w:val="21"/>
              </w:rPr>
              <w:t>稳定</w:t>
            </w:r>
          </w:p>
        </w:tc>
        <w:tc>
          <w:tcPr>
            <w:tcW w:w="2251" w:type="dxa"/>
            <w:noWrap/>
            <w:vAlign w:val="center"/>
          </w:tcPr>
          <w:p>
            <w:pPr>
              <w:widowControl w:val="0"/>
              <w:spacing w:after="0"/>
              <w:jc w:val="center"/>
              <w:rPr>
                <w:rFonts w:eastAsia="仿宋_GB2312"/>
                <w:sz w:val="21"/>
                <w:szCs w:val="21"/>
              </w:rPr>
            </w:pPr>
            <w:r>
              <w:rPr>
                <w:rFonts w:hAnsi="仿宋_GB2312" w:eastAsia="仿宋_GB2312"/>
                <w:sz w:val="21"/>
                <w:szCs w:val="21"/>
              </w:rPr>
              <w:t>避免接触的条件：</w:t>
            </w:r>
          </w:p>
        </w:tc>
        <w:tc>
          <w:tcPr>
            <w:tcW w:w="1660" w:type="dxa"/>
            <w:gridSpan w:val="2"/>
            <w:noWrap/>
            <w:vAlign w:val="center"/>
          </w:tcPr>
          <w:p>
            <w:pPr>
              <w:widowControl w:val="0"/>
              <w:spacing w:after="0"/>
              <w:jc w:val="center"/>
              <w:rPr>
                <w:rFonts w:eastAsia="仿宋_GB2312"/>
                <w:sz w:val="21"/>
                <w:szCs w:val="21"/>
              </w:rPr>
            </w:pPr>
            <w:r>
              <w:rPr>
                <w:rFonts w:hAnsi="仿宋_GB2312" w:eastAsia="仿宋_GB2312"/>
                <w:sz w:val="21"/>
                <w:szCs w:val="21"/>
              </w:rPr>
              <w:t>明火、高热。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529" w:type="dxa"/>
            <w:noWrap/>
            <w:vAlign w:val="center"/>
          </w:tcPr>
          <w:p>
            <w:pPr>
              <w:widowControl w:val="0"/>
              <w:spacing w:after="0"/>
              <w:jc w:val="center"/>
              <w:rPr>
                <w:rFonts w:eastAsia="仿宋_GB2312"/>
                <w:sz w:val="21"/>
                <w:szCs w:val="21"/>
              </w:rPr>
            </w:pPr>
            <w:r>
              <w:rPr>
                <w:rFonts w:hAnsi="仿宋_GB2312" w:eastAsia="仿宋_GB2312"/>
                <w:sz w:val="21"/>
                <w:szCs w:val="21"/>
              </w:rPr>
              <w:t>禁配物：</w:t>
            </w:r>
          </w:p>
        </w:tc>
        <w:tc>
          <w:tcPr>
            <w:tcW w:w="2918" w:type="dxa"/>
            <w:noWrap/>
            <w:vAlign w:val="center"/>
          </w:tcPr>
          <w:p>
            <w:pPr>
              <w:widowControl w:val="0"/>
              <w:spacing w:after="0"/>
              <w:jc w:val="center"/>
              <w:rPr>
                <w:rFonts w:eastAsia="仿宋_GB2312"/>
                <w:sz w:val="21"/>
                <w:szCs w:val="21"/>
              </w:rPr>
            </w:pPr>
            <w:r>
              <w:rPr>
                <w:rFonts w:hAnsi="仿宋_GB2312" w:eastAsia="仿宋_GB2312"/>
                <w:sz w:val="21"/>
                <w:szCs w:val="21"/>
              </w:rPr>
              <w:t>强氧化剂</w:t>
            </w:r>
          </w:p>
        </w:tc>
        <w:tc>
          <w:tcPr>
            <w:tcW w:w="2251" w:type="dxa"/>
            <w:noWrap/>
            <w:vAlign w:val="center"/>
          </w:tcPr>
          <w:p>
            <w:pPr>
              <w:widowControl w:val="0"/>
              <w:spacing w:after="0"/>
              <w:jc w:val="center"/>
              <w:rPr>
                <w:rFonts w:eastAsia="仿宋_GB2312"/>
                <w:sz w:val="21"/>
                <w:szCs w:val="21"/>
              </w:rPr>
            </w:pPr>
            <w:r>
              <w:rPr>
                <w:rFonts w:hAnsi="仿宋_GB2312" w:eastAsia="仿宋_GB2312"/>
                <w:sz w:val="21"/>
                <w:szCs w:val="21"/>
              </w:rPr>
              <w:t>聚合危害：</w:t>
            </w:r>
          </w:p>
        </w:tc>
        <w:tc>
          <w:tcPr>
            <w:tcW w:w="1660" w:type="dxa"/>
            <w:gridSpan w:val="2"/>
            <w:noWrap/>
            <w:vAlign w:val="center"/>
          </w:tcPr>
          <w:p>
            <w:pPr>
              <w:widowControl w:val="0"/>
              <w:spacing w:after="0"/>
              <w:jc w:val="center"/>
              <w:rPr>
                <w:rFonts w:eastAsia="仿宋_GB2312"/>
                <w:sz w:val="21"/>
                <w:szCs w:val="21"/>
              </w:rPr>
            </w:pPr>
            <w:r>
              <w:rPr>
                <w:rFonts w:hAnsi="仿宋_GB2312" w:eastAsia="仿宋_GB2312"/>
                <w:sz w:val="21"/>
                <w:szCs w:val="21"/>
              </w:rPr>
              <w:t>不聚合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529" w:type="dxa"/>
            <w:tcBorders>
              <w:bottom w:val="nil"/>
            </w:tcBorders>
            <w:noWrap/>
            <w:vAlign w:val="center"/>
          </w:tcPr>
          <w:p>
            <w:pPr>
              <w:widowControl w:val="0"/>
              <w:spacing w:after="0"/>
              <w:jc w:val="center"/>
              <w:rPr>
                <w:rFonts w:eastAsia="仿宋_GB2312"/>
                <w:sz w:val="21"/>
                <w:szCs w:val="21"/>
              </w:rPr>
            </w:pPr>
            <w:r>
              <w:rPr>
                <w:rFonts w:hAnsi="仿宋_GB2312" w:eastAsia="仿宋_GB2312"/>
                <w:sz w:val="21"/>
                <w:szCs w:val="21"/>
              </w:rPr>
              <w:t>分解产物：</w:t>
            </w:r>
          </w:p>
        </w:tc>
        <w:tc>
          <w:tcPr>
            <w:tcW w:w="6829" w:type="dxa"/>
            <w:gridSpan w:val="4"/>
            <w:tcBorders>
              <w:bottom w:val="nil"/>
            </w:tcBorders>
            <w:noWrap/>
            <w:vAlign w:val="center"/>
          </w:tcPr>
          <w:p>
            <w:pPr>
              <w:widowControl w:val="0"/>
              <w:spacing w:after="0"/>
              <w:jc w:val="center"/>
              <w:rPr>
                <w:rFonts w:eastAsia="仿宋_GB2312"/>
                <w:sz w:val="21"/>
                <w:szCs w:val="21"/>
              </w:rPr>
            </w:pPr>
            <w:r>
              <w:rPr>
                <w:rFonts w:hAnsi="仿宋_GB2312" w:eastAsia="仿宋_GB2312"/>
                <w:sz w:val="21"/>
                <w:szCs w:val="21"/>
              </w:rPr>
              <w:t>一氧化碳、二氧化碳。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8358" w:type="dxa"/>
            <w:gridSpan w:val="5"/>
            <w:noWrap/>
            <w:vAlign w:val="center"/>
          </w:tcPr>
          <w:p>
            <w:pPr>
              <w:widowControl w:val="0"/>
              <w:spacing w:after="0"/>
              <w:jc w:val="center"/>
              <w:rPr>
                <w:rFonts w:eastAsia="仿宋_GB2312"/>
                <w:sz w:val="21"/>
                <w:szCs w:val="21"/>
              </w:rPr>
            </w:pPr>
            <w:r>
              <w:rPr>
                <w:rFonts w:hAnsi="仿宋_GB2312" w:eastAsia="仿宋_GB2312"/>
                <w:sz w:val="21"/>
                <w:szCs w:val="21"/>
              </w:rPr>
              <w:t>第四部分毒理学资料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529" w:type="dxa"/>
            <w:noWrap/>
            <w:vAlign w:val="center"/>
          </w:tcPr>
          <w:p>
            <w:pPr>
              <w:widowControl w:val="0"/>
              <w:spacing w:after="0"/>
              <w:jc w:val="center"/>
              <w:rPr>
                <w:rFonts w:eastAsia="仿宋_GB2312"/>
                <w:sz w:val="21"/>
                <w:szCs w:val="21"/>
              </w:rPr>
            </w:pPr>
            <w:r>
              <w:rPr>
                <w:rFonts w:hAnsi="仿宋_GB2312" w:eastAsia="仿宋_GB2312"/>
                <w:sz w:val="21"/>
                <w:szCs w:val="21"/>
              </w:rPr>
              <w:t>急性毒性：</w:t>
            </w:r>
          </w:p>
        </w:tc>
        <w:tc>
          <w:tcPr>
            <w:tcW w:w="6829" w:type="dxa"/>
            <w:gridSpan w:val="4"/>
            <w:noWrap/>
            <w:vAlign w:val="center"/>
          </w:tcPr>
          <w:p>
            <w:pPr>
              <w:widowControl w:val="0"/>
              <w:spacing w:after="0"/>
              <w:jc w:val="center"/>
              <w:rPr>
                <w:rFonts w:eastAsia="仿宋_GB2312"/>
                <w:sz w:val="21"/>
                <w:szCs w:val="21"/>
              </w:rPr>
            </w:pPr>
            <w:r>
              <w:rPr>
                <w:rFonts w:eastAsia="仿宋_GB2312"/>
                <w:sz w:val="21"/>
                <w:szCs w:val="21"/>
              </w:rPr>
              <w:t>LD50 67000mg/kg</w:t>
            </w:r>
            <w:r>
              <w:rPr>
                <w:rFonts w:hAnsi="仿宋_GB2312" w:eastAsia="仿宋_GB2312"/>
                <w:sz w:val="21"/>
                <w:szCs w:val="21"/>
              </w:rPr>
              <w:t>（小鼠经口），（</w:t>
            </w:r>
            <w:r>
              <w:rPr>
                <w:rFonts w:eastAsia="仿宋_GB2312"/>
                <w:sz w:val="21"/>
                <w:szCs w:val="21"/>
              </w:rPr>
              <w:t>120</w:t>
            </w:r>
            <w:r>
              <w:rPr>
                <w:rFonts w:hAnsi="仿宋_GB2312" w:eastAsia="仿宋_GB2312"/>
                <w:sz w:val="21"/>
                <w:szCs w:val="21"/>
              </w:rPr>
              <w:t>号溶剂汽油）</w:t>
            </w:r>
          </w:p>
          <w:p>
            <w:pPr>
              <w:widowControl w:val="0"/>
              <w:spacing w:after="0"/>
              <w:jc w:val="center"/>
              <w:rPr>
                <w:rFonts w:eastAsia="仿宋_GB2312"/>
                <w:sz w:val="21"/>
                <w:szCs w:val="21"/>
              </w:rPr>
            </w:pPr>
            <w:r>
              <w:rPr>
                <w:rFonts w:eastAsia="仿宋_GB2312"/>
                <w:sz w:val="21"/>
                <w:szCs w:val="21"/>
              </w:rPr>
              <w:t>LC50  103000mg/m3</w:t>
            </w:r>
            <w:r>
              <w:rPr>
                <w:rFonts w:hAnsi="仿宋_GB2312" w:eastAsia="仿宋_GB2312"/>
                <w:sz w:val="21"/>
                <w:szCs w:val="21"/>
              </w:rPr>
              <w:t>小鼠，</w:t>
            </w:r>
            <w:r>
              <w:rPr>
                <w:rFonts w:eastAsia="仿宋_GB2312"/>
                <w:sz w:val="21"/>
                <w:szCs w:val="21"/>
              </w:rPr>
              <w:t>2</w:t>
            </w:r>
            <w:r>
              <w:rPr>
                <w:rFonts w:hAnsi="仿宋_GB2312" w:eastAsia="仿宋_GB2312"/>
                <w:sz w:val="21"/>
                <w:szCs w:val="21"/>
              </w:rPr>
              <w:t>小时（</w:t>
            </w:r>
            <w:r>
              <w:rPr>
                <w:rFonts w:eastAsia="仿宋_GB2312"/>
                <w:sz w:val="21"/>
                <w:szCs w:val="21"/>
              </w:rPr>
              <w:t>120</w:t>
            </w:r>
            <w:r>
              <w:rPr>
                <w:rFonts w:hAnsi="仿宋_GB2312" w:eastAsia="仿宋_GB2312"/>
                <w:sz w:val="21"/>
                <w:szCs w:val="21"/>
              </w:rPr>
              <w:t>号溶剂汽油）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jc w:val="center"/>
        </w:trPr>
        <w:tc>
          <w:tcPr>
            <w:tcW w:w="1529" w:type="dxa"/>
            <w:noWrap/>
            <w:vAlign w:val="center"/>
          </w:tcPr>
          <w:p>
            <w:pPr>
              <w:widowControl w:val="0"/>
              <w:spacing w:after="0"/>
              <w:jc w:val="center"/>
              <w:rPr>
                <w:rFonts w:eastAsia="仿宋_GB2312"/>
                <w:sz w:val="21"/>
                <w:szCs w:val="21"/>
              </w:rPr>
            </w:pPr>
            <w:r>
              <w:rPr>
                <w:rFonts w:hAnsi="仿宋_GB2312" w:eastAsia="仿宋_GB2312"/>
                <w:sz w:val="21"/>
                <w:szCs w:val="21"/>
              </w:rPr>
              <w:t>急性中毒：</w:t>
            </w:r>
          </w:p>
        </w:tc>
        <w:tc>
          <w:tcPr>
            <w:tcW w:w="6829" w:type="dxa"/>
            <w:gridSpan w:val="4"/>
            <w:noWrap/>
            <w:vAlign w:val="center"/>
          </w:tcPr>
          <w:p>
            <w:pPr>
              <w:widowControl w:val="0"/>
              <w:spacing w:after="0"/>
              <w:jc w:val="center"/>
              <w:rPr>
                <w:rFonts w:eastAsia="仿宋_GB2312"/>
                <w:sz w:val="21"/>
                <w:szCs w:val="21"/>
              </w:rPr>
            </w:pPr>
            <w:r>
              <w:rPr>
                <w:rFonts w:hAnsi="仿宋_GB2312" w:eastAsia="仿宋_GB2312"/>
                <w:sz w:val="21"/>
                <w:szCs w:val="21"/>
              </w:rPr>
              <w:t>高浓度吸入出现中毒性脑病。极高浓度吸入引起意识突然丧失、反射性呼吸停止和化学性肺炎。可致角膜溃疡、穿孔，甚至失明。皮肤接触致急性接触性皮炎或过敏性皮炎。急性经口中毒引起急性胃肠炎；重者出现类似急性吸入中毒症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529" w:type="dxa"/>
            <w:noWrap/>
            <w:vAlign w:val="center"/>
          </w:tcPr>
          <w:p>
            <w:pPr>
              <w:widowControl w:val="0"/>
              <w:spacing w:after="0"/>
              <w:jc w:val="center"/>
              <w:rPr>
                <w:rFonts w:eastAsia="仿宋_GB2312"/>
                <w:sz w:val="21"/>
                <w:szCs w:val="21"/>
              </w:rPr>
            </w:pPr>
            <w:r>
              <w:rPr>
                <w:rFonts w:hAnsi="仿宋_GB2312" w:eastAsia="仿宋_GB2312"/>
                <w:sz w:val="21"/>
                <w:szCs w:val="21"/>
              </w:rPr>
              <w:t>慢性中毒：</w:t>
            </w:r>
          </w:p>
        </w:tc>
        <w:tc>
          <w:tcPr>
            <w:tcW w:w="6829" w:type="dxa"/>
            <w:gridSpan w:val="4"/>
            <w:noWrap/>
            <w:vAlign w:val="center"/>
          </w:tcPr>
          <w:p>
            <w:pPr>
              <w:widowControl w:val="0"/>
              <w:spacing w:after="0"/>
              <w:jc w:val="center"/>
              <w:rPr>
                <w:rFonts w:eastAsia="仿宋_GB2312"/>
                <w:sz w:val="21"/>
                <w:szCs w:val="21"/>
              </w:rPr>
            </w:pPr>
            <w:r>
              <w:rPr>
                <w:rFonts w:hAnsi="仿宋_GB2312" w:eastAsia="仿宋_GB2312"/>
                <w:sz w:val="21"/>
                <w:szCs w:val="21"/>
              </w:rPr>
              <w:t>神经衰弱综合症，神经病，皮肤损害。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529" w:type="dxa"/>
            <w:noWrap/>
            <w:vAlign w:val="center"/>
          </w:tcPr>
          <w:p>
            <w:pPr>
              <w:widowControl w:val="0"/>
              <w:spacing w:after="0"/>
              <w:jc w:val="center"/>
              <w:rPr>
                <w:rFonts w:eastAsia="仿宋_GB2312"/>
                <w:sz w:val="21"/>
                <w:szCs w:val="21"/>
              </w:rPr>
            </w:pPr>
            <w:r>
              <w:rPr>
                <w:rFonts w:hAnsi="仿宋_GB2312" w:eastAsia="仿宋_GB2312"/>
                <w:sz w:val="21"/>
                <w:szCs w:val="21"/>
              </w:rPr>
              <w:t>刺激性：</w:t>
            </w:r>
          </w:p>
        </w:tc>
        <w:tc>
          <w:tcPr>
            <w:tcW w:w="6829" w:type="dxa"/>
            <w:gridSpan w:val="4"/>
            <w:noWrap/>
            <w:vAlign w:val="center"/>
          </w:tcPr>
          <w:p>
            <w:pPr>
              <w:widowControl w:val="0"/>
              <w:spacing w:after="0"/>
              <w:jc w:val="center"/>
              <w:rPr>
                <w:rFonts w:eastAsia="仿宋_GB2312"/>
                <w:sz w:val="21"/>
                <w:szCs w:val="21"/>
              </w:rPr>
            </w:pPr>
            <w:r>
              <w:rPr>
                <w:rFonts w:hAnsi="仿宋_GB2312" w:eastAsia="仿宋_GB2312"/>
                <w:sz w:val="21"/>
                <w:szCs w:val="21"/>
              </w:rPr>
              <w:t>人经眼：</w:t>
            </w:r>
            <w:r>
              <w:rPr>
                <w:rFonts w:eastAsia="仿宋_GB2312"/>
                <w:sz w:val="21"/>
                <w:szCs w:val="21"/>
              </w:rPr>
              <w:t>140ppm</w:t>
            </w:r>
            <w:r>
              <w:rPr>
                <w:rFonts w:hAnsi="仿宋_GB2312" w:eastAsia="仿宋_GB2312"/>
                <w:sz w:val="21"/>
                <w:szCs w:val="21"/>
              </w:rPr>
              <w:t>（</w:t>
            </w:r>
            <w:r>
              <w:rPr>
                <w:rFonts w:eastAsia="仿宋_GB2312"/>
                <w:sz w:val="21"/>
                <w:szCs w:val="21"/>
              </w:rPr>
              <w:t>8</w:t>
            </w:r>
            <w:r>
              <w:rPr>
                <w:rFonts w:hAnsi="仿宋_GB2312" w:eastAsia="仿宋_GB2312"/>
                <w:sz w:val="21"/>
                <w:szCs w:val="21"/>
              </w:rPr>
              <w:t>小时），轻度刺激。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529" w:type="dxa"/>
            <w:noWrap/>
            <w:vAlign w:val="center"/>
          </w:tcPr>
          <w:p>
            <w:pPr>
              <w:widowControl w:val="0"/>
              <w:spacing w:after="0"/>
              <w:jc w:val="center"/>
              <w:rPr>
                <w:rFonts w:eastAsia="仿宋_GB2312"/>
                <w:sz w:val="21"/>
                <w:szCs w:val="21"/>
              </w:rPr>
            </w:pPr>
            <w:r>
              <w:rPr>
                <w:rFonts w:hAnsi="仿宋_GB2312" w:eastAsia="仿宋_GB2312"/>
                <w:sz w:val="21"/>
                <w:szCs w:val="21"/>
              </w:rPr>
              <w:t>最高容许浓度</w:t>
            </w:r>
          </w:p>
        </w:tc>
        <w:tc>
          <w:tcPr>
            <w:tcW w:w="6829" w:type="dxa"/>
            <w:gridSpan w:val="4"/>
            <w:noWrap/>
            <w:vAlign w:val="center"/>
          </w:tcPr>
          <w:p>
            <w:pPr>
              <w:widowControl w:val="0"/>
              <w:spacing w:after="0"/>
              <w:jc w:val="center"/>
              <w:rPr>
                <w:rFonts w:eastAsia="仿宋_GB2312"/>
                <w:sz w:val="21"/>
                <w:szCs w:val="21"/>
              </w:rPr>
            </w:pPr>
            <w:r>
              <w:rPr>
                <w:rFonts w:eastAsia="仿宋_GB2312"/>
                <w:sz w:val="21"/>
                <w:szCs w:val="21"/>
              </w:rPr>
              <w:t>300mg/m</w:t>
            </w:r>
            <w:r>
              <w:rPr>
                <w:rFonts w:eastAsia="仿宋_GB2312"/>
                <w:sz w:val="21"/>
                <w:szCs w:val="21"/>
                <w:vertAlign w:val="superscript"/>
              </w:rPr>
              <w:t>3</w:t>
            </w:r>
          </w:p>
        </w:tc>
      </w:tr>
    </w:tbl>
    <w:p>
      <w:pPr>
        <w:pStyle w:val="30"/>
        <w:spacing w:beforeLines="100"/>
        <w:ind w:firstLine="0"/>
        <w:jc w:val="center"/>
        <w:rPr>
          <w:rFonts w:eastAsia="仿宋_GB2312"/>
          <w:b/>
          <w:bCs/>
          <w:szCs w:val="24"/>
        </w:rPr>
      </w:pPr>
      <w:r>
        <w:rPr>
          <w:rFonts w:eastAsia="仿宋_GB2312"/>
          <w:b/>
          <w:bCs/>
          <w:szCs w:val="24"/>
        </w:rPr>
        <w:t>表</w:t>
      </w:r>
      <w:r>
        <w:rPr>
          <w:rFonts w:eastAsia="仿宋_GB2312"/>
          <w:szCs w:val="24"/>
        </w:rPr>
        <w:t>3.1.</w:t>
      </w:r>
      <w:r>
        <w:rPr>
          <w:rFonts w:hint="eastAsia" w:eastAsia="仿宋_GB2312"/>
          <w:szCs w:val="24"/>
        </w:rPr>
        <w:t>2</w:t>
      </w:r>
      <w:r>
        <w:rPr>
          <w:rFonts w:eastAsia="仿宋_GB2312"/>
          <w:szCs w:val="24"/>
        </w:rPr>
        <w:t>-3</w:t>
      </w:r>
      <w:r>
        <w:rPr>
          <w:rFonts w:hint="eastAsia" w:ascii="仿宋_GB2312" w:hAnsi="仿宋_GB2312" w:eastAsia="仿宋_GB2312" w:cs="仿宋_GB2312"/>
          <w:b/>
        </w:rPr>
        <w:t>柴油</w:t>
      </w:r>
      <w:r>
        <w:rPr>
          <w:rFonts w:eastAsia="仿宋_GB2312"/>
          <w:b/>
          <w:bCs/>
          <w:szCs w:val="24"/>
        </w:rPr>
        <w:t>的理化特性</w:t>
      </w:r>
    </w:p>
    <w:tbl>
      <w:tblPr>
        <w:tblStyle w:val="31"/>
        <w:tblW w:w="83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3"/>
        <w:gridCol w:w="2321"/>
        <w:gridCol w:w="2229"/>
        <w:gridCol w:w="2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8327" w:type="dxa"/>
            <w:gridSpan w:val="4"/>
            <w:noWrap/>
            <w:vAlign w:val="center"/>
          </w:tcPr>
          <w:p>
            <w:pPr>
              <w:widowControl w:val="0"/>
              <w:spacing w:after="0"/>
              <w:jc w:val="center"/>
              <w:rPr>
                <w:rFonts w:eastAsia="仿宋_GB2312"/>
                <w:sz w:val="21"/>
                <w:szCs w:val="21"/>
              </w:rPr>
            </w:pPr>
            <w:r>
              <w:rPr>
                <w:rFonts w:hAnsi="仿宋_GB2312" w:eastAsia="仿宋_GB2312"/>
                <w:sz w:val="21"/>
                <w:szCs w:val="21"/>
              </w:rPr>
              <w:t>第一部分危险性概述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533" w:type="dxa"/>
            <w:noWrap/>
            <w:vAlign w:val="center"/>
          </w:tcPr>
          <w:p>
            <w:pPr>
              <w:widowControl w:val="0"/>
              <w:spacing w:after="0"/>
              <w:jc w:val="center"/>
              <w:rPr>
                <w:rFonts w:eastAsia="仿宋_GB2312"/>
                <w:sz w:val="21"/>
                <w:szCs w:val="21"/>
              </w:rPr>
            </w:pPr>
            <w:r>
              <w:rPr>
                <w:rFonts w:hAnsi="仿宋_GB2312" w:eastAsia="仿宋_GB2312"/>
                <w:sz w:val="21"/>
                <w:szCs w:val="21"/>
              </w:rPr>
              <w:t>危险性类别：</w:t>
            </w:r>
          </w:p>
        </w:tc>
        <w:tc>
          <w:tcPr>
            <w:tcW w:w="2321" w:type="dxa"/>
            <w:noWrap/>
            <w:vAlign w:val="center"/>
          </w:tcPr>
          <w:p>
            <w:pPr>
              <w:widowControl w:val="0"/>
              <w:spacing w:after="0"/>
              <w:jc w:val="center"/>
              <w:rPr>
                <w:rFonts w:eastAsia="仿宋_GB2312"/>
                <w:sz w:val="21"/>
                <w:szCs w:val="21"/>
              </w:rPr>
            </w:pPr>
            <w:r>
              <w:rPr>
                <w:rFonts w:hAnsi="仿宋_GB2312" w:eastAsia="仿宋_GB2312"/>
                <w:sz w:val="21"/>
                <w:szCs w:val="21"/>
              </w:rPr>
              <w:t>第</w:t>
            </w:r>
            <w:r>
              <w:rPr>
                <w:rFonts w:eastAsia="仿宋_GB2312"/>
                <w:sz w:val="21"/>
                <w:szCs w:val="21"/>
              </w:rPr>
              <w:t>3.3</w:t>
            </w:r>
            <w:r>
              <w:rPr>
                <w:rFonts w:hAnsi="仿宋_GB2312" w:eastAsia="仿宋_GB2312"/>
                <w:sz w:val="21"/>
                <w:szCs w:val="21"/>
              </w:rPr>
              <w:t>类高闪点易燃液体</w:t>
            </w:r>
          </w:p>
        </w:tc>
        <w:tc>
          <w:tcPr>
            <w:tcW w:w="2229" w:type="dxa"/>
            <w:noWrap/>
            <w:vAlign w:val="center"/>
          </w:tcPr>
          <w:p>
            <w:pPr>
              <w:widowControl w:val="0"/>
              <w:spacing w:after="0"/>
              <w:jc w:val="center"/>
              <w:rPr>
                <w:rFonts w:eastAsia="仿宋_GB2312"/>
                <w:sz w:val="21"/>
                <w:szCs w:val="21"/>
              </w:rPr>
            </w:pPr>
            <w:r>
              <w:rPr>
                <w:rFonts w:hAnsi="仿宋_GB2312" w:eastAsia="仿宋_GB2312"/>
                <w:sz w:val="21"/>
                <w:szCs w:val="21"/>
              </w:rPr>
              <w:t>燃爆危险：</w:t>
            </w:r>
          </w:p>
        </w:tc>
        <w:tc>
          <w:tcPr>
            <w:tcW w:w="2244" w:type="dxa"/>
            <w:noWrap/>
            <w:vAlign w:val="center"/>
          </w:tcPr>
          <w:p>
            <w:pPr>
              <w:widowControl w:val="0"/>
              <w:spacing w:after="0"/>
              <w:jc w:val="center"/>
              <w:rPr>
                <w:rFonts w:eastAsia="仿宋_GB2312"/>
                <w:sz w:val="21"/>
                <w:szCs w:val="21"/>
              </w:rPr>
            </w:pPr>
            <w:r>
              <w:rPr>
                <w:rFonts w:hAnsi="仿宋_GB2312" w:eastAsia="仿宋_GB2312"/>
                <w:sz w:val="21"/>
                <w:szCs w:val="21"/>
              </w:rPr>
              <w:t>易燃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533" w:type="dxa"/>
            <w:noWrap/>
            <w:vAlign w:val="center"/>
          </w:tcPr>
          <w:p>
            <w:pPr>
              <w:widowControl w:val="0"/>
              <w:spacing w:after="0"/>
              <w:jc w:val="center"/>
              <w:rPr>
                <w:rFonts w:eastAsia="仿宋_GB2312"/>
                <w:sz w:val="21"/>
                <w:szCs w:val="21"/>
              </w:rPr>
            </w:pPr>
            <w:r>
              <w:rPr>
                <w:rFonts w:hAnsi="仿宋_GB2312" w:eastAsia="仿宋_GB2312"/>
                <w:sz w:val="21"/>
                <w:szCs w:val="21"/>
              </w:rPr>
              <w:t>侵入途径：</w:t>
            </w:r>
          </w:p>
        </w:tc>
        <w:tc>
          <w:tcPr>
            <w:tcW w:w="2321" w:type="dxa"/>
            <w:noWrap/>
            <w:vAlign w:val="center"/>
          </w:tcPr>
          <w:p>
            <w:pPr>
              <w:widowControl w:val="0"/>
              <w:spacing w:after="0"/>
              <w:jc w:val="center"/>
              <w:rPr>
                <w:rFonts w:eastAsia="仿宋_GB2312"/>
                <w:sz w:val="21"/>
                <w:szCs w:val="21"/>
              </w:rPr>
            </w:pPr>
            <w:r>
              <w:rPr>
                <w:rFonts w:hAnsi="仿宋_GB2312" w:eastAsia="仿宋_GB2312"/>
                <w:sz w:val="21"/>
                <w:szCs w:val="21"/>
              </w:rPr>
              <w:t>吸入、食入、经皮吸收</w:t>
            </w:r>
          </w:p>
        </w:tc>
        <w:tc>
          <w:tcPr>
            <w:tcW w:w="2229" w:type="dxa"/>
            <w:noWrap/>
            <w:vAlign w:val="center"/>
          </w:tcPr>
          <w:p>
            <w:pPr>
              <w:widowControl w:val="0"/>
              <w:spacing w:after="0"/>
              <w:jc w:val="center"/>
              <w:rPr>
                <w:rFonts w:eastAsia="仿宋_GB2312"/>
                <w:sz w:val="21"/>
                <w:szCs w:val="21"/>
              </w:rPr>
            </w:pPr>
            <w:r>
              <w:rPr>
                <w:rFonts w:hAnsi="仿宋_GB2312" w:eastAsia="仿宋_GB2312"/>
                <w:sz w:val="21"/>
                <w:szCs w:val="21"/>
              </w:rPr>
              <w:t>有害燃烧产物：</w:t>
            </w:r>
          </w:p>
        </w:tc>
        <w:tc>
          <w:tcPr>
            <w:tcW w:w="2244" w:type="dxa"/>
            <w:noWrap/>
            <w:vAlign w:val="center"/>
          </w:tcPr>
          <w:p>
            <w:pPr>
              <w:widowControl w:val="0"/>
              <w:spacing w:after="0"/>
              <w:jc w:val="center"/>
              <w:rPr>
                <w:rFonts w:eastAsia="仿宋_GB2312"/>
                <w:sz w:val="21"/>
                <w:szCs w:val="21"/>
              </w:rPr>
            </w:pPr>
            <w:r>
              <w:rPr>
                <w:rFonts w:hAnsi="仿宋_GB2312" w:eastAsia="仿宋_GB2312"/>
                <w:sz w:val="21"/>
                <w:szCs w:val="21"/>
              </w:rPr>
              <w:t>一氧化碳、二氧化碳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533" w:type="dxa"/>
            <w:noWrap/>
            <w:vAlign w:val="center"/>
          </w:tcPr>
          <w:p>
            <w:pPr>
              <w:widowControl w:val="0"/>
              <w:spacing w:after="0"/>
              <w:jc w:val="center"/>
              <w:rPr>
                <w:rFonts w:eastAsia="仿宋_GB2312"/>
                <w:sz w:val="21"/>
                <w:szCs w:val="21"/>
              </w:rPr>
            </w:pPr>
            <w:r>
              <w:rPr>
                <w:rFonts w:hAnsi="仿宋_GB2312" w:eastAsia="仿宋_GB2312"/>
                <w:sz w:val="21"/>
                <w:szCs w:val="21"/>
              </w:rPr>
              <w:t>环境危害：</w:t>
            </w:r>
          </w:p>
        </w:tc>
        <w:tc>
          <w:tcPr>
            <w:tcW w:w="6794" w:type="dxa"/>
            <w:gridSpan w:val="3"/>
            <w:noWrap/>
            <w:vAlign w:val="center"/>
          </w:tcPr>
          <w:p>
            <w:pPr>
              <w:widowControl w:val="0"/>
              <w:spacing w:after="0"/>
              <w:jc w:val="center"/>
              <w:rPr>
                <w:rFonts w:eastAsia="仿宋_GB2312"/>
                <w:sz w:val="21"/>
                <w:szCs w:val="21"/>
              </w:rPr>
            </w:pPr>
            <w:r>
              <w:rPr>
                <w:rFonts w:hAnsi="仿宋_GB2312" w:eastAsia="仿宋_GB2312"/>
                <w:sz w:val="21"/>
                <w:szCs w:val="21"/>
              </w:rPr>
              <w:t>该物质对环境有危害，应特别注意对地表水、土壤、大气和饮用水的污染。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327" w:type="dxa"/>
            <w:gridSpan w:val="4"/>
            <w:noWrap/>
            <w:vAlign w:val="center"/>
          </w:tcPr>
          <w:p>
            <w:pPr>
              <w:widowControl w:val="0"/>
              <w:spacing w:after="0"/>
              <w:jc w:val="center"/>
              <w:rPr>
                <w:rFonts w:eastAsia="仿宋_GB2312"/>
                <w:sz w:val="21"/>
                <w:szCs w:val="21"/>
              </w:rPr>
            </w:pPr>
            <w:r>
              <w:rPr>
                <w:rFonts w:hAnsi="仿宋_GB2312" w:eastAsia="仿宋_GB2312"/>
                <w:sz w:val="21"/>
                <w:szCs w:val="21"/>
              </w:rPr>
              <w:t>第二部分理化特性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533" w:type="dxa"/>
            <w:noWrap/>
            <w:vAlign w:val="center"/>
          </w:tcPr>
          <w:p>
            <w:pPr>
              <w:widowControl w:val="0"/>
              <w:spacing w:after="0"/>
              <w:jc w:val="center"/>
              <w:rPr>
                <w:rFonts w:eastAsia="仿宋_GB2312"/>
                <w:sz w:val="21"/>
                <w:szCs w:val="21"/>
              </w:rPr>
            </w:pPr>
            <w:r>
              <w:rPr>
                <w:rFonts w:hAnsi="仿宋_GB2312" w:eastAsia="仿宋_GB2312"/>
                <w:sz w:val="21"/>
                <w:szCs w:val="21"/>
              </w:rPr>
              <w:t>外观及性状：</w:t>
            </w:r>
          </w:p>
        </w:tc>
        <w:tc>
          <w:tcPr>
            <w:tcW w:w="2321" w:type="dxa"/>
            <w:noWrap/>
            <w:vAlign w:val="center"/>
          </w:tcPr>
          <w:p>
            <w:pPr>
              <w:widowControl w:val="0"/>
              <w:spacing w:after="0"/>
              <w:jc w:val="center"/>
              <w:rPr>
                <w:rFonts w:eastAsia="仿宋_GB2312"/>
                <w:sz w:val="21"/>
                <w:szCs w:val="21"/>
              </w:rPr>
            </w:pPr>
            <w:r>
              <w:rPr>
                <w:rFonts w:hAnsi="仿宋_GB2312" w:eastAsia="仿宋_GB2312"/>
                <w:sz w:val="21"/>
                <w:szCs w:val="21"/>
              </w:rPr>
              <w:t>稍有粘性的棕色液体。</w:t>
            </w:r>
          </w:p>
        </w:tc>
        <w:tc>
          <w:tcPr>
            <w:tcW w:w="2229" w:type="dxa"/>
            <w:noWrap/>
            <w:vAlign w:val="center"/>
          </w:tcPr>
          <w:p>
            <w:pPr>
              <w:widowControl w:val="0"/>
              <w:spacing w:after="0"/>
              <w:jc w:val="center"/>
              <w:rPr>
                <w:rFonts w:eastAsia="仿宋_GB2312"/>
                <w:sz w:val="21"/>
                <w:szCs w:val="21"/>
              </w:rPr>
            </w:pPr>
            <w:r>
              <w:rPr>
                <w:rFonts w:hAnsi="仿宋_GB2312" w:eastAsia="仿宋_GB2312"/>
                <w:sz w:val="21"/>
                <w:szCs w:val="21"/>
              </w:rPr>
              <w:t>主要用途：</w:t>
            </w:r>
          </w:p>
        </w:tc>
        <w:tc>
          <w:tcPr>
            <w:tcW w:w="2244" w:type="dxa"/>
            <w:noWrap/>
            <w:vAlign w:val="center"/>
          </w:tcPr>
          <w:p>
            <w:pPr>
              <w:widowControl w:val="0"/>
              <w:spacing w:after="0"/>
              <w:jc w:val="center"/>
              <w:rPr>
                <w:rFonts w:eastAsia="仿宋_GB2312"/>
                <w:sz w:val="21"/>
                <w:szCs w:val="21"/>
              </w:rPr>
            </w:pPr>
            <w:r>
              <w:rPr>
                <w:rFonts w:hAnsi="仿宋_GB2312" w:eastAsia="仿宋_GB2312"/>
                <w:sz w:val="21"/>
                <w:szCs w:val="21"/>
              </w:rPr>
              <w:t>用作柴油机的燃料等。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533" w:type="dxa"/>
            <w:noWrap/>
            <w:vAlign w:val="center"/>
          </w:tcPr>
          <w:p>
            <w:pPr>
              <w:widowControl w:val="0"/>
              <w:spacing w:after="0"/>
              <w:jc w:val="center"/>
              <w:rPr>
                <w:rFonts w:eastAsia="仿宋_GB2312"/>
                <w:sz w:val="21"/>
                <w:szCs w:val="21"/>
              </w:rPr>
            </w:pPr>
            <w:r>
              <w:rPr>
                <w:rFonts w:hAnsi="仿宋_GB2312" w:eastAsia="仿宋_GB2312"/>
                <w:sz w:val="21"/>
                <w:szCs w:val="21"/>
              </w:rPr>
              <w:t>闪点（℃）：</w:t>
            </w:r>
          </w:p>
        </w:tc>
        <w:tc>
          <w:tcPr>
            <w:tcW w:w="2321" w:type="dxa"/>
            <w:noWrap/>
            <w:vAlign w:val="center"/>
          </w:tcPr>
          <w:p>
            <w:pPr>
              <w:widowControl w:val="0"/>
              <w:spacing w:after="0"/>
              <w:jc w:val="center"/>
              <w:rPr>
                <w:rFonts w:eastAsia="仿宋_GB2312"/>
                <w:sz w:val="21"/>
                <w:szCs w:val="21"/>
              </w:rPr>
            </w:pPr>
            <w:r>
              <w:rPr>
                <w:rFonts w:eastAsia="仿宋_GB2312"/>
                <w:sz w:val="21"/>
                <w:szCs w:val="21"/>
              </w:rPr>
              <w:t>45</w:t>
            </w:r>
            <w:r>
              <w:rPr>
                <w:rFonts w:hAnsi="仿宋_GB2312" w:eastAsia="仿宋_GB2312"/>
                <w:sz w:val="21"/>
                <w:szCs w:val="21"/>
              </w:rPr>
              <w:t>～</w:t>
            </w:r>
            <w:r>
              <w:rPr>
                <w:rFonts w:eastAsia="仿宋_GB2312"/>
                <w:sz w:val="21"/>
                <w:szCs w:val="21"/>
              </w:rPr>
              <w:t>55</w:t>
            </w:r>
            <w:r>
              <w:rPr>
                <w:rFonts w:hAnsi="仿宋_GB2312" w:eastAsia="仿宋_GB2312"/>
                <w:sz w:val="21"/>
                <w:szCs w:val="21"/>
              </w:rPr>
              <w:t>℃</w:t>
            </w:r>
          </w:p>
        </w:tc>
        <w:tc>
          <w:tcPr>
            <w:tcW w:w="2229" w:type="dxa"/>
            <w:noWrap/>
            <w:vAlign w:val="center"/>
          </w:tcPr>
          <w:p>
            <w:pPr>
              <w:widowControl w:val="0"/>
              <w:spacing w:after="0"/>
              <w:jc w:val="center"/>
              <w:rPr>
                <w:rFonts w:eastAsia="仿宋_GB2312"/>
                <w:sz w:val="21"/>
                <w:szCs w:val="21"/>
              </w:rPr>
            </w:pPr>
            <w:r>
              <w:rPr>
                <w:rFonts w:hAnsi="仿宋_GB2312" w:eastAsia="仿宋_GB2312"/>
                <w:sz w:val="21"/>
                <w:szCs w:val="21"/>
              </w:rPr>
              <w:t>相对密度（水＝</w:t>
            </w:r>
            <w:r>
              <w:rPr>
                <w:rFonts w:eastAsia="仿宋_GB2312"/>
                <w:sz w:val="21"/>
                <w:szCs w:val="21"/>
              </w:rPr>
              <w:t>1</w:t>
            </w:r>
            <w:r>
              <w:rPr>
                <w:rFonts w:hAnsi="仿宋_GB2312" w:eastAsia="仿宋_GB2312"/>
                <w:sz w:val="21"/>
                <w:szCs w:val="21"/>
              </w:rPr>
              <w:t>）：</w:t>
            </w:r>
          </w:p>
        </w:tc>
        <w:tc>
          <w:tcPr>
            <w:tcW w:w="2244" w:type="dxa"/>
            <w:noWrap/>
            <w:vAlign w:val="center"/>
          </w:tcPr>
          <w:p>
            <w:pPr>
              <w:widowControl w:val="0"/>
              <w:spacing w:after="0"/>
              <w:jc w:val="center"/>
              <w:rPr>
                <w:rFonts w:eastAsia="仿宋_GB2312"/>
                <w:sz w:val="21"/>
                <w:szCs w:val="21"/>
              </w:rPr>
            </w:pPr>
            <w:r>
              <w:rPr>
                <w:rFonts w:eastAsia="仿宋_GB2312"/>
                <w:sz w:val="21"/>
                <w:szCs w:val="21"/>
              </w:rPr>
              <w:t>0.81</w:t>
            </w:r>
            <w:r>
              <w:rPr>
                <w:rFonts w:hAnsi="仿宋_GB2312" w:eastAsia="仿宋_GB2312"/>
                <w:sz w:val="21"/>
                <w:szCs w:val="21"/>
              </w:rPr>
              <w:t>～</w:t>
            </w:r>
            <w:r>
              <w:rPr>
                <w:rFonts w:eastAsia="仿宋_GB2312"/>
                <w:sz w:val="21"/>
                <w:szCs w:val="21"/>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533" w:type="dxa"/>
            <w:noWrap/>
            <w:vAlign w:val="center"/>
          </w:tcPr>
          <w:p>
            <w:pPr>
              <w:widowControl w:val="0"/>
              <w:spacing w:after="0"/>
              <w:jc w:val="center"/>
              <w:rPr>
                <w:rFonts w:eastAsia="仿宋_GB2312"/>
                <w:sz w:val="21"/>
                <w:szCs w:val="21"/>
              </w:rPr>
            </w:pPr>
            <w:r>
              <w:rPr>
                <w:rFonts w:hAnsi="仿宋_GB2312" w:eastAsia="仿宋_GB2312"/>
                <w:sz w:val="21"/>
                <w:szCs w:val="21"/>
              </w:rPr>
              <w:t>沸点（℃）：</w:t>
            </w:r>
          </w:p>
        </w:tc>
        <w:tc>
          <w:tcPr>
            <w:tcW w:w="2321" w:type="dxa"/>
            <w:noWrap/>
            <w:vAlign w:val="center"/>
          </w:tcPr>
          <w:p>
            <w:pPr>
              <w:widowControl w:val="0"/>
              <w:spacing w:after="0"/>
              <w:jc w:val="center"/>
              <w:rPr>
                <w:rFonts w:eastAsia="仿宋_GB2312"/>
                <w:sz w:val="21"/>
                <w:szCs w:val="21"/>
              </w:rPr>
            </w:pPr>
            <w:r>
              <w:rPr>
                <w:rFonts w:eastAsia="仿宋_GB2312"/>
                <w:sz w:val="21"/>
                <w:szCs w:val="21"/>
              </w:rPr>
              <w:t>200</w:t>
            </w:r>
            <w:r>
              <w:rPr>
                <w:rFonts w:hAnsi="仿宋_GB2312" w:eastAsia="仿宋_GB2312"/>
                <w:sz w:val="21"/>
                <w:szCs w:val="21"/>
              </w:rPr>
              <w:t>～</w:t>
            </w:r>
            <w:r>
              <w:rPr>
                <w:rFonts w:eastAsia="仿宋_GB2312"/>
                <w:sz w:val="21"/>
                <w:szCs w:val="21"/>
              </w:rPr>
              <w:t>350</w:t>
            </w:r>
            <w:r>
              <w:rPr>
                <w:rFonts w:hAnsi="仿宋_GB2312" w:eastAsia="仿宋_GB2312"/>
                <w:sz w:val="21"/>
                <w:szCs w:val="21"/>
              </w:rPr>
              <w:t>℃</w:t>
            </w:r>
          </w:p>
        </w:tc>
        <w:tc>
          <w:tcPr>
            <w:tcW w:w="2229" w:type="dxa"/>
            <w:noWrap/>
            <w:vAlign w:val="center"/>
          </w:tcPr>
          <w:p>
            <w:pPr>
              <w:widowControl w:val="0"/>
              <w:spacing w:after="0"/>
              <w:jc w:val="center"/>
              <w:rPr>
                <w:rFonts w:eastAsia="仿宋_GB2312"/>
                <w:sz w:val="21"/>
                <w:szCs w:val="21"/>
              </w:rPr>
            </w:pPr>
            <w:r>
              <w:rPr>
                <w:rFonts w:hAnsi="仿宋_GB2312" w:eastAsia="仿宋_GB2312"/>
                <w:sz w:val="21"/>
                <w:szCs w:val="21"/>
              </w:rPr>
              <w:t>爆炸上限％（</w:t>
            </w:r>
            <w:r>
              <w:rPr>
                <w:rFonts w:eastAsia="仿宋_GB2312"/>
                <w:sz w:val="21"/>
                <w:szCs w:val="21"/>
              </w:rPr>
              <w:t>V/V</w:t>
            </w:r>
            <w:r>
              <w:rPr>
                <w:rFonts w:hAnsi="仿宋_GB2312" w:eastAsia="仿宋_GB2312"/>
                <w:sz w:val="21"/>
                <w:szCs w:val="21"/>
              </w:rPr>
              <w:t>）：</w:t>
            </w:r>
          </w:p>
        </w:tc>
        <w:tc>
          <w:tcPr>
            <w:tcW w:w="2244" w:type="dxa"/>
            <w:noWrap/>
            <w:vAlign w:val="center"/>
          </w:tcPr>
          <w:p>
            <w:pPr>
              <w:widowControl w:val="0"/>
              <w:spacing w:after="0"/>
              <w:jc w:val="center"/>
              <w:rPr>
                <w:rFonts w:eastAsia="仿宋_GB2312"/>
                <w:sz w:val="21"/>
                <w:szCs w:val="21"/>
              </w:rPr>
            </w:pPr>
            <w:r>
              <w:rPr>
                <w:rFonts w:eastAsia="仿宋_GB2312"/>
                <w:sz w:val="21"/>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533" w:type="dxa"/>
            <w:noWrap/>
            <w:vAlign w:val="center"/>
          </w:tcPr>
          <w:p>
            <w:pPr>
              <w:widowControl w:val="0"/>
              <w:spacing w:after="0"/>
              <w:jc w:val="center"/>
              <w:rPr>
                <w:rFonts w:eastAsia="仿宋_GB2312"/>
                <w:sz w:val="21"/>
                <w:szCs w:val="21"/>
              </w:rPr>
            </w:pPr>
            <w:r>
              <w:rPr>
                <w:rFonts w:hAnsi="仿宋_GB2312" w:eastAsia="仿宋_GB2312"/>
                <w:sz w:val="21"/>
                <w:szCs w:val="21"/>
              </w:rPr>
              <w:t>自然点（℃）：</w:t>
            </w:r>
          </w:p>
        </w:tc>
        <w:tc>
          <w:tcPr>
            <w:tcW w:w="2321" w:type="dxa"/>
            <w:noWrap/>
            <w:vAlign w:val="center"/>
          </w:tcPr>
          <w:p>
            <w:pPr>
              <w:widowControl w:val="0"/>
              <w:spacing w:after="0"/>
              <w:jc w:val="center"/>
              <w:rPr>
                <w:rFonts w:eastAsia="仿宋_GB2312"/>
                <w:sz w:val="21"/>
                <w:szCs w:val="21"/>
              </w:rPr>
            </w:pPr>
            <w:r>
              <w:rPr>
                <w:rFonts w:eastAsia="仿宋_GB2312"/>
                <w:sz w:val="21"/>
                <w:szCs w:val="21"/>
              </w:rPr>
              <w:t>257</w:t>
            </w:r>
          </w:p>
        </w:tc>
        <w:tc>
          <w:tcPr>
            <w:tcW w:w="2229" w:type="dxa"/>
            <w:noWrap/>
            <w:vAlign w:val="center"/>
          </w:tcPr>
          <w:p>
            <w:pPr>
              <w:widowControl w:val="0"/>
              <w:spacing w:after="0"/>
              <w:jc w:val="center"/>
              <w:rPr>
                <w:rFonts w:eastAsia="仿宋_GB2312"/>
                <w:sz w:val="21"/>
                <w:szCs w:val="21"/>
              </w:rPr>
            </w:pPr>
            <w:r>
              <w:rPr>
                <w:rFonts w:hAnsi="仿宋_GB2312" w:eastAsia="仿宋_GB2312"/>
                <w:sz w:val="21"/>
                <w:szCs w:val="21"/>
              </w:rPr>
              <w:t>爆炸下限％（</w:t>
            </w:r>
            <w:r>
              <w:rPr>
                <w:rFonts w:eastAsia="仿宋_GB2312"/>
                <w:sz w:val="21"/>
                <w:szCs w:val="21"/>
              </w:rPr>
              <w:t>V/V</w:t>
            </w:r>
            <w:r>
              <w:rPr>
                <w:rFonts w:hAnsi="仿宋_GB2312" w:eastAsia="仿宋_GB2312"/>
                <w:sz w:val="21"/>
                <w:szCs w:val="21"/>
              </w:rPr>
              <w:t>）：</w:t>
            </w:r>
          </w:p>
        </w:tc>
        <w:tc>
          <w:tcPr>
            <w:tcW w:w="2244" w:type="dxa"/>
            <w:noWrap/>
            <w:vAlign w:val="center"/>
          </w:tcPr>
          <w:p>
            <w:pPr>
              <w:widowControl w:val="0"/>
              <w:spacing w:after="0"/>
              <w:jc w:val="center"/>
              <w:rPr>
                <w:rFonts w:eastAsia="仿宋_GB2312"/>
                <w:sz w:val="21"/>
                <w:szCs w:val="21"/>
              </w:rPr>
            </w:pPr>
            <w:r>
              <w:rPr>
                <w:rFonts w:eastAsia="仿宋_GB2312"/>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533" w:type="dxa"/>
            <w:noWrap/>
            <w:vAlign w:val="center"/>
          </w:tcPr>
          <w:p>
            <w:pPr>
              <w:widowControl w:val="0"/>
              <w:spacing w:after="0"/>
              <w:jc w:val="center"/>
              <w:rPr>
                <w:rFonts w:eastAsia="仿宋_GB2312"/>
                <w:sz w:val="21"/>
                <w:szCs w:val="21"/>
              </w:rPr>
            </w:pPr>
            <w:r>
              <w:rPr>
                <w:rFonts w:hAnsi="仿宋_GB2312" w:eastAsia="仿宋_GB2312"/>
                <w:sz w:val="21"/>
                <w:szCs w:val="21"/>
              </w:rPr>
              <w:t>溶解性：</w:t>
            </w:r>
          </w:p>
        </w:tc>
        <w:tc>
          <w:tcPr>
            <w:tcW w:w="6794" w:type="dxa"/>
            <w:gridSpan w:val="3"/>
            <w:noWrap/>
            <w:vAlign w:val="center"/>
          </w:tcPr>
          <w:p>
            <w:pPr>
              <w:widowControl w:val="0"/>
              <w:spacing w:after="0"/>
              <w:jc w:val="center"/>
              <w:rPr>
                <w:rFonts w:eastAsia="仿宋_GB2312"/>
                <w:sz w:val="21"/>
                <w:szCs w:val="21"/>
              </w:rPr>
            </w:pPr>
            <w:r>
              <w:rPr>
                <w:rFonts w:hAnsi="仿宋_GB2312" w:eastAsia="仿宋_GB2312"/>
                <w:sz w:val="21"/>
                <w:szCs w:val="21"/>
              </w:rPr>
              <w:t>不溶于水，易溶于苯、二硫化碳、醇，易溶于脂肪。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327" w:type="dxa"/>
            <w:gridSpan w:val="4"/>
            <w:noWrap/>
            <w:vAlign w:val="center"/>
          </w:tcPr>
          <w:p>
            <w:pPr>
              <w:widowControl w:val="0"/>
              <w:spacing w:after="0"/>
              <w:jc w:val="center"/>
              <w:rPr>
                <w:rFonts w:eastAsia="仿宋_GB2312"/>
                <w:sz w:val="21"/>
                <w:szCs w:val="21"/>
              </w:rPr>
            </w:pPr>
            <w:r>
              <w:rPr>
                <w:rFonts w:hAnsi="仿宋_GB2312" w:eastAsia="仿宋_GB2312"/>
                <w:sz w:val="21"/>
                <w:szCs w:val="21"/>
              </w:rPr>
              <w:t>第三部分稳定性及化学活性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533" w:type="dxa"/>
            <w:noWrap/>
            <w:vAlign w:val="center"/>
          </w:tcPr>
          <w:p>
            <w:pPr>
              <w:widowControl w:val="0"/>
              <w:spacing w:after="0"/>
              <w:jc w:val="center"/>
              <w:rPr>
                <w:rFonts w:eastAsia="仿宋_GB2312"/>
                <w:sz w:val="21"/>
                <w:szCs w:val="21"/>
              </w:rPr>
            </w:pPr>
            <w:r>
              <w:rPr>
                <w:rFonts w:hAnsi="仿宋_GB2312" w:eastAsia="仿宋_GB2312"/>
                <w:sz w:val="21"/>
                <w:szCs w:val="21"/>
              </w:rPr>
              <w:t>稳定性：</w:t>
            </w:r>
          </w:p>
        </w:tc>
        <w:tc>
          <w:tcPr>
            <w:tcW w:w="2321" w:type="dxa"/>
            <w:noWrap/>
            <w:vAlign w:val="center"/>
          </w:tcPr>
          <w:p>
            <w:pPr>
              <w:widowControl w:val="0"/>
              <w:spacing w:after="0"/>
              <w:jc w:val="center"/>
              <w:rPr>
                <w:rFonts w:eastAsia="仿宋_GB2312"/>
                <w:sz w:val="21"/>
                <w:szCs w:val="21"/>
              </w:rPr>
            </w:pPr>
            <w:r>
              <w:rPr>
                <w:rFonts w:hAnsi="仿宋_GB2312" w:eastAsia="仿宋_GB2312"/>
                <w:sz w:val="21"/>
                <w:szCs w:val="21"/>
              </w:rPr>
              <w:t>稳定</w:t>
            </w:r>
          </w:p>
        </w:tc>
        <w:tc>
          <w:tcPr>
            <w:tcW w:w="2229" w:type="dxa"/>
            <w:noWrap/>
            <w:vAlign w:val="center"/>
          </w:tcPr>
          <w:p>
            <w:pPr>
              <w:widowControl w:val="0"/>
              <w:spacing w:after="0"/>
              <w:jc w:val="center"/>
              <w:rPr>
                <w:rFonts w:eastAsia="仿宋_GB2312"/>
                <w:sz w:val="21"/>
                <w:szCs w:val="21"/>
              </w:rPr>
            </w:pPr>
            <w:r>
              <w:rPr>
                <w:rFonts w:hAnsi="仿宋_GB2312" w:eastAsia="仿宋_GB2312"/>
                <w:sz w:val="21"/>
                <w:szCs w:val="21"/>
              </w:rPr>
              <w:t>避免接触的条件：</w:t>
            </w:r>
          </w:p>
        </w:tc>
        <w:tc>
          <w:tcPr>
            <w:tcW w:w="2244" w:type="dxa"/>
            <w:noWrap/>
            <w:vAlign w:val="center"/>
          </w:tcPr>
          <w:p>
            <w:pPr>
              <w:widowControl w:val="0"/>
              <w:spacing w:after="0"/>
              <w:jc w:val="center"/>
              <w:rPr>
                <w:rFonts w:eastAsia="仿宋_GB2312"/>
                <w:sz w:val="21"/>
                <w:szCs w:val="21"/>
              </w:rPr>
            </w:pPr>
            <w:r>
              <w:rPr>
                <w:rFonts w:hAnsi="仿宋_GB2312" w:eastAsia="仿宋_GB2312"/>
                <w:sz w:val="21"/>
                <w:szCs w:val="21"/>
              </w:rPr>
              <w:t>明火、高热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533" w:type="dxa"/>
            <w:noWrap/>
            <w:vAlign w:val="center"/>
          </w:tcPr>
          <w:p>
            <w:pPr>
              <w:widowControl w:val="0"/>
              <w:spacing w:after="0"/>
              <w:jc w:val="center"/>
              <w:rPr>
                <w:rFonts w:eastAsia="仿宋_GB2312"/>
                <w:sz w:val="21"/>
                <w:szCs w:val="21"/>
              </w:rPr>
            </w:pPr>
            <w:r>
              <w:rPr>
                <w:rFonts w:hAnsi="仿宋_GB2312" w:eastAsia="仿宋_GB2312"/>
                <w:sz w:val="21"/>
                <w:szCs w:val="21"/>
              </w:rPr>
              <w:t>禁配物：</w:t>
            </w:r>
          </w:p>
        </w:tc>
        <w:tc>
          <w:tcPr>
            <w:tcW w:w="2321" w:type="dxa"/>
            <w:noWrap/>
            <w:vAlign w:val="center"/>
          </w:tcPr>
          <w:p>
            <w:pPr>
              <w:widowControl w:val="0"/>
              <w:spacing w:after="0"/>
              <w:jc w:val="center"/>
              <w:rPr>
                <w:rFonts w:eastAsia="仿宋_GB2312"/>
                <w:sz w:val="21"/>
                <w:szCs w:val="21"/>
              </w:rPr>
            </w:pPr>
            <w:r>
              <w:rPr>
                <w:rFonts w:hAnsi="仿宋_GB2312" w:eastAsia="仿宋_GB2312"/>
                <w:sz w:val="21"/>
                <w:szCs w:val="21"/>
              </w:rPr>
              <w:t>强氧化剂、卤素</w:t>
            </w:r>
          </w:p>
        </w:tc>
        <w:tc>
          <w:tcPr>
            <w:tcW w:w="2229" w:type="dxa"/>
            <w:noWrap/>
            <w:vAlign w:val="center"/>
          </w:tcPr>
          <w:p>
            <w:pPr>
              <w:widowControl w:val="0"/>
              <w:spacing w:after="0"/>
              <w:jc w:val="center"/>
              <w:rPr>
                <w:rFonts w:eastAsia="仿宋_GB2312"/>
                <w:sz w:val="21"/>
                <w:szCs w:val="21"/>
              </w:rPr>
            </w:pPr>
            <w:r>
              <w:rPr>
                <w:rFonts w:hAnsi="仿宋_GB2312" w:eastAsia="仿宋_GB2312"/>
                <w:sz w:val="21"/>
                <w:szCs w:val="21"/>
              </w:rPr>
              <w:t>聚合危害：</w:t>
            </w:r>
          </w:p>
        </w:tc>
        <w:tc>
          <w:tcPr>
            <w:tcW w:w="2244" w:type="dxa"/>
            <w:noWrap/>
            <w:vAlign w:val="center"/>
          </w:tcPr>
          <w:p>
            <w:pPr>
              <w:widowControl w:val="0"/>
              <w:spacing w:after="0"/>
              <w:jc w:val="center"/>
              <w:rPr>
                <w:rFonts w:eastAsia="仿宋_GB2312"/>
                <w:sz w:val="21"/>
                <w:szCs w:val="21"/>
              </w:rPr>
            </w:pPr>
            <w:r>
              <w:rPr>
                <w:rFonts w:hAnsi="仿宋_GB2312" w:eastAsia="仿宋_GB2312"/>
                <w:sz w:val="21"/>
                <w:szCs w:val="21"/>
              </w:rPr>
              <w:t>不聚合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533" w:type="dxa"/>
            <w:noWrap/>
            <w:vAlign w:val="center"/>
          </w:tcPr>
          <w:p>
            <w:pPr>
              <w:widowControl w:val="0"/>
              <w:spacing w:after="0"/>
              <w:jc w:val="center"/>
              <w:rPr>
                <w:rFonts w:eastAsia="仿宋_GB2312"/>
                <w:sz w:val="21"/>
                <w:szCs w:val="21"/>
              </w:rPr>
            </w:pPr>
            <w:r>
              <w:rPr>
                <w:rFonts w:hAnsi="仿宋_GB2312" w:eastAsia="仿宋_GB2312"/>
                <w:sz w:val="21"/>
                <w:szCs w:val="21"/>
              </w:rPr>
              <w:t>分解产物：</w:t>
            </w:r>
          </w:p>
        </w:tc>
        <w:tc>
          <w:tcPr>
            <w:tcW w:w="6794" w:type="dxa"/>
            <w:gridSpan w:val="3"/>
            <w:noWrap/>
            <w:vAlign w:val="center"/>
          </w:tcPr>
          <w:p>
            <w:pPr>
              <w:widowControl w:val="0"/>
              <w:spacing w:after="0"/>
              <w:jc w:val="center"/>
              <w:rPr>
                <w:rFonts w:eastAsia="仿宋_GB2312"/>
                <w:sz w:val="21"/>
                <w:szCs w:val="21"/>
              </w:rPr>
            </w:pPr>
            <w:r>
              <w:rPr>
                <w:rFonts w:hAnsi="仿宋_GB2312" w:eastAsia="仿宋_GB2312"/>
                <w:sz w:val="21"/>
                <w:szCs w:val="21"/>
              </w:rPr>
              <w:t>一氧化碳、二氧化碳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327" w:type="dxa"/>
            <w:gridSpan w:val="4"/>
            <w:noWrap/>
            <w:vAlign w:val="center"/>
          </w:tcPr>
          <w:p>
            <w:pPr>
              <w:widowControl w:val="0"/>
              <w:spacing w:after="0"/>
              <w:jc w:val="center"/>
              <w:rPr>
                <w:rFonts w:eastAsia="仿宋_GB2312"/>
                <w:sz w:val="21"/>
                <w:szCs w:val="21"/>
              </w:rPr>
            </w:pPr>
            <w:r>
              <w:rPr>
                <w:rFonts w:hAnsi="仿宋_GB2312" w:eastAsia="仿宋_GB2312"/>
                <w:sz w:val="21"/>
                <w:szCs w:val="21"/>
              </w:rPr>
              <w:t>第四部分毒理学资料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533" w:type="dxa"/>
            <w:noWrap/>
            <w:vAlign w:val="center"/>
          </w:tcPr>
          <w:p>
            <w:pPr>
              <w:widowControl w:val="0"/>
              <w:spacing w:after="0"/>
              <w:jc w:val="center"/>
              <w:rPr>
                <w:rFonts w:eastAsia="仿宋_GB2312"/>
                <w:sz w:val="21"/>
                <w:szCs w:val="21"/>
              </w:rPr>
            </w:pPr>
            <w:r>
              <w:rPr>
                <w:rFonts w:hAnsi="仿宋_GB2312" w:eastAsia="仿宋_GB2312"/>
                <w:sz w:val="21"/>
                <w:szCs w:val="21"/>
              </w:rPr>
              <w:t>急性毒性：</w:t>
            </w:r>
          </w:p>
        </w:tc>
        <w:tc>
          <w:tcPr>
            <w:tcW w:w="6794" w:type="dxa"/>
            <w:gridSpan w:val="3"/>
            <w:noWrap/>
            <w:vAlign w:val="center"/>
          </w:tcPr>
          <w:p>
            <w:pPr>
              <w:widowControl w:val="0"/>
              <w:spacing w:after="0"/>
              <w:jc w:val="center"/>
              <w:rPr>
                <w:rFonts w:eastAsia="仿宋_GB2312"/>
                <w:sz w:val="21"/>
                <w:szCs w:val="21"/>
              </w:rPr>
            </w:pPr>
            <w:r>
              <w:rPr>
                <w:rFonts w:eastAsia="仿宋_GB2312"/>
                <w:sz w:val="21"/>
                <w:szCs w:val="21"/>
              </w:rPr>
              <w:t>LD50     LC50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533" w:type="dxa"/>
            <w:noWrap/>
            <w:vAlign w:val="center"/>
          </w:tcPr>
          <w:p>
            <w:pPr>
              <w:widowControl w:val="0"/>
              <w:spacing w:after="0"/>
              <w:jc w:val="center"/>
              <w:rPr>
                <w:rFonts w:eastAsia="仿宋_GB2312"/>
                <w:sz w:val="21"/>
                <w:szCs w:val="21"/>
              </w:rPr>
            </w:pPr>
            <w:r>
              <w:rPr>
                <w:rFonts w:hAnsi="仿宋_GB2312" w:eastAsia="仿宋_GB2312"/>
                <w:sz w:val="21"/>
                <w:szCs w:val="21"/>
              </w:rPr>
              <w:t>急性中毒：</w:t>
            </w:r>
          </w:p>
        </w:tc>
        <w:tc>
          <w:tcPr>
            <w:tcW w:w="6794" w:type="dxa"/>
            <w:gridSpan w:val="3"/>
            <w:noWrap/>
            <w:vAlign w:val="center"/>
          </w:tcPr>
          <w:p>
            <w:pPr>
              <w:widowControl w:val="0"/>
              <w:spacing w:after="0"/>
              <w:jc w:val="center"/>
              <w:rPr>
                <w:rFonts w:eastAsia="仿宋_GB2312"/>
                <w:sz w:val="21"/>
                <w:szCs w:val="21"/>
              </w:rPr>
            </w:pPr>
            <w:r>
              <w:rPr>
                <w:rFonts w:hAnsi="仿宋_GB2312" w:eastAsia="仿宋_GB2312"/>
                <w:sz w:val="21"/>
                <w:szCs w:val="21"/>
              </w:rPr>
              <w:t>皮肤接触柴油可引起接触性皮炎、油性痤疮，吸入可引起吸入性肺炎，能经胎盘进入胎儿血中。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1533" w:type="dxa"/>
            <w:noWrap/>
            <w:vAlign w:val="center"/>
          </w:tcPr>
          <w:p>
            <w:pPr>
              <w:widowControl w:val="0"/>
              <w:spacing w:after="0"/>
              <w:jc w:val="center"/>
              <w:rPr>
                <w:rFonts w:eastAsia="仿宋_GB2312"/>
                <w:sz w:val="21"/>
                <w:szCs w:val="21"/>
              </w:rPr>
            </w:pPr>
            <w:r>
              <w:rPr>
                <w:rFonts w:hAnsi="仿宋_GB2312" w:eastAsia="仿宋_GB2312"/>
                <w:sz w:val="21"/>
                <w:szCs w:val="21"/>
              </w:rPr>
              <w:t>慢性中毒：</w:t>
            </w:r>
          </w:p>
        </w:tc>
        <w:tc>
          <w:tcPr>
            <w:tcW w:w="6794" w:type="dxa"/>
            <w:gridSpan w:val="3"/>
            <w:noWrap/>
            <w:vAlign w:val="center"/>
          </w:tcPr>
          <w:p>
            <w:pPr>
              <w:widowControl w:val="0"/>
              <w:spacing w:after="0"/>
              <w:jc w:val="center"/>
              <w:rPr>
                <w:rFonts w:eastAsia="仿宋_GB2312"/>
                <w:sz w:val="21"/>
                <w:szCs w:val="21"/>
              </w:rPr>
            </w:pPr>
            <w:r>
              <w:rPr>
                <w:rFonts w:hAnsi="仿宋_GB2312" w:eastAsia="仿宋_GB2312"/>
                <w:sz w:val="21"/>
                <w:szCs w:val="21"/>
              </w:rPr>
              <w:t>柴油废气可引起眼、鼻刺激症状，头痛。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533" w:type="dxa"/>
            <w:noWrap/>
            <w:vAlign w:val="center"/>
          </w:tcPr>
          <w:p>
            <w:pPr>
              <w:widowControl w:val="0"/>
              <w:spacing w:after="0"/>
              <w:jc w:val="center"/>
              <w:rPr>
                <w:rFonts w:eastAsia="仿宋_GB2312"/>
                <w:sz w:val="21"/>
                <w:szCs w:val="21"/>
              </w:rPr>
            </w:pPr>
            <w:r>
              <w:rPr>
                <w:rFonts w:hAnsi="仿宋_GB2312" w:eastAsia="仿宋_GB2312"/>
                <w:sz w:val="21"/>
                <w:szCs w:val="21"/>
              </w:rPr>
              <w:t>刺激性：</w:t>
            </w:r>
          </w:p>
        </w:tc>
        <w:tc>
          <w:tcPr>
            <w:tcW w:w="6794" w:type="dxa"/>
            <w:gridSpan w:val="3"/>
            <w:noWrap/>
            <w:vAlign w:val="center"/>
          </w:tcPr>
          <w:p>
            <w:pPr>
              <w:widowControl w:val="0"/>
              <w:spacing w:after="0"/>
              <w:jc w:val="center"/>
              <w:rPr>
                <w:rFonts w:eastAsia="仿宋_GB2312"/>
                <w:sz w:val="21"/>
                <w:szCs w:val="21"/>
              </w:rPr>
            </w:pPr>
            <w:r>
              <w:rPr>
                <w:rFonts w:hAnsi="仿宋_GB2312" w:eastAsia="仿宋_GB2312"/>
                <w:sz w:val="21"/>
                <w:szCs w:val="21"/>
              </w:rPr>
              <w:t>具有刺激作用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33" w:type="dxa"/>
            <w:noWrap/>
            <w:vAlign w:val="center"/>
          </w:tcPr>
          <w:p>
            <w:pPr>
              <w:widowControl w:val="0"/>
              <w:spacing w:after="0"/>
              <w:jc w:val="center"/>
              <w:rPr>
                <w:rFonts w:eastAsia="仿宋_GB2312"/>
                <w:sz w:val="21"/>
                <w:szCs w:val="21"/>
              </w:rPr>
            </w:pPr>
            <w:r>
              <w:rPr>
                <w:rFonts w:hAnsi="仿宋_GB2312" w:eastAsia="仿宋_GB2312"/>
                <w:sz w:val="21"/>
                <w:szCs w:val="21"/>
              </w:rPr>
              <w:t>最高容许浓度</w:t>
            </w:r>
          </w:p>
        </w:tc>
        <w:tc>
          <w:tcPr>
            <w:tcW w:w="6794" w:type="dxa"/>
            <w:gridSpan w:val="3"/>
            <w:noWrap/>
            <w:vAlign w:val="center"/>
          </w:tcPr>
          <w:p>
            <w:pPr>
              <w:widowControl w:val="0"/>
              <w:spacing w:after="0"/>
              <w:jc w:val="center"/>
              <w:rPr>
                <w:rFonts w:eastAsia="仿宋_GB2312"/>
                <w:sz w:val="21"/>
                <w:szCs w:val="21"/>
              </w:rPr>
            </w:pPr>
            <w:r>
              <w:rPr>
                <w:rFonts w:hAnsi="仿宋_GB2312" w:eastAsia="仿宋_GB2312"/>
                <w:sz w:val="21"/>
                <w:szCs w:val="21"/>
              </w:rPr>
              <w:t>目前无标准</w:t>
            </w:r>
          </w:p>
        </w:tc>
      </w:tr>
    </w:tbl>
    <w:p>
      <w:pPr>
        <w:pStyle w:val="7"/>
        <w:spacing w:beforeLines="50"/>
        <w:rPr>
          <w:rFonts w:eastAsia="仿宋_GB2312"/>
          <w:szCs w:val="28"/>
        </w:rPr>
      </w:pPr>
      <w:bookmarkStart w:id="200" w:name="_Toc74855981"/>
      <w:bookmarkStart w:id="201" w:name="_Toc3700"/>
      <w:r>
        <w:rPr>
          <w:rFonts w:eastAsia="仿宋_GB2312"/>
          <w:szCs w:val="28"/>
        </w:rPr>
        <w:t>3.1.</w:t>
      </w:r>
      <w:r>
        <w:rPr>
          <w:rFonts w:hint="eastAsia" w:eastAsia="仿宋_GB2312"/>
          <w:szCs w:val="28"/>
        </w:rPr>
        <w:t>3</w:t>
      </w:r>
      <w:r>
        <w:rPr>
          <w:rFonts w:eastAsia="仿宋_GB2312"/>
          <w:szCs w:val="28"/>
        </w:rPr>
        <w:t>生产设施风险识别</w:t>
      </w:r>
      <w:bookmarkEnd w:id="196"/>
      <w:bookmarkEnd w:id="197"/>
      <w:bookmarkEnd w:id="198"/>
      <w:bookmarkEnd w:id="199"/>
      <w:bookmarkEnd w:id="200"/>
      <w:bookmarkEnd w:id="201"/>
    </w:p>
    <w:p>
      <w:pPr>
        <w:widowControl w:val="0"/>
        <w:spacing w:after="0" w:line="360" w:lineRule="auto"/>
        <w:ind w:firstLine="480"/>
        <w:jc w:val="both"/>
        <w:rPr>
          <w:rFonts w:eastAsia="仿宋_GB2312"/>
          <w:sz w:val="24"/>
          <w:szCs w:val="24"/>
        </w:rPr>
      </w:pPr>
      <w:bookmarkStart w:id="202" w:name="_Toc25860"/>
      <w:bookmarkStart w:id="203" w:name="_Toc433795502"/>
      <w:bookmarkStart w:id="204" w:name="_Toc16640"/>
      <w:r>
        <w:rPr>
          <w:rFonts w:eastAsia="仿宋_GB2312"/>
          <w:sz w:val="24"/>
          <w:szCs w:val="24"/>
        </w:rPr>
        <w:t>根据</w:t>
      </w:r>
      <w:r>
        <w:rPr>
          <w:rFonts w:hint="eastAsia" w:eastAsia="仿宋_GB2312"/>
          <w:sz w:val="24"/>
          <w:szCs w:val="24"/>
        </w:rPr>
        <w:t>加油站</w:t>
      </w:r>
      <w:r>
        <w:rPr>
          <w:rFonts w:eastAsia="仿宋_GB2312"/>
          <w:sz w:val="24"/>
          <w:szCs w:val="24"/>
        </w:rPr>
        <w:t>特征，并结合物质风险识别，</w:t>
      </w:r>
      <w:r>
        <w:rPr>
          <w:rFonts w:hint="eastAsia" w:eastAsia="仿宋_GB2312"/>
          <w:sz w:val="24"/>
          <w:szCs w:val="24"/>
        </w:rPr>
        <w:t>加油站</w:t>
      </w:r>
      <w:r>
        <w:rPr>
          <w:rFonts w:eastAsia="仿宋_GB2312"/>
          <w:sz w:val="24"/>
          <w:szCs w:val="24"/>
        </w:rPr>
        <w:t>存在的风险设施主要有</w:t>
      </w:r>
      <w:r>
        <w:rPr>
          <w:rFonts w:hint="eastAsia" w:eastAsia="仿宋_GB2312"/>
          <w:bCs/>
          <w:sz w:val="24"/>
          <w:szCs w:val="24"/>
        </w:rPr>
        <w:t>有储油罐、加油机、输油管道、油罐底泥</w:t>
      </w:r>
      <w:r>
        <w:rPr>
          <w:rFonts w:eastAsia="仿宋_GB2312"/>
          <w:sz w:val="24"/>
          <w:szCs w:val="24"/>
        </w:rPr>
        <w:t>等，详见下表。</w:t>
      </w:r>
    </w:p>
    <w:p>
      <w:pPr>
        <w:widowControl w:val="0"/>
        <w:spacing w:after="0" w:line="360" w:lineRule="auto"/>
        <w:jc w:val="center"/>
        <w:rPr>
          <w:rFonts w:eastAsia="仿宋_GB2312"/>
          <w:b/>
          <w:color w:val="000000"/>
          <w:sz w:val="24"/>
          <w:szCs w:val="24"/>
        </w:rPr>
      </w:pPr>
      <w:r>
        <w:rPr>
          <w:rFonts w:eastAsia="仿宋_GB2312"/>
          <w:b/>
          <w:color w:val="000000"/>
          <w:sz w:val="24"/>
          <w:szCs w:val="24"/>
        </w:rPr>
        <w:t>表3.1.</w:t>
      </w:r>
      <w:r>
        <w:rPr>
          <w:rFonts w:hint="eastAsia" w:eastAsia="仿宋_GB2312"/>
          <w:b/>
          <w:color w:val="000000"/>
          <w:sz w:val="24"/>
          <w:szCs w:val="24"/>
        </w:rPr>
        <w:t>3</w:t>
      </w:r>
      <w:r>
        <w:rPr>
          <w:rFonts w:eastAsia="仿宋_GB2312"/>
          <w:b/>
          <w:color w:val="000000"/>
          <w:sz w:val="24"/>
          <w:szCs w:val="24"/>
        </w:rPr>
        <w:t>-1   生产设施风险识别表</w:t>
      </w:r>
    </w:p>
    <w:tbl>
      <w:tblPr>
        <w:tblStyle w:val="31"/>
        <w:tblW w:w="83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6"/>
        <w:gridCol w:w="1811"/>
        <w:gridCol w:w="1728"/>
        <w:gridCol w:w="2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blHeader/>
          <w:jc w:val="center"/>
        </w:trPr>
        <w:tc>
          <w:tcPr>
            <w:tcW w:w="2056" w:type="dxa"/>
            <w:tcBorders>
              <w:top w:val="single" w:color="auto" w:sz="4" w:space="0"/>
              <w:left w:val="single" w:color="auto" w:sz="4" w:space="0"/>
              <w:bottom w:val="single" w:color="auto" w:sz="4" w:space="0"/>
              <w:right w:val="single" w:color="auto" w:sz="4" w:space="0"/>
            </w:tcBorders>
            <w:noWrap/>
            <w:vAlign w:val="center"/>
          </w:tcPr>
          <w:p>
            <w:pPr>
              <w:widowControl w:val="0"/>
              <w:spacing w:after="0"/>
              <w:jc w:val="center"/>
              <w:rPr>
                <w:rFonts w:eastAsia="仿宋_GB2312"/>
                <w:b/>
                <w:sz w:val="21"/>
                <w:szCs w:val="21"/>
              </w:rPr>
            </w:pPr>
            <w:r>
              <w:rPr>
                <w:rFonts w:hAnsi="仿宋_GB2312" w:eastAsia="仿宋_GB2312"/>
                <w:b/>
                <w:sz w:val="21"/>
                <w:szCs w:val="21"/>
              </w:rPr>
              <w:t>风险设施</w:t>
            </w:r>
          </w:p>
        </w:tc>
        <w:tc>
          <w:tcPr>
            <w:tcW w:w="1811" w:type="dxa"/>
            <w:tcBorders>
              <w:top w:val="single" w:color="auto" w:sz="4" w:space="0"/>
              <w:left w:val="single" w:color="auto" w:sz="4" w:space="0"/>
              <w:bottom w:val="single" w:color="auto" w:sz="4" w:space="0"/>
              <w:right w:val="single" w:color="auto" w:sz="4" w:space="0"/>
            </w:tcBorders>
            <w:noWrap/>
            <w:vAlign w:val="center"/>
          </w:tcPr>
          <w:p>
            <w:pPr>
              <w:widowControl w:val="0"/>
              <w:spacing w:after="0"/>
              <w:jc w:val="center"/>
              <w:rPr>
                <w:rFonts w:eastAsia="仿宋_GB2312"/>
                <w:b/>
                <w:sz w:val="21"/>
                <w:szCs w:val="21"/>
              </w:rPr>
            </w:pPr>
            <w:r>
              <w:rPr>
                <w:rFonts w:hAnsi="仿宋_GB2312" w:eastAsia="仿宋_GB2312"/>
                <w:b/>
                <w:sz w:val="21"/>
                <w:szCs w:val="21"/>
              </w:rPr>
              <w:t>所含污染物质</w:t>
            </w:r>
          </w:p>
        </w:tc>
        <w:tc>
          <w:tcPr>
            <w:tcW w:w="1728" w:type="dxa"/>
            <w:tcBorders>
              <w:top w:val="single" w:color="auto" w:sz="4" w:space="0"/>
              <w:left w:val="single" w:color="auto" w:sz="4" w:space="0"/>
              <w:bottom w:val="single" w:color="auto" w:sz="4" w:space="0"/>
              <w:right w:val="single" w:color="auto" w:sz="4" w:space="0"/>
            </w:tcBorders>
            <w:noWrap/>
            <w:vAlign w:val="center"/>
          </w:tcPr>
          <w:p>
            <w:pPr>
              <w:widowControl w:val="0"/>
              <w:spacing w:after="0"/>
              <w:jc w:val="center"/>
              <w:rPr>
                <w:rFonts w:eastAsia="仿宋_GB2312"/>
                <w:b/>
                <w:sz w:val="21"/>
                <w:szCs w:val="21"/>
              </w:rPr>
            </w:pPr>
            <w:r>
              <w:rPr>
                <w:rFonts w:hAnsi="仿宋_GB2312" w:eastAsia="仿宋_GB2312"/>
                <w:b/>
                <w:sz w:val="21"/>
                <w:szCs w:val="21"/>
              </w:rPr>
              <w:t>风险类型</w:t>
            </w:r>
          </w:p>
        </w:tc>
        <w:tc>
          <w:tcPr>
            <w:tcW w:w="2731" w:type="dxa"/>
            <w:tcBorders>
              <w:top w:val="single" w:color="auto" w:sz="4" w:space="0"/>
              <w:left w:val="single" w:color="auto" w:sz="4" w:space="0"/>
              <w:bottom w:val="single" w:color="auto" w:sz="4" w:space="0"/>
              <w:right w:val="single" w:color="auto" w:sz="4" w:space="0"/>
            </w:tcBorders>
            <w:noWrap/>
            <w:vAlign w:val="center"/>
          </w:tcPr>
          <w:p>
            <w:pPr>
              <w:widowControl w:val="0"/>
              <w:spacing w:after="0"/>
              <w:jc w:val="center"/>
              <w:rPr>
                <w:rFonts w:eastAsia="仿宋_GB2312"/>
                <w:b/>
                <w:sz w:val="21"/>
                <w:szCs w:val="21"/>
              </w:rPr>
            </w:pPr>
            <w:r>
              <w:rPr>
                <w:rFonts w:hAnsi="仿宋_GB2312" w:eastAsia="仿宋_GB2312"/>
                <w:b/>
                <w:sz w:val="21"/>
                <w:szCs w:val="21"/>
              </w:rPr>
              <w:t>风险设施情况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2056" w:type="dxa"/>
            <w:tcBorders>
              <w:top w:val="single" w:color="auto" w:sz="4" w:space="0"/>
              <w:left w:val="single" w:color="auto" w:sz="4" w:space="0"/>
              <w:bottom w:val="single" w:color="auto" w:sz="4" w:space="0"/>
              <w:right w:val="single" w:color="auto" w:sz="4" w:space="0"/>
            </w:tcBorders>
            <w:noWrap/>
            <w:vAlign w:val="center"/>
          </w:tcPr>
          <w:p>
            <w:pPr>
              <w:widowControl w:val="0"/>
              <w:spacing w:after="0"/>
              <w:jc w:val="center"/>
              <w:rPr>
                <w:rFonts w:hAnsi="仿宋_GB2312" w:eastAsia="仿宋_GB2312"/>
                <w:sz w:val="21"/>
                <w:szCs w:val="21"/>
              </w:rPr>
            </w:pPr>
            <w:r>
              <w:rPr>
                <w:rFonts w:hAnsi="仿宋_GB2312" w:eastAsia="仿宋_GB2312"/>
                <w:sz w:val="21"/>
                <w:szCs w:val="21"/>
              </w:rPr>
              <w:t>储油罐</w:t>
            </w:r>
          </w:p>
        </w:tc>
        <w:tc>
          <w:tcPr>
            <w:tcW w:w="1811" w:type="dxa"/>
            <w:vMerge w:val="restart"/>
            <w:tcBorders>
              <w:top w:val="single" w:color="auto" w:sz="4" w:space="0"/>
              <w:left w:val="single" w:color="auto" w:sz="4" w:space="0"/>
              <w:right w:val="single" w:color="auto" w:sz="4" w:space="0"/>
            </w:tcBorders>
            <w:noWrap/>
            <w:vAlign w:val="center"/>
          </w:tcPr>
          <w:p>
            <w:pPr>
              <w:widowControl w:val="0"/>
              <w:spacing w:after="0"/>
              <w:jc w:val="center"/>
              <w:rPr>
                <w:rFonts w:eastAsia="仿宋_GB2312"/>
                <w:sz w:val="21"/>
                <w:szCs w:val="21"/>
              </w:rPr>
            </w:pPr>
            <w:r>
              <w:rPr>
                <w:rFonts w:hAnsi="仿宋_GB2312" w:eastAsia="仿宋_GB2312"/>
                <w:sz w:val="21"/>
                <w:szCs w:val="21"/>
              </w:rPr>
              <w:t>汽油、柴油</w:t>
            </w:r>
          </w:p>
        </w:tc>
        <w:tc>
          <w:tcPr>
            <w:tcW w:w="1728" w:type="dxa"/>
            <w:vMerge w:val="restart"/>
            <w:tcBorders>
              <w:top w:val="single" w:color="auto" w:sz="4" w:space="0"/>
              <w:left w:val="single" w:color="auto" w:sz="4" w:space="0"/>
              <w:right w:val="single" w:color="auto" w:sz="4" w:space="0"/>
            </w:tcBorders>
            <w:noWrap/>
            <w:vAlign w:val="center"/>
          </w:tcPr>
          <w:p>
            <w:pPr>
              <w:widowControl w:val="0"/>
              <w:spacing w:after="0"/>
              <w:jc w:val="center"/>
              <w:rPr>
                <w:rFonts w:eastAsia="仿宋_GB2312"/>
                <w:sz w:val="21"/>
                <w:szCs w:val="21"/>
              </w:rPr>
            </w:pPr>
            <w:r>
              <w:rPr>
                <w:rFonts w:hAnsi="仿宋_GB2312" w:eastAsia="仿宋_GB2312"/>
                <w:sz w:val="21"/>
                <w:szCs w:val="21"/>
              </w:rPr>
              <w:t>泄漏、火灾、爆炸</w:t>
            </w:r>
          </w:p>
        </w:tc>
        <w:tc>
          <w:tcPr>
            <w:tcW w:w="2731" w:type="dxa"/>
            <w:tcBorders>
              <w:top w:val="single" w:color="auto" w:sz="4" w:space="0"/>
              <w:left w:val="single" w:color="auto" w:sz="4" w:space="0"/>
              <w:bottom w:val="single" w:color="auto" w:sz="4" w:space="0"/>
              <w:right w:val="single" w:color="auto" w:sz="4" w:space="0"/>
            </w:tcBorders>
            <w:noWrap/>
            <w:vAlign w:val="center"/>
          </w:tcPr>
          <w:p>
            <w:pPr>
              <w:widowControl w:val="0"/>
              <w:spacing w:after="0"/>
              <w:jc w:val="center"/>
              <w:rPr>
                <w:rFonts w:eastAsia="仿宋_GB2312"/>
                <w:sz w:val="21"/>
                <w:szCs w:val="21"/>
              </w:rPr>
            </w:pPr>
            <w:r>
              <w:rPr>
                <w:rFonts w:hint="eastAsia" w:hAnsi="仿宋_GB2312" w:eastAsia="仿宋_GB2312"/>
                <w:sz w:val="21"/>
                <w:szCs w:val="21"/>
              </w:rPr>
              <w:t>双层埋地卧式储油罐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2056" w:type="dxa"/>
            <w:tcBorders>
              <w:top w:val="single" w:color="auto" w:sz="4" w:space="0"/>
              <w:left w:val="single" w:color="auto" w:sz="4" w:space="0"/>
              <w:bottom w:val="single" w:color="auto" w:sz="4" w:space="0"/>
              <w:right w:val="single" w:color="auto" w:sz="4" w:space="0"/>
            </w:tcBorders>
            <w:noWrap/>
            <w:vAlign w:val="center"/>
          </w:tcPr>
          <w:p>
            <w:pPr>
              <w:widowControl w:val="0"/>
              <w:spacing w:after="0"/>
              <w:jc w:val="center"/>
              <w:rPr>
                <w:rFonts w:hAnsi="仿宋_GB2312" w:eastAsia="仿宋_GB2312"/>
                <w:sz w:val="21"/>
                <w:szCs w:val="21"/>
              </w:rPr>
            </w:pPr>
            <w:r>
              <w:rPr>
                <w:rFonts w:hAnsi="仿宋_GB2312" w:eastAsia="仿宋_GB2312"/>
                <w:sz w:val="21"/>
                <w:szCs w:val="21"/>
              </w:rPr>
              <w:t>加油机</w:t>
            </w:r>
          </w:p>
        </w:tc>
        <w:tc>
          <w:tcPr>
            <w:tcW w:w="1811" w:type="dxa"/>
            <w:vMerge w:val="continue"/>
            <w:tcBorders>
              <w:left w:val="single" w:color="auto" w:sz="4" w:space="0"/>
              <w:right w:val="single" w:color="auto" w:sz="4" w:space="0"/>
            </w:tcBorders>
            <w:noWrap/>
            <w:vAlign w:val="center"/>
          </w:tcPr>
          <w:p>
            <w:pPr>
              <w:widowControl w:val="0"/>
              <w:spacing w:after="0"/>
              <w:jc w:val="center"/>
              <w:rPr>
                <w:rFonts w:eastAsia="仿宋_GB2312"/>
                <w:sz w:val="21"/>
                <w:szCs w:val="21"/>
              </w:rPr>
            </w:pPr>
          </w:p>
        </w:tc>
        <w:tc>
          <w:tcPr>
            <w:tcW w:w="1728" w:type="dxa"/>
            <w:vMerge w:val="continue"/>
            <w:tcBorders>
              <w:left w:val="single" w:color="auto" w:sz="4" w:space="0"/>
              <w:right w:val="single" w:color="auto" w:sz="4" w:space="0"/>
            </w:tcBorders>
            <w:noWrap/>
            <w:vAlign w:val="center"/>
          </w:tcPr>
          <w:p>
            <w:pPr>
              <w:widowControl w:val="0"/>
              <w:spacing w:after="0"/>
              <w:rPr>
                <w:rFonts w:eastAsia="仿宋_GB2312"/>
                <w:sz w:val="21"/>
                <w:szCs w:val="21"/>
              </w:rPr>
            </w:pPr>
          </w:p>
        </w:tc>
        <w:tc>
          <w:tcPr>
            <w:tcW w:w="2731" w:type="dxa"/>
            <w:tcBorders>
              <w:top w:val="single" w:color="auto" w:sz="4" w:space="0"/>
              <w:left w:val="single" w:color="auto" w:sz="4" w:space="0"/>
              <w:bottom w:val="single" w:color="auto" w:sz="4" w:space="0"/>
              <w:right w:val="single" w:color="auto" w:sz="4" w:space="0"/>
            </w:tcBorders>
            <w:noWrap/>
            <w:vAlign w:val="center"/>
          </w:tcPr>
          <w:p>
            <w:pPr>
              <w:widowControl w:val="0"/>
              <w:spacing w:after="0"/>
              <w:jc w:val="center"/>
              <w:rPr>
                <w:rFonts w:eastAsia="仿宋_GB2312"/>
                <w:sz w:val="21"/>
                <w:szCs w:val="21"/>
              </w:rPr>
            </w:pPr>
            <w:r>
              <w:rPr>
                <w:rFonts w:hAnsi="仿宋_GB2312" w:eastAsia="仿宋_GB2312"/>
                <w:sz w:val="21"/>
                <w:szCs w:val="21"/>
              </w:rPr>
              <w:t>加油机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2056" w:type="dxa"/>
            <w:tcBorders>
              <w:top w:val="single" w:color="auto" w:sz="4" w:space="0"/>
              <w:left w:val="single" w:color="auto" w:sz="4" w:space="0"/>
              <w:bottom w:val="single" w:color="auto" w:sz="4" w:space="0"/>
              <w:right w:val="single" w:color="auto" w:sz="4" w:space="0"/>
            </w:tcBorders>
            <w:noWrap/>
            <w:vAlign w:val="center"/>
          </w:tcPr>
          <w:p>
            <w:pPr>
              <w:widowControl w:val="0"/>
              <w:spacing w:after="0"/>
              <w:jc w:val="center"/>
              <w:rPr>
                <w:rFonts w:hAnsi="仿宋_GB2312" w:eastAsia="仿宋_GB2312"/>
                <w:sz w:val="21"/>
                <w:szCs w:val="21"/>
              </w:rPr>
            </w:pPr>
            <w:r>
              <w:rPr>
                <w:rFonts w:hAnsi="仿宋_GB2312" w:eastAsia="仿宋_GB2312"/>
                <w:sz w:val="21"/>
                <w:szCs w:val="21"/>
              </w:rPr>
              <w:t>输油管道</w:t>
            </w:r>
          </w:p>
        </w:tc>
        <w:tc>
          <w:tcPr>
            <w:tcW w:w="1811" w:type="dxa"/>
            <w:vMerge w:val="continue"/>
            <w:tcBorders>
              <w:left w:val="single" w:color="auto" w:sz="4" w:space="0"/>
              <w:bottom w:val="single" w:color="auto" w:sz="4" w:space="0"/>
              <w:right w:val="single" w:color="auto" w:sz="4" w:space="0"/>
            </w:tcBorders>
            <w:noWrap/>
            <w:vAlign w:val="center"/>
          </w:tcPr>
          <w:p>
            <w:pPr>
              <w:widowControl w:val="0"/>
              <w:spacing w:after="0"/>
              <w:jc w:val="center"/>
              <w:rPr>
                <w:rFonts w:eastAsia="仿宋_GB2312"/>
                <w:sz w:val="21"/>
                <w:szCs w:val="21"/>
              </w:rPr>
            </w:pPr>
          </w:p>
        </w:tc>
        <w:tc>
          <w:tcPr>
            <w:tcW w:w="1728" w:type="dxa"/>
            <w:vMerge w:val="continue"/>
            <w:tcBorders>
              <w:left w:val="single" w:color="auto" w:sz="4" w:space="0"/>
              <w:right w:val="single" w:color="auto" w:sz="4" w:space="0"/>
            </w:tcBorders>
            <w:noWrap/>
            <w:vAlign w:val="center"/>
          </w:tcPr>
          <w:p>
            <w:pPr>
              <w:widowControl w:val="0"/>
              <w:spacing w:after="0"/>
              <w:rPr>
                <w:rFonts w:eastAsia="仿宋_GB2312"/>
                <w:sz w:val="21"/>
                <w:szCs w:val="21"/>
              </w:rPr>
            </w:pPr>
          </w:p>
        </w:tc>
        <w:tc>
          <w:tcPr>
            <w:tcW w:w="2731" w:type="dxa"/>
            <w:tcBorders>
              <w:top w:val="single" w:color="auto" w:sz="4" w:space="0"/>
              <w:left w:val="single" w:color="auto" w:sz="4" w:space="0"/>
              <w:bottom w:val="single" w:color="auto" w:sz="4" w:space="0"/>
              <w:right w:val="single" w:color="auto" w:sz="4" w:space="0"/>
            </w:tcBorders>
            <w:noWrap/>
            <w:vAlign w:val="center"/>
          </w:tcPr>
          <w:p>
            <w:pPr>
              <w:widowControl w:val="0"/>
              <w:spacing w:after="0"/>
              <w:jc w:val="center"/>
              <w:rPr>
                <w:rFonts w:eastAsia="仿宋_GB2312"/>
                <w:sz w:val="21"/>
                <w:szCs w:val="21"/>
              </w:rPr>
            </w:pPr>
            <w:r>
              <w:rPr>
                <w:rFonts w:hAnsi="仿宋_GB2312" w:eastAsia="仿宋_GB2312"/>
                <w:sz w:val="21"/>
                <w:szCs w:val="21"/>
              </w:rPr>
              <w:t>地埋式管道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2056" w:type="dxa"/>
            <w:tcBorders>
              <w:top w:val="single" w:color="auto" w:sz="4" w:space="0"/>
              <w:left w:val="single" w:color="auto" w:sz="4" w:space="0"/>
              <w:bottom w:val="single" w:color="auto" w:sz="4" w:space="0"/>
              <w:right w:val="single" w:color="auto" w:sz="4" w:space="0"/>
            </w:tcBorders>
            <w:noWrap/>
            <w:vAlign w:val="center"/>
          </w:tcPr>
          <w:p>
            <w:pPr>
              <w:widowControl w:val="0"/>
              <w:spacing w:after="0"/>
              <w:jc w:val="center"/>
              <w:rPr>
                <w:rFonts w:eastAsia="仿宋_GB2312"/>
                <w:sz w:val="21"/>
                <w:szCs w:val="21"/>
              </w:rPr>
            </w:pPr>
            <w:r>
              <w:rPr>
                <w:rFonts w:hAnsi="仿宋_GB2312" w:eastAsia="仿宋_GB2312"/>
                <w:sz w:val="21"/>
                <w:szCs w:val="21"/>
              </w:rPr>
              <w:t>油罐底泥</w:t>
            </w:r>
          </w:p>
        </w:tc>
        <w:tc>
          <w:tcPr>
            <w:tcW w:w="1811" w:type="dxa"/>
            <w:tcBorders>
              <w:top w:val="single" w:color="auto" w:sz="4" w:space="0"/>
              <w:left w:val="single" w:color="auto" w:sz="4" w:space="0"/>
              <w:bottom w:val="single" w:color="auto" w:sz="4" w:space="0"/>
              <w:right w:val="single" w:color="auto" w:sz="4" w:space="0"/>
            </w:tcBorders>
            <w:noWrap/>
            <w:vAlign w:val="center"/>
          </w:tcPr>
          <w:p>
            <w:pPr>
              <w:widowControl w:val="0"/>
              <w:spacing w:after="0"/>
              <w:jc w:val="center"/>
              <w:rPr>
                <w:rFonts w:eastAsia="仿宋_GB2312"/>
                <w:sz w:val="21"/>
                <w:szCs w:val="21"/>
              </w:rPr>
            </w:pPr>
            <w:r>
              <w:rPr>
                <w:rFonts w:hAnsi="仿宋_GB2312" w:eastAsia="仿宋_GB2312"/>
                <w:sz w:val="21"/>
                <w:szCs w:val="21"/>
              </w:rPr>
              <w:t>柴油、汽油</w:t>
            </w:r>
          </w:p>
        </w:tc>
        <w:tc>
          <w:tcPr>
            <w:tcW w:w="1728" w:type="dxa"/>
            <w:tcBorders>
              <w:top w:val="single" w:color="auto" w:sz="4" w:space="0"/>
              <w:left w:val="single" w:color="auto" w:sz="4" w:space="0"/>
              <w:bottom w:val="single" w:color="auto" w:sz="4" w:space="0"/>
              <w:right w:val="single" w:color="auto" w:sz="4" w:space="0"/>
            </w:tcBorders>
            <w:noWrap/>
            <w:vAlign w:val="center"/>
          </w:tcPr>
          <w:p>
            <w:pPr>
              <w:widowControl w:val="0"/>
              <w:spacing w:after="0"/>
              <w:jc w:val="center"/>
              <w:rPr>
                <w:rFonts w:eastAsia="仿宋_GB2312"/>
                <w:sz w:val="21"/>
                <w:szCs w:val="21"/>
              </w:rPr>
            </w:pPr>
            <w:r>
              <w:rPr>
                <w:rFonts w:hAnsi="仿宋_GB2312" w:eastAsia="仿宋_GB2312"/>
                <w:sz w:val="21"/>
                <w:szCs w:val="21"/>
              </w:rPr>
              <w:t>泄漏</w:t>
            </w:r>
          </w:p>
        </w:tc>
        <w:tc>
          <w:tcPr>
            <w:tcW w:w="2731" w:type="dxa"/>
            <w:tcBorders>
              <w:top w:val="single" w:color="auto" w:sz="4" w:space="0"/>
              <w:left w:val="single" w:color="auto" w:sz="4" w:space="0"/>
              <w:bottom w:val="single" w:color="auto" w:sz="4" w:space="0"/>
              <w:right w:val="single" w:color="auto" w:sz="4" w:space="0"/>
            </w:tcBorders>
            <w:noWrap/>
            <w:vAlign w:val="center"/>
          </w:tcPr>
          <w:p>
            <w:pPr>
              <w:widowControl w:val="0"/>
              <w:spacing w:after="0"/>
              <w:jc w:val="center"/>
              <w:rPr>
                <w:rFonts w:eastAsia="仿宋_GB2312"/>
                <w:sz w:val="21"/>
                <w:szCs w:val="21"/>
              </w:rPr>
            </w:pPr>
            <w:r>
              <w:rPr>
                <w:rFonts w:hint="eastAsia" w:hAnsi="仿宋_GB2312" w:eastAsia="仿宋_GB2312"/>
                <w:sz w:val="21"/>
                <w:szCs w:val="21"/>
              </w:rPr>
              <w:t>双层埋地卧式储油罐</w:t>
            </w:r>
          </w:p>
        </w:tc>
      </w:tr>
    </w:tbl>
    <w:p>
      <w:pPr>
        <w:pStyle w:val="7"/>
        <w:adjustRightInd w:val="0"/>
        <w:snapToGrid w:val="0"/>
        <w:spacing w:beforeLines="50"/>
        <w:rPr>
          <w:rFonts w:eastAsia="仿宋_GB2312"/>
          <w:color w:val="000000"/>
          <w:szCs w:val="28"/>
        </w:rPr>
      </w:pPr>
      <w:bookmarkStart w:id="205" w:name="_Toc74855982"/>
      <w:r>
        <w:rPr>
          <w:rFonts w:eastAsia="仿宋_GB2312"/>
          <w:color w:val="000000"/>
          <w:szCs w:val="28"/>
        </w:rPr>
        <w:t>3.1.</w:t>
      </w:r>
      <w:r>
        <w:rPr>
          <w:rFonts w:hint="eastAsia" w:eastAsia="仿宋_GB2312"/>
          <w:color w:val="000000"/>
          <w:szCs w:val="28"/>
        </w:rPr>
        <w:t>4</w:t>
      </w:r>
      <w:r>
        <w:rPr>
          <w:rFonts w:eastAsia="仿宋_GB2312"/>
          <w:color w:val="000000"/>
          <w:szCs w:val="28"/>
        </w:rPr>
        <w:t>重大危险源识别</w:t>
      </w:r>
      <w:bookmarkEnd w:id="202"/>
      <w:bookmarkEnd w:id="203"/>
      <w:bookmarkEnd w:id="204"/>
      <w:bookmarkEnd w:id="205"/>
    </w:p>
    <w:p>
      <w:pPr>
        <w:widowControl w:val="0"/>
        <w:spacing w:after="0" w:line="360" w:lineRule="auto"/>
        <w:ind w:firstLine="480"/>
        <w:jc w:val="both"/>
        <w:rPr>
          <w:rFonts w:ascii="仿宋" w:hAnsi="仿宋" w:eastAsia="仿宋" w:cs="仿宋"/>
          <w:sz w:val="24"/>
          <w:szCs w:val="24"/>
        </w:rPr>
      </w:pPr>
      <w:bookmarkStart w:id="206" w:name="_Toc10037909"/>
      <w:bookmarkStart w:id="207" w:name="_Toc433795503"/>
      <w:bookmarkStart w:id="208" w:name="_Toc24066"/>
      <w:bookmarkStart w:id="209" w:name="_Toc18024"/>
      <w:bookmarkStart w:id="210" w:name="_Toc466379460"/>
      <w:bookmarkStart w:id="211" w:name="_Toc522025641"/>
      <w:r>
        <w:rPr>
          <w:rFonts w:hint="eastAsia" w:ascii="仿宋" w:hAnsi="仿宋" w:eastAsia="仿宋" w:cs="仿宋"/>
          <w:sz w:val="24"/>
          <w:szCs w:val="24"/>
        </w:rPr>
        <w:t>根据《危险化学品重大危险源辨识》（GB18218-2018）标准，在单元中的危险化学品数量等于或超过《危险化学品重大危险源辨识》（GB18218-2018）及《建设项目环境风险评价技术导则（HJ169-2018）》中的临界量时，将视为重大危险源。</w:t>
      </w:r>
    </w:p>
    <w:p>
      <w:pPr>
        <w:widowControl w:val="0"/>
        <w:spacing w:after="0" w:line="360" w:lineRule="auto"/>
        <w:ind w:firstLine="480"/>
        <w:jc w:val="both"/>
        <w:rPr>
          <w:rFonts w:ascii="仿宋" w:hAnsi="仿宋" w:eastAsia="仿宋" w:cs="仿宋"/>
          <w:sz w:val="24"/>
          <w:szCs w:val="24"/>
        </w:rPr>
      </w:pPr>
      <w:r>
        <w:rPr>
          <w:rFonts w:hint="eastAsia" w:ascii="仿宋" w:hAnsi="仿宋" w:eastAsia="仿宋" w:cs="仿宋"/>
          <w:sz w:val="24"/>
          <w:szCs w:val="24"/>
        </w:rPr>
        <w:t>重大危险源的辨识指标有两种情况：</w:t>
      </w:r>
    </w:p>
    <w:p>
      <w:pPr>
        <w:widowControl w:val="0"/>
        <w:spacing w:after="0" w:line="360" w:lineRule="auto"/>
        <w:ind w:firstLine="480"/>
        <w:jc w:val="both"/>
        <w:rPr>
          <w:rFonts w:ascii="仿宋" w:hAnsi="仿宋" w:eastAsia="仿宋" w:cs="仿宋"/>
          <w:sz w:val="24"/>
          <w:szCs w:val="24"/>
        </w:rPr>
      </w:pPr>
      <w:r>
        <w:rPr>
          <w:rFonts w:hint="eastAsia" w:ascii="仿宋" w:hAnsi="仿宋" w:eastAsia="仿宋" w:cs="仿宋"/>
          <w:sz w:val="24"/>
          <w:szCs w:val="24"/>
        </w:rPr>
        <w:t>单元内存在的危险化学品为单一品种，则该危险化学品的数量即为单元内危险化学品的总量，若等于或超过相应的临界量，则定为重大危险源。</w:t>
      </w:r>
    </w:p>
    <w:p>
      <w:pPr>
        <w:widowControl w:val="0"/>
        <w:spacing w:after="0" w:line="360" w:lineRule="auto"/>
        <w:ind w:firstLine="480"/>
        <w:jc w:val="both"/>
        <w:rPr>
          <w:rFonts w:ascii="仿宋" w:hAnsi="仿宋" w:eastAsia="仿宋" w:cs="仿宋"/>
          <w:sz w:val="24"/>
          <w:szCs w:val="24"/>
        </w:rPr>
      </w:pPr>
      <w:r>
        <w:rPr>
          <w:rFonts w:hint="eastAsia" w:ascii="仿宋" w:hAnsi="仿宋" w:eastAsia="仿宋" w:cs="仿宋"/>
          <w:sz w:val="24"/>
          <w:szCs w:val="24"/>
        </w:rPr>
        <w:t>单元内存在危险化学品为多品种时，则按下式计算，若满足下式，则定为重大危险源。q</w:t>
      </w:r>
      <w:r>
        <w:rPr>
          <w:rFonts w:hint="eastAsia" w:ascii="仿宋" w:hAnsi="仿宋" w:eastAsia="仿宋" w:cs="仿宋"/>
          <w:sz w:val="24"/>
          <w:szCs w:val="24"/>
          <w:vertAlign w:val="subscript"/>
        </w:rPr>
        <w:t>1</w:t>
      </w:r>
      <w:r>
        <w:rPr>
          <w:rFonts w:hint="eastAsia" w:ascii="仿宋" w:hAnsi="仿宋" w:eastAsia="仿宋" w:cs="仿宋"/>
          <w:sz w:val="24"/>
          <w:szCs w:val="24"/>
        </w:rPr>
        <w:t>/Q</w:t>
      </w:r>
      <w:r>
        <w:rPr>
          <w:rFonts w:hint="eastAsia" w:ascii="仿宋" w:hAnsi="仿宋" w:eastAsia="仿宋" w:cs="仿宋"/>
          <w:sz w:val="24"/>
          <w:szCs w:val="24"/>
          <w:vertAlign w:val="subscript"/>
        </w:rPr>
        <w:t>1</w:t>
      </w:r>
      <w:r>
        <w:rPr>
          <w:rFonts w:hint="eastAsia" w:ascii="仿宋" w:hAnsi="仿宋" w:eastAsia="仿宋" w:cs="仿宋"/>
          <w:sz w:val="24"/>
          <w:szCs w:val="24"/>
        </w:rPr>
        <w:t>+q</w:t>
      </w:r>
      <w:r>
        <w:rPr>
          <w:rFonts w:hint="eastAsia" w:ascii="仿宋" w:hAnsi="仿宋" w:eastAsia="仿宋" w:cs="仿宋"/>
          <w:sz w:val="24"/>
          <w:szCs w:val="24"/>
          <w:vertAlign w:val="subscript"/>
        </w:rPr>
        <w:t>2</w:t>
      </w:r>
      <w:r>
        <w:rPr>
          <w:rFonts w:hint="eastAsia" w:ascii="仿宋" w:hAnsi="仿宋" w:eastAsia="仿宋" w:cs="仿宋"/>
          <w:sz w:val="24"/>
          <w:szCs w:val="24"/>
        </w:rPr>
        <w:t>/Q</w:t>
      </w:r>
      <w:r>
        <w:rPr>
          <w:rFonts w:hint="eastAsia" w:ascii="仿宋" w:hAnsi="仿宋" w:eastAsia="仿宋" w:cs="仿宋"/>
          <w:sz w:val="24"/>
          <w:szCs w:val="24"/>
          <w:vertAlign w:val="subscript"/>
        </w:rPr>
        <w:t>2</w:t>
      </w:r>
      <w:r>
        <w:rPr>
          <w:rFonts w:hint="eastAsia" w:ascii="仿宋" w:hAnsi="仿宋" w:eastAsia="仿宋" w:cs="仿宋"/>
          <w:sz w:val="24"/>
          <w:szCs w:val="24"/>
        </w:rPr>
        <w:t>……+q</w:t>
      </w:r>
      <w:r>
        <w:rPr>
          <w:rFonts w:hint="eastAsia" w:ascii="仿宋" w:hAnsi="仿宋" w:eastAsia="仿宋" w:cs="仿宋"/>
          <w:sz w:val="24"/>
          <w:szCs w:val="24"/>
          <w:vertAlign w:val="subscript"/>
        </w:rPr>
        <w:t>n</w:t>
      </w:r>
      <w:r>
        <w:rPr>
          <w:rFonts w:hint="eastAsia" w:ascii="仿宋" w:hAnsi="仿宋" w:eastAsia="仿宋" w:cs="仿宋"/>
          <w:sz w:val="24"/>
          <w:szCs w:val="24"/>
        </w:rPr>
        <w:t>/Q</w:t>
      </w:r>
      <w:r>
        <w:rPr>
          <w:rFonts w:hint="eastAsia" w:ascii="仿宋" w:hAnsi="仿宋" w:eastAsia="仿宋" w:cs="仿宋"/>
          <w:sz w:val="24"/>
          <w:szCs w:val="24"/>
          <w:vertAlign w:val="subscript"/>
        </w:rPr>
        <w:t xml:space="preserve">n </w:t>
      </w:r>
      <w:r>
        <w:rPr>
          <w:rFonts w:hint="eastAsia" w:ascii="仿宋" w:hAnsi="仿宋" w:eastAsia="仿宋" w:cs="仿宋"/>
          <w:sz w:val="24"/>
          <w:szCs w:val="24"/>
        </w:rPr>
        <w:t>≥ 1</w:t>
      </w:r>
    </w:p>
    <w:p>
      <w:pPr>
        <w:widowControl w:val="0"/>
        <w:spacing w:after="0" w:line="360" w:lineRule="auto"/>
        <w:ind w:firstLine="480"/>
        <w:jc w:val="both"/>
        <w:rPr>
          <w:rFonts w:ascii="仿宋" w:hAnsi="仿宋" w:eastAsia="仿宋" w:cs="仿宋"/>
          <w:sz w:val="24"/>
          <w:szCs w:val="24"/>
        </w:rPr>
      </w:pPr>
      <w:r>
        <w:rPr>
          <w:rFonts w:hint="eastAsia" w:ascii="仿宋" w:hAnsi="仿宋" w:eastAsia="仿宋" w:cs="仿宋"/>
          <w:sz w:val="24"/>
          <w:szCs w:val="24"/>
        </w:rPr>
        <w:t>式中：q</w:t>
      </w:r>
      <w:r>
        <w:rPr>
          <w:rFonts w:hint="eastAsia" w:ascii="仿宋" w:hAnsi="仿宋" w:eastAsia="仿宋" w:cs="仿宋"/>
          <w:sz w:val="24"/>
          <w:szCs w:val="24"/>
          <w:vertAlign w:val="subscript"/>
        </w:rPr>
        <w:t>1</w:t>
      </w:r>
      <w:r>
        <w:rPr>
          <w:rFonts w:hint="eastAsia" w:ascii="仿宋" w:hAnsi="仿宋" w:eastAsia="仿宋" w:cs="仿宋"/>
          <w:sz w:val="24"/>
          <w:szCs w:val="24"/>
        </w:rPr>
        <w:t>、q</w:t>
      </w:r>
      <w:r>
        <w:rPr>
          <w:rFonts w:hint="eastAsia" w:ascii="仿宋" w:hAnsi="仿宋" w:eastAsia="仿宋" w:cs="仿宋"/>
          <w:sz w:val="24"/>
          <w:szCs w:val="24"/>
          <w:vertAlign w:val="subscript"/>
        </w:rPr>
        <w:t>2</w:t>
      </w:r>
      <w:r>
        <w:rPr>
          <w:rFonts w:hint="eastAsia" w:ascii="仿宋" w:hAnsi="仿宋" w:eastAsia="仿宋" w:cs="仿宋"/>
          <w:sz w:val="24"/>
          <w:szCs w:val="24"/>
        </w:rPr>
        <w:t>…，q</w:t>
      </w:r>
      <w:r>
        <w:rPr>
          <w:rFonts w:hint="eastAsia" w:ascii="仿宋" w:hAnsi="仿宋" w:eastAsia="仿宋" w:cs="仿宋"/>
          <w:sz w:val="24"/>
          <w:szCs w:val="24"/>
          <w:vertAlign w:val="subscript"/>
        </w:rPr>
        <w:t>n</w:t>
      </w:r>
      <w:r>
        <w:rPr>
          <w:rFonts w:hint="eastAsia" w:ascii="仿宋" w:hAnsi="仿宋" w:eastAsia="仿宋" w:cs="仿宋"/>
          <w:sz w:val="24"/>
          <w:szCs w:val="24"/>
        </w:rPr>
        <w:t>为每种危险化学品实际存在量，t。</w:t>
      </w:r>
    </w:p>
    <w:p>
      <w:pPr>
        <w:widowControl w:val="0"/>
        <w:spacing w:after="0" w:line="360" w:lineRule="auto"/>
        <w:ind w:firstLine="1200" w:firstLineChars="500"/>
        <w:jc w:val="both"/>
        <w:rPr>
          <w:rFonts w:ascii="仿宋" w:hAnsi="仿宋" w:eastAsia="仿宋" w:cs="仿宋"/>
          <w:sz w:val="24"/>
          <w:szCs w:val="24"/>
        </w:rPr>
      </w:pPr>
      <w:r>
        <w:rPr>
          <w:rFonts w:hint="eastAsia" w:ascii="仿宋" w:hAnsi="仿宋" w:eastAsia="仿宋" w:cs="仿宋"/>
          <w:sz w:val="24"/>
          <w:szCs w:val="24"/>
        </w:rPr>
        <w:t>Q</w:t>
      </w:r>
      <w:r>
        <w:rPr>
          <w:rFonts w:hint="eastAsia" w:ascii="仿宋" w:hAnsi="仿宋" w:eastAsia="仿宋" w:cs="仿宋"/>
          <w:sz w:val="24"/>
          <w:szCs w:val="24"/>
          <w:vertAlign w:val="subscript"/>
        </w:rPr>
        <w:t>1</w:t>
      </w:r>
      <w:r>
        <w:rPr>
          <w:rFonts w:hint="eastAsia" w:ascii="仿宋" w:hAnsi="仿宋" w:eastAsia="仿宋" w:cs="仿宋"/>
          <w:sz w:val="24"/>
          <w:szCs w:val="24"/>
        </w:rPr>
        <w:t>、Q</w:t>
      </w:r>
      <w:r>
        <w:rPr>
          <w:rFonts w:hint="eastAsia" w:ascii="仿宋" w:hAnsi="仿宋" w:eastAsia="仿宋" w:cs="仿宋"/>
          <w:sz w:val="24"/>
          <w:szCs w:val="24"/>
          <w:vertAlign w:val="subscript"/>
        </w:rPr>
        <w:t>2</w:t>
      </w:r>
      <w:r>
        <w:rPr>
          <w:rFonts w:hint="eastAsia" w:ascii="仿宋" w:hAnsi="仿宋" w:eastAsia="仿宋" w:cs="仿宋"/>
          <w:sz w:val="24"/>
          <w:szCs w:val="24"/>
        </w:rPr>
        <w:t>…Q</w:t>
      </w:r>
      <w:r>
        <w:rPr>
          <w:rFonts w:hint="eastAsia" w:ascii="仿宋" w:hAnsi="仿宋" w:eastAsia="仿宋" w:cs="仿宋"/>
          <w:sz w:val="24"/>
          <w:szCs w:val="24"/>
          <w:vertAlign w:val="subscript"/>
        </w:rPr>
        <w:t>n</w:t>
      </w:r>
      <w:r>
        <w:rPr>
          <w:rFonts w:hint="eastAsia" w:ascii="仿宋" w:hAnsi="仿宋" w:eastAsia="仿宋" w:cs="仿宋"/>
          <w:sz w:val="24"/>
          <w:szCs w:val="24"/>
        </w:rPr>
        <w:t>为与各危险化学品相对应的临界量，t。</w:t>
      </w:r>
    </w:p>
    <w:bookmarkEnd w:id="206"/>
    <w:p>
      <w:pPr>
        <w:widowControl w:val="0"/>
        <w:spacing w:after="0" w:line="360" w:lineRule="auto"/>
        <w:ind w:firstLine="480"/>
        <w:rPr>
          <w:rFonts w:ascii="仿宋" w:hAnsi="仿宋" w:eastAsia="仿宋" w:cs="仿宋"/>
          <w:sz w:val="24"/>
          <w:szCs w:val="24"/>
        </w:rPr>
      </w:pPr>
      <w:r>
        <w:rPr>
          <w:rFonts w:hint="eastAsia" w:ascii="仿宋" w:hAnsi="仿宋" w:eastAsia="仿宋" w:cs="仿宋"/>
          <w:sz w:val="24"/>
          <w:szCs w:val="24"/>
        </w:rPr>
        <w:t>对涉及的主要风险物质进行识别，我站涉及的主要风险物质为汽油和柴油，按照站内最大存储量进行计算，具体结果详见表3.1.4-1。</w:t>
      </w:r>
    </w:p>
    <w:p>
      <w:pPr>
        <w:spacing w:line="360" w:lineRule="auto"/>
        <w:jc w:val="center"/>
        <w:rPr>
          <w:rFonts w:eastAsia="仿宋_GB2312"/>
          <w:b/>
          <w:bCs/>
          <w:sz w:val="24"/>
          <w:szCs w:val="24"/>
        </w:rPr>
      </w:pPr>
      <w:r>
        <w:rPr>
          <w:rFonts w:eastAsia="仿宋_GB2312"/>
          <w:b/>
          <w:color w:val="000000"/>
          <w:sz w:val="24"/>
          <w:szCs w:val="24"/>
        </w:rPr>
        <w:t>表3.</w:t>
      </w:r>
      <w:r>
        <w:rPr>
          <w:rFonts w:hint="eastAsia" w:eastAsia="仿宋_GB2312"/>
          <w:b/>
          <w:color w:val="000000"/>
          <w:sz w:val="24"/>
          <w:szCs w:val="24"/>
        </w:rPr>
        <w:t>1</w:t>
      </w:r>
      <w:r>
        <w:rPr>
          <w:rFonts w:eastAsia="仿宋_GB2312"/>
          <w:b/>
          <w:color w:val="000000"/>
          <w:sz w:val="24"/>
          <w:szCs w:val="24"/>
        </w:rPr>
        <w:t>.</w:t>
      </w:r>
      <w:r>
        <w:rPr>
          <w:rFonts w:hint="eastAsia" w:eastAsia="仿宋_GB2312"/>
          <w:b/>
          <w:color w:val="000000"/>
          <w:sz w:val="24"/>
          <w:szCs w:val="24"/>
        </w:rPr>
        <w:t>4</w:t>
      </w:r>
      <w:r>
        <w:rPr>
          <w:rFonts w:eastAsia="仿宋_GB2312"/>
          <w:b/>
          <w:color w:val="000000"/>
          <w:sz w:val="24"/>
          <w:szCs w:val="24"/>
        </w:rPr>
        <w:t>-1</w:t>
      </w:r>
      <w:r>
        <w:rPr>
          <w:rFonts w:eastAsia="仿宋_GB2312"/>
          <w:b/>
          <w:bCs/>
          <w:sz w:val="24"/>
          <w:szCs w:val="24"/>
        </w:rPr>
        <w:t xml:space="preserve"> 重大危险源识别结果</w:t>
      </w:r>
    </w:p>
    <w:tbl>
      <w:tblPr>
        <w:tblStyle w:val="31"/>
        <w:tblW w:w="8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1275"/>
        <w:gridCol w:w="1965"/>
        <w:gridCol w:w="1470"/>
        <w:gridCol w:w="1275"/>
        <w:gridCol w:w="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445" w:type="dxa"/>
            <w:noWrap/>
            <w:vAlign w:val="center"/>
          </w:tcPr>
          <w:p>
            <w:pPr>
              <w:jc w:val="center"/>
              <w:rPr>
                <w:rFonts w:eastAsia="仿宋_GB2312"/>
                <w:b/>
                <w:sz w:val="21"/>
                <w:szCs w:val="21"/>
              </w:rPr>
            </w:pPr>
            <w:r>
              <w:rPr>
                <w:rFonts w:eastAsia="仿宋_GB2312"/>
                <w:b/>
                <w:sz w:val="21"/>
                <w:szCs w:val="21"/>
              </w:rPr>
              <w:t>功能单元</w:t>
            </w:r>
          </w:p>
        </w:tc>
        <w:tc>
          <w:tcPr>
            <w:tcW w:w="1275" w:type="dxa"/>
            <w:noWrap/>
            <w:vAlign w:val="center"/>
          </w:tcPr>
          <w:p>
            <w:pPr>
              <w:jc w:val="center"/>
              <w:rPr>
                <w:rFonts w:eastAsia="仿宋_GB2312"/>
                <w:b/>
                <w:sz w:val="21"/>
                <w:szCs w:val="21"/>
              </w:rPr>
            </w:pPr>
            <w:r>
              <w:rPr>
                <w:rFonts w:eastAsia="仿宋_GB2312"/>
                <w:b/>
                <w:sz w:val="21"/>
                <w:szCs w:val="21"/>
              </w:rPr>
              <w:t>危险物质</w:t>
            </w:r>
          </w:p>
        </w:tc>
        <w:tc>
          <w:tcPr>
            <w:tcW w:w="1965" w:type="dxa"/>
            <w:noWrap/>
            <w:vAlign w:val="center"/>
          </w:tcPr>
          <w:p>
            <w:pPr>
              <w:jc w:val="center"/>
              <w:rPr>
                <w:rFonts w:eastAsia="仿宋_GB2312"/>
                <w:b/>
                <w:sz w:val="21"/>
                <w:szCs w:val="21"/>
              </w:rPr>
            </w:pPr>
            <w:r>
              <w:rPr>
                <w:rFonts w:eastAsia="仿宋_GB2312"/>
                <w:b/>
                <w:sz w:val="21"/>
                <w:szCs w:val="21"/>
              </w:rPr>
              <w:t>最大储存量（t）</w:t>
            </w:r>
          </w:p>
        </w:tc>
        <w:tc>
          <w:tcPr>
            <w:tcW w:w="1470" w:type="dxa"/>
            <w:noWrap/>
            <w:vAlign w:val="center"/>
          </w:tcPr>
          <w:p>
            <w:pPr>
              <w:jc w:val="center"/>
              <w:rPr>
                <w:rFonts w:eastAsia="仿宋_GB2312"/>
                <w:b/>
                <w:sz w:val="21"/>
                <w:szCs w:val="21"/>
              </w:rPr>
            </w:pPr>
            <w:r>
              <w:rPr>
                <w:rFonts w:eastAsia="仿宋_GB2312"/>
                <w:b/>
                <w:sz w:val="21"/>
                <w:szCs w:val="21"/>
              </w:rPr>
              <w:t>临界值（t）</w:t>
            </w:r>
          </w:p>
        </w:tc>
        <w:tc>
          <w:tcPr>
            <w:tcW w:w="1275" w:type="dxa"/>
            <w:noWrap/>
            <w:vAlign w:val="center"/>
          </w:tcPr>
          <w:p>
            <w:pPr>
              <w:jc w:val="center"/>
              <w:rPr>
                <w:rFonts w:eastAsia="仿宋_GB2312"/>
                <w:b/>
                <w:sz w:val="21"/>
                <w:szCs w:val="21"/>
              </w:rPr>
            </w:pPr>
            <w:r>
              <w:rPr>
                <w:rFonts w:eastAsia="仿宋_GB2312"/>
                <w:b/>
                <w:sz w:val="21"/>
                <w:szCs w:val="21"/>
              </w:rPr>
              <w:t>qi/Qi</w:t>
            </w:r>
          </w:p>
        </w:tc>
        <w:tc>
          <w:tcPr>
            <w:tcW w:w="745" w:type="dxa"/>
            <w:noWrap/>
            <w:vAlign w:val="center"/>
          </w:tcPr>
          <w:p>
            <w:pPr>
              <w:jc w:val="center"/>
              <w:rPr>
                <w:rFonts w:eastAsia="仿宋_GB2312"/>
                <w:b/>
                <w:sz w:val="21"/>
                <w:szCs w:val="21"/>
              </w:rPr>
            </w:pPr>
            <w:r>
              <w:rPr>
                <w:rFonts w:eastAsia="仿宋_GB2312"/>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445" w:type="dxa"/>
            <w:noWrap/>
            <w:vAlign w:val="center"/>
          </w:tcPr>
          <w:p>
            <w:pPr>
              <w:snapToGrid/>
              <w:jc w:val="center"/>
              <w:rPr>
                <w:rFonts w:eastAsia="仿宋_GB2312"/>
                <w:sz w:val="21"/>
                <w:szCs w:val="21"/>
              </w:rPr>
            </w:pPr>
            <w:r>
              <w:rPr>
                <w:rFonts w:hint="eastAsia" w:eastAsia="仿宋_GB2312"/>
                <w:sz w:val="21"/>
                <w:szCs w:val="21"/>
              </w:rPr>
              <w:t>汽油储罐</w:t>
            </w:r>
          </w:p>
        </w:tc>
        <w:tc>
          <w:tcPr>
            <w:tcW w:w="1275" w:type="dxa"/>
            <w:noWrap/>
            <w:vAlign w:val="center"/>
          </w:tcPr>
          <w:p>
            <w:pPr>
              <w:snapToGrid/>
              <w:jc w:val="center"/>
              <w:rPr>
                <w:rFonts w:eastAsia="仿宋_GB2312"/>
                <w:sz w:val="21"/>
                <w:szCs w:val="21"/>
              </w:rPr>
            </w:pPr>
            <w:r>
              <w:rPr>
                <w:rFonts w:hint="eastAsia" w:eastAsia="仿宋_GB2312"/>
                <w:bCs/>
                <w:sz w:val="21"/>
              </w:rPr>
              <w:t>汽油</w:t>
            </w:r>
          </w:p>
        </w:tc>
        <w:tc>
          <w:tcPr>
            <w:tcW w:w="1965" w:type="dxa"/>
            <w:noWrap/>
            <w:vAlign w:val="center"/>
          </w:tcPr>
          <w:p>
            <w:pPr>
              <w:widowControl w:val="0"/>
              <w:jc w:val="center"/>
              <w:rPr>
                <w:rFonts w:eastAsia="仿宋_GB2312"/>
                <w:sz w:val="21"/>
              </w:rPr>
            </w:pPr>
            <w:r>
              <w:rPr>
                <w:rFonts w:hint="eastAsia" w:eastAsia="仿宋_GB2312"/>
                <w:sz w:val="21"/>
              </w:rPr>
              <w:t>60.75</w:t>
            </w:r>
          </w:p>
        </w:tc>
        <w:tc>
          <w:tcPr>
            <w:tcW w:w="1470" w:type="dxa"/>
            <w:vMerge w:val="restart"/>
            <w:noWrap/>
            <w:vAlign w:val="center"/>
          </w:tcPr>
          <w:p>
            <w:pPr>
              <w:autoSpaceDE w:val="0"/>
              <w:autoSpaceDN w:val="0"/>
              <w:spacing w:line="240" w:lineRule="atLeast"/>
              <w:ind w:firstLine="420"/>
              <w:rPr>
                <w:rFonts w:eastAsia="仿宋_GB2312"/>
                <w:bCs/>
                <w:sz w:val="21"/>
                <w:szCs w:val="21"/>
              </w:rPr>
            </w:pPr>
            <w:r>
              <w:rPr>
                <w:rFonts w:hint="eastAsia" w:eastAsia="仿宋_GB2312"/>
                <w:bCs/>
                <w:sz w:val="21"/>
                <w:szCs w:val="21"/>
              </w:rPr>
              <w:t>2500</w:t>
            </w:r>
          </w:p>
        </w:tc>
        <w:tc>
          <w:tcPr>
            <w:tcW w:w="1275" w:type="dxa"/>
            <w:noWrap/>
            <w:vAlign w:val="center"/>
          </w:tcPr>
          <w:p>
            <w:pPr>
              <w:snapToGrid/>
              <w:jc w:val="center"/>
              <w:rPr>
                <w:rFonts w:eastAsia="仿宋_GB2312"/>
                <w:sz w:val="21"/>
                <w:szCs w:val="21"/>
              </w:rPr>
            </w:pPr>
            <w:r>
              <w:rPr>
                <w:rFonts w:hint="eastAsia" w:eastAsia="仿宋_GB2312"/>
                <w:sz w:val="21"/>
                <w:szCs w:val="21"/>
              </w:rPr>
              <w:t>0.0243</w:t>
            </w:r>
          </w:p>
        </w:tc>
        <w:tc>
          <w:tcPr>
            <w:tcW w:w="745" w:type="dxa"/>
            <w:noWrap/>
            <w:vAlign w:val="center"/>
          </w:tcPr>
          <w:p>
            <w:pPr>
              <w:snapToGrid/>
              <w:jc w:val="center"/>
              <w:rPr>
                <w:rFonts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445" w:type="dxa"/>
            <w:noWrap/>
            <w:vAlign w:val="center"/>
          </w:tcPr>
          <w:p>
            <w:pPr>
              <w:snapToGrid/>
              <w:jc w:val="center"/>
              <w:rPr>
                <w:rFonts w:eastAsia="仿宋_GB2312"/>
                <w:sz w:val="21"/>
                <w:szCs w:val="21"/>
              </w:rPr>
            </w:pPr>
            <w:r>
              <w:rPr>
                <w:rFonts w:hint="eastAsia" w:eastAsia="仿宋_GB2312"/>
                <w:sz w:val="21"/>
                <w:szCs w:val="21"/>
              </w:rPr>
              <w:t>柴油储罐</w:t>
            </w:r>
          </w:p>
        </w:tc>
        <w:tc>
          <w:tcPr>
            <w:tcW w:w="1275" w:type="dxa"/>
            <w:noWrap/>
            <w:vAlign w:val="center"/>
          </w:tcPr>
          <w:p>
            <w:pPr>
              <w:snapToGrid/>
              <w:jc w:val="center"/>
              <w:rPr>
                <w:rFonts w:eastAsia="仿宋_GB2312"/>
                <w:sz w:val="21"/>
                <w:szCs w:val="21"/>
              </w:rPr>
            </w:pPr>
            <w:r>
              <w:rPr>
                <w:rFonts w:hint="eastAsia" w:eastAsia="仿宋_GB2312"/>
                <w:bCs/>
                <w:sz w:val="21"/>
              </w:rPr>
              <w:t>柴油</w:t>
            </w:r>
          </w:p>
        </w:tc>
        <w:tc>
          <w:tcPr>
            <w:tcW w:w="1965" w:type="dxa"/>
            <w:noWrap/>
            <w:vAlign w:val="center"/>
          </w:tcPr>
          <w:p>
            <w:pPr>
              <w:widowControl w:val="0"/>
              <w:jc w:val="center"/>
              <w:rPr>
                <w:rFonts w:eastAsia="仿宋_GB2312"/>
                <w:sz w:val="21"/>
              </w:rPr>
            </w:pPr>
            <w:r>
              <w:rPr>
                <w:rFonts w:hint="eastAsia" w:eastAsia="仿宋_GB2312"/>
                <w:sz w:val="21"/>
              </w:rPr>
              <w:t>38.25</w:t>
            </w:r>
          </w:p>
        </w:tc>
        <w:tc>
          <w:tcPr>
            <w:tcW w:w="1470" w:type="dxa"/>
            <w:vMerge w:val="continue"/>
            <w:noWrap/>
            <w:vAlign w:val="center"/>
          </w:tcPr>
          <w:p>
            <w:pPr>
              <w:autoSpaceDE w:val="0"/>
              <w:autoSpaceDN w:val="0"/>
              <w:spacing w:line="240" w:lineRule="atLeast"/>
              <w:jc w:val="center"/>
              <w:rPr>
                <w:rFonts w:eastAsia="仿宋_GB2312"/>
                <w:bCs/>
                <w:sz w:val="21"/>
                <w:szCs w:val="21"/>
              </w:rPr>
            </w:pPr>
          </w:p>
        </w:tc>
        <w:tc>
          <w:tcPr>
            <w:tcW w:w="1275" w:type="dxa"/>
            <w:noWrap/>
            <w:vAlign w:val="center"/>
          </w:tcPr>
          <w:p>
            <w:pPr>
              <w:snapToGrid/>
              <w:jc w:val="center"/>
              <w:rPr>
                <w:rFonts w:eastAsia="仿宋_GB2312"/>
                <w:sz w:val="21"/>
                <w:szCs w:val="21"/>
              </w:rPr>
            </w:pPr>
            <w:r>
              <w:rPr>
                <w:rFonts w:hint="eastAsia" w:eastAsia="仿宋_GB2312"/>
                <w:sz w:val="21"/>
                <w:szCs w:val="21"/>
              </w:rPr>
              <w:t>0.0153</w:t>
            </w:r>
          </w:p>
        </w:tc>
        <w:tc>
          <w:tcPr>
            <w:tcW w:w="745" w:type="dxa"/>
            <w:noWrap/>
            <w:vAlign w:val="center"/>
          </w:tcPr>
          <w:p>
            <w:pPr>
              <w:snapToGrid/>
              <w:jc w:val="center"/>
              <w:rPr>
                <w:rFonts w:eastAsia="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2720" w:type="dxa"/>
            <w:gridSpan w:val="2"/>
            <w:noWrap/>
            <w:vAlign w:val="center"/>
          </w:tcPr>
          <w:p>
            <w:pPr>
              <w:snapToGrid/>
              <w:jc w:val="center"/>
              <w:rPr>
                <w:rFonts w:eastAsia="仿宋_GB2312"/>
                <w:sz w:val="21"/>
                <w:szCs w:val="21"/>
              </w:rPr>
            </w:pPr>
            <w:r>
              <w:rPr>
                <w:rFonts w:eastAsia="仿宋_GB2312"/>
                <w:sz w:val="21"/>
                <w:szCs w:val="21"/>
              </w:rPr>
              <w:t>合计</w:t>
            </w:r>
          </w:p>
        </w:tc>
        <w:tc>
          <w:tcPr>
            <w:tcW w:w="1965" w:type="dxa"/>
            <w:noWrap/>
            <w:vAlign w:val="center"/>
          </w:tcPr>
          <w:p>
            <w:pPr>
              <w:snapToGrid/>
              <w:jc w:val="center"/>
              <w:rPr>
                <w:rFonts w:eastAsia="仿宋_GB2312"/>
                <w:sz w:val="21"/>
                <w:szCs w:val="21"/>
              </w:rPr>
            </w:pPr>
            <w:r>
              <w:rPr>
                <w:rFonts w:eastAsia="仿宋_GB2312"/>
                <w:sz w:val="21"/>
                <w:szCs w:val="21"/>
              </w:rPr>
              <w:t>--</w:t>
            </w:r>
          </w:p>
        </w:tc>
        <w:tc>
          <w:tcPr>
            <w:tcW w:w="1470" w:type="dxa"/>
            <w:noWrap/>
            <w:vAlign w:val="center"/>
          </w:tcPr>
          <w:p>
            <w:pPr>
              <w:snapToGrid/>
              <w:jc w:val="center"/>
              <w:rPr>
                <w:rFonts w:eastAsia="仿宋_GB2312"/>
                <w:sz w:val="21"/>
                <w:szCs w:val="21"/>
              </w:rPr>
            </w:pPr>
            <w:r>
              <w:rPr>
                <w:rFonts w:eastAsia="仿宋_GB2312"/>
                <w:sz w:val="21"/>
                <w:szCs w:val="21"/>
              </w:rPr>
              <w:t>--</w:t>
            </w:r>
          </w:p>
        </w:tc>
        <w:tc>
          <w:tcPr>
            <w:tcW w:w="1275" w:type="dxa"/>
            <w:noWrap/>
            <w:vAlign w:val="center"/>
          </w:tcPr>
          <w:p>
            <w:pPr>
              <w:snapToGrid/>
              <w:jc w:val="center"/>
              <w:rPr>
                <w:rFonts w:eastAsia="仿宋_GB2312"/>
                <w:sz w:val="21"/>
                <w:szCs w:val="21"/>
              </w:rPr>
            </w:pPr>
            <w:r>
              <w:rPr>
                <w:rFonts w:hint="eastAsia" w:eastAsia="仿宋_GB2312"/>
                <w:sz w:val="21"/>
                <w:szCs w:val="21"/>
              </w:rPr>
              <w:t>0.0396</w:t>
            </w:r>
          </w:p>
        </w:tc>
        <w:tc>
          <w:tcPr>
            <w:tcW w:w="745" w:type="dxa"/>
            <w:noWrap/>
            <w:vAlign w:val="center"/>
          </w:tcPr>
          <w:p>
            <w:pPr>
              <w:snapToGrid/>
              <w:jc w:val="center"/>
              <w:rPr>
                <w:rFonts w:eastAsia="仿宋_GB2312"/>
                <w:sz w:val="21"/>
                <w:szCs w:val="21"/>
              </w:rPr>
            </w:pPr>
            <w:r>
              <w:rPr>
                <w:rFonts w:eastAsia="仿宋_GB2312"/>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2720" w:type="dxa"/>
            <w:gridSpan w:val="2"/>
            <w:noWrap/>
            <w:vAlign w:val="center"/>
          </w:tcPr>
          <w:p>
            <w:pPr>
              <w:snapToGrid/>
              <w:jc w:val="center"/>
              <w:rPr>
                <w:rFonts w:eastAsia="仿宋_GB2312"/>
                <w:sz w:val="21"/>
                <w:szCs w:val="21"/>
              </w:rPr>
            </w:pPr>
            <w:r>
              <w:rPr>
                <w:rFonts w:eastAsia="仿宋_GB2312"/>
                <w:sz w:val="21"/>
                <w:szCs w:val="21"/>
              </w:rPr>
              <w:t>是否构成重大危险源</w:t>
            </w:r>
          </w:p>
        </w:tc>
        <w:tc>
          <w:tcPr>
            <w:tcW w:w="4710" w:type="dxa"/>
            <w:gridSpan w:val="3"/>
            <w:noWrap/>
            <w:vAlign w:val="center"/>
          </w:tcPr>
          <w:p>
            <w:pPr>
              <w:snapToGrid/>
              <w:jc w:val="center"/>
              <w:rPr>
                <w:rFonts w:eastAsia="仿宋_GB2312"/>
                <w:sz w:val="21"/>
                <w:szCs w:val="21"/>
              </w:rPr>
            </w:pPr>
            <w:r>
              <w:rPr>
                <w:rFonts w:eastAsia="仿宋_GB2312"/>
                <w:sz w:val="21"/>
                <w:szCs w:val="21"/>
              </w:rPr>
              <w:t>否</w:t>
            </w:r>
          </w:p>
        </w:tc>
        <w:tc>
          <w:tcPr>
            <w:tcW w:w="745" w:type="dxa"/>
            <w:noWrap/>
            <w:vAlign w:val="center"/>
          </w:tcPr>
          <w:p>
            <w:pPr>
              <w:snapToGrid/>
              <w:jc w:val="center"/>
              <w:rPr>
                <w:rFonts w:eastAsia="仿宋_GB2312"/>
                <w:sz w:val="21"/>
                <w:szCs w:val="21"/>
              </w:rPr>
            </w:pPr>
            <w:r>
              <w:rPr>
                <w:rFonts w:eastAsia="仿宋_GB2312"/>
                <w:sz w:val="21"/>
                <w:szCs w:val="21"/>
              </w:rPr>
              <w:t>--</w:t>
            </w:r>
          </w:p>
        </w:tc>
      </w:tr>
    </w:tbl>
    <w:p>
      <w:pPr>
        <w:adjustRightInd/>
        <w:spacing w:beforeLines="50" w:line="360" w:lineRule="auto"/>
        <w:ind w:firstLine="480"/>
        <w:rPr>
          <w:rFonts w:eastAsia="仿宋_GB2312"/>
          <w:b/>
          <w:bCs/>
          <w:sz w:val="24"/>
          <w:szCs w:val="24"/>
        </w:rPr>
      </w:pPr>
      <w:r>
        <w:rPr>
          <w:rFonts w:eastAsia="仿宋_GB2312"/>
          <w:sz w:val="24"/>
          <w:szCs w:val="24"/>
        </w:rPr>
        <w:t>通过计算，</w:t>
      </w:r>
      <w:r>
        <w:rPr>
          <w:rFonts w:hint="eastAsia" w:eastAsia="仿宋_GB2312"/>
          <w:sz w:val="24"/>
          <w:szCs w:val="24"/>
        </w:rPr>
        <w:t>加油站</w:t>
      </w:r>
      <w:r>
        <w:rPr>
          <w:rFonts w:eastAsia="仿宋_GB2312"/>
          <w:sz w:val="24"/>
          <w:szCs w:val="24"/>
        </w:rPr>
        <w:t>风险物质q</w:t>
      </w:r>
      <w:r>
        <w:rPr>
          <w:rFonts w:eastAsia="仿宋_GB2312"/>
          <w:sz w:val="24"/>
          <w:szCs w:val="24"/>
          <w:vertAlign w:val="subscript"/>
        </w:rPr>
        <w:t>i</w:t>
      </w:r>
      <w:r>
        <w:rPr>
          <w:rFonts w:eastAsia="仿宋_GB2312"/>
          <w:sz w:val="24"/>
          <w:szCs w:val="24"/>
        </w:rPr>
        <w:t>/Q</w:t>
      </w:r>
      <w:r>
        <w:rPr>
          <w:rFonts w:eastAsia="仿宋_GB2312"/>
          <w:sz w:val="24"/>
          <w:szCs w:val="24"/>
          <w:vertAlign w:val="subscript"/>
        </w:rPr>
        <w:t>i</w:t>
      </w:r>
      <w:r>
        <w:rPr>
          <w:rFonts w:eastAsia="仿宋_GB2312"/>
          <w:sz w:val="24"/>
          <w:szCs w:val="24"/>
        </w:rPr>
        <w:t>=0.0</w:t>
      </w:r>
      <w:r>
        <w:rPr>
          <w:rFonts w:hint="eastAsia" w:eastAsia="仿宋_GB2312"/>
          <w:sz w:val="24"/>
          <w:szCs w:val="24"/>
        </w:rPr>
        <w:t>396</w:t>
      </w:r>
      <w:r>
        <w:rPr>
          <w:rFonts w:eastAsia="仿宋_GB2312"/>
          <w:sz w:val="24"/>
          <w:szCs w:val="24"/>
        </w:rPr>
        <w:t>＜1，</w:t>
      </w:r>
      <w:r>
        <w:rPr>
          <w:rFonts w:hint="eastAsia" w:eastAsia="仿宋_GB2312"/>
          <w:sz w:val="24"/>
          <w:szCs w:val="24"/>
        </w:rPr>
        <w:t>本站</w:t>
      </w:r>
      <w:r>
        <w:rPr>
          <w:rFonts w:eastAsia="仿宋_GB2312"/>
          <w:sz w:val="24"/>
          <w:szCs w:val="24"/>
        </w:rPr>
        <w:t>未构成重大危险源。</w:t>
      </w:r>
    </w:p>
    <w:p>
      <w:pPr>
        <w:pStyle w:val="6"/>
        <w:spacing w:beforeLines="100"/>
        <w:rPr>
          <w:rFonts w:eastAsia="仿宋_GB2312"/>
          <w:sz w:val="28"/>
          <w:szCs w:val="28"/>
        </w:rPr>
      </w:pPr>
      <w:bookmarkStart w:id="212" w:name="_Toc24065"/>
      <w:bookmarkStart w:id="213" w:name="_Toc74855983"/>
      <w:r>
        <w:rPr>
          <w:rFonts w:eastAsia="仿宋_GB2312"/>
          <w:sz w:val="28"/>
          <w:szCs w:val="28"/>
        </w:rPr>
        <w:t>3.2污染物事件环境影响分析</w:t>
      </w:r>
      <w:bookmarkEnd w:id="207"/>
      <w:bookmarkEnd w:id="208"/>
      <w:bookmarkEnd w:id="209"/>
      <w:bookmarkEnd w:id="210"/>
      <w:bookmarkEnd w:id="211"/>
      <w:bookmarkEnd w:id="212"/>
      <w:bookmarkEnd w:id="213"/>
    </w:p>
    <w:p>
      <w:pPr>
        <w:widowControl w:val="0"/>
        <w:tabs>
          <w:tab w:val="center" w:pos="4438"/>
          <w:tab w:val="left" w:pos="8280"/>
        </w:tabs>
        <w:adjustRightInd/>
        <w:snapToGrid/>
        <w:spacing w:after="0" w:line="360" w:lineRule="auto"/>
        <w:ind w:firstLine="482"/>
        <w:jc w:val="both"/>
        <w:textAlignment w:val="baseline"/>
        <w:rPr>
          <w:rFonts w:eastAsia="仿宋_GB2312"/>
          <w:sz w:val="24"/>
          <w:szCs w:val="24"/>
        </w:rPr>
      </w:pPr>
      <w:bookmarkStart w:id="214" w:name="_Toc388953930"/>
      <w:bookmarkStart w:id="215" w:name="_Toc466379464"/>
      <w:bookmarkStart w:id="216" w:name="_Toc29597"/>
      <w:bookmarkStart w:id="217" w:name="_Toc522025645"/>
      <w:bookmarkStart w:id="218" w:name="_Toc433795507"/>
      <w:r>
        <w:rPr>
          <w:rFonts w:eastAsia="仿宋_GB2312"/>
          <w:sz w:val="24"/>
          <w:szCs w:val="24"/>
        </w:rPr>
        <w:t>根据《中国石化销售股份有限公司云南文山石油分公司</w:t>
      </w:r>
      <w:r>
        <w:rPr>
          <w:rFonts w:hint="eastAsia" w:eastAsia="仿宋_GB2312"/>
          <w:sz w:val="24"/>
          <w:szCs w:val="24"/>
        </w:rPr>
        <w:t>西畴县金玉加油站</w:t>
      </w:r>
      <w:r>
        <w:rPr>
          <w:rFonts w:eastAsia="仿宋_GB2312"/>
          <w:sz w:val="24"/>
          <w:szCs w:val="24"/>
        </w:rPr>
        <w:t>环境风险评估报告》分析，突发环境事件发生后，将会对人体健康、员工安全形成威胁，对厂区及周围的环境空气质量、地表水等造成影响。</w:t>
      </w:r>
    </w:p>
    <w:p>
      <w:pPr>
        <w:pStyle w:val="7"/>
        <w:rPr>
          <w:rFonts w:eastAsia="仿宋_GB2312"/>
          <w:szCs w:val="28"/>
        </w:rPr>
      </w:pPr>
      <w:bookmarkStart w:id="219" w:name="_Toc32500"/>
      <w:bookmarkStart w:id="220" w:name="_Toc74855984"/>
      <w:r>
        <w:rPr>
          <w:rFonts w:eastAsia="仿宋_GB2312"/>
          <w:szCs w:val="28"/>
        </w:rPr>
        <w:t>3.2.1</w:t>
      </w:r>
      <w:bookmarkEnd w:id="219"/>
      <w:r>
        <w:rPr>
          <w:rFonts w:hint="eastAsia" w:eastAsia="仿宋_GB2312"/>
          <w:szCs w:val="28"/>
        </w:rPr>
        <w:t>油品泄漏事件环境影响分析</w:t>
      </w:r>
      <w:bookmarkEnd w:id="220"/>
    </w:p>
    <w:p>
      <w:pPr>
        <w:spacing w:after="0" w:line="360" w:lineRule="auto"/>
        <w:ind w:firstLine="482"/>
        <w:rPr>
          <w:rFonts w:ascii="仿宋" w:hAnsi="仿宋" w:eastAsia="仿宋" w:cs="仿宋"/>
          <w:sz w:val="24"/>
          <w:szCs w:val="24"/>
        </w:rPr>
      </w:pPr>
      <w:r>
        <w:rPr>
          <w:rFonts w:hint="eastAsia" w:ascii="仿宋" w:hAnsi="仿宋" w:eastAsia="仿宋" w:cs="仿宋"/>
          <w:sz w:val="24"/>
          <w:szCs w:val="24"/>
        </w:rPr>
        <w:t>1、事故类型</w:t>
      </w:r>
    </w:p>
    <w:p>
      <w:pPr>
        <w:spacing w:after="0" w:line="360" w:lineRule="auto"/>
        <w:ind w:firstLine="482"/>
        <w:rPr>
          <w:rFonts w:ascii="仿宋" w:hAnsi="仿宋" w:eastAsia="仿宋" w:cs="仿宋"/>
          <w:sz w:val="24"/>
          <w:szCs w:val="24"/>
        </w:rPr>
      </w:pPr>
      <w:r>
        <w:rPr>
          <w:rFonts w:hint="eastAsia" w:ascii="仿宋" w:hAnsi="仿宋" w:eastAsia="仿宋" w:cs="仿宋"/>
          <w:sz w:val="24"/>
          <w:szCs w:val="24"/>
        </w:rPr>
        <w:t>本加油站可能发生的事故主要有储油罐破损油品渗漏引起土壤及地下水的污染；输油管线发生意外事故或工人操作失误时产生的泄漏以及由此引起的火灾及爆炸对人身安全及周围环境产生的危害。根据风险识别，本加油站主要存在的事故类型有：</w:t>
      </w:r>
    </w:p>
    <w:p>
      <w:pPr>
        <w:spacing w:after="0" w:line="360" w:lineRule="auto"/>
        <w:ind w:firstLine="482"/>
        <w:rPr>
          <w:rFonts w:ascii="仿宋" w:hAnsi="仿宋" w:eastAsia="仿宋" w:cs="仿宋"/>
          <w:sz w:val="24"/>
          <w:szCs w:val="24"/>
        </w:rPr>
      </w:pPr>
      <w:r>
        <w:rPr>
          <w:rFonts w:hint="eastAsia" w:ascii="仿宋" w:hAnsi="仿宋" w:eastAsia="仿宋" w:cs="仿宋"/>
          <w:sz w:val="24"/>
          <w:szCs w:val="24"/>
        </w:rPr>
        <w:t>a、储罐破损油品渗漏引起土壤及地下水的污染；</w:t>
      </w:r>
    </w:p>
    <w:p>
      <w:pPr>
        <w:spacing w:after="0" w:line="360" w:lineRule="auto"/>
        <w:ind w:firstLine="482"/>
        <w:rPr>
          <w:rFonts w:ascii="仿宋" w:hAnsi="仿宋" w:eastAsia="仿宋" w:cs="仿宋"/>
          <w:sz w:val="24"/>
          <w:szCs w:val="24"/>
        </w:rPr>
      </w:pPr>
      <w:r>
        <w:rPr>
          <w:rFonts w:hint="eastAsia" w:ascii="仿宋" w:hAnsi="仿宋" w:eastAsia="仿宋" w:cs="仿宋"/>
          <w:sz w:val="24"/>
          <w:szCs w:val="24"/>
        </w:rPr>
        <w:t>b、储油区油品溢出或泄漏后遇明火发生火灾、爆炸事故，从而引起对周边环境空气和地表水环境影响；</w:t>
      </w:r>
    </w:p>
    <w:p>
      <w:pPr>
        <w:spacing w:after="0" w:line="360" w:lineRule="auto"/>
        <w:ind w:firstLine="482"/>
        <w:rPr>
          <w:rFonts w:ascii="仿宋" w:hAnsi="仿宋" w:eastAsia="仿宋" w:cs="仿宋"/>
          <w:sz w:val="24"/>
          <w:szCs w:val="24"/>
        </w:rPr>
      </w:pPr>
      <w:r>
        <w:rPr>
          <w:rFonts w:hint="eastAsia" w:ascii="仿宋" w:hAnsi="仿宋" w:eastAsia="仿宋" w:cs="仿宋"/>
          <w:sz w:val="24"/>
          <w:szCs w:val="24"/>
        </w:rPr>
        <w:t>2、事故原因</w:t>
      </w:r>
    </w:p>
    <w:p>
      <w:pPr>
        <w:spacing w:after="0" w:line="360" w:lineRule="auto"/>
        <w:ind w:firstLine="482"/>
        <w:rPr>
          <w:rFonts w:ascii="仿宋" w:hAnsi="仿宋" w:eastAsia="仿宋" w:cs="仿宋"/>
          <w:sz w:val="24"/>
          <w:szCs w:val="24"/>
        </w:rPr>
      </w:pPr>
      <w:r>
        <w:rPr>
          <w:rFonts w:hint="eastAsia" w:ascii="仿宋" w:hAnsi="仿宋" w:eastAsia="仿宋" w:cs="仿宋"/>
          <w:sz w:val="24"/>
          <w:szCs w:val="24"/>
        </w:rPr>
        <w:t>（1）储油罐体泄露原因分析</w:t>
      </w:r>
    </w:p>
    <w:p>
      <w:pPr>
        <w:spacing w:after="0" w:line="360" w:lineRule="auto"/>
        <w:ind w:firstLine="482"/>
        <w:rPr>
          <w:rFonts w:ascii="仿宋" w:hAnsi="仿宋" w:eastAsia="仿宋" w:cs="仿宋"/>
          <w:sz w:val="24"/>
          <w:szCs w:val="24"/>
        </w:rPr>
      </w:pPr>
      <w:r>
        <w:rPr>
          <w:rFonts w:hint="eastAsia" w:ascii="仿宋" w:hAnsi="仿宋" w:eastAsia="仿宋" w:cs="仿宋"/>
          <w:sz w:val="24"/>
          <w:szCs w:val="24"/>
        </w:rPr>
        <w:t>①由于年限较长，储油罐体管壁腐蚀，致使油类泄漏；</w:t>
      </w:r>
    </w:p>
    <w:p>
      <w:pPr>
        <w:spacing w:after="0" w:line="360" w:lineRule="auto"/>
        <w:ind w:firstLine="482"/>
        <w:rPr>
          <w:rFonts w:ascii="仿宋" w:hAnsi="仿宋" w:eastAsia="仿宋" w:cs="仿宋"/>
          <w:sz w:val="24"/>
          <w:szCs w:val="24"/>
        </w:rPr>
      </w:pPr>
      <w:r>
        <w:rPr>
          <w:rFonts w:hint="eastAsia" w:ascii="仿宋" w:hAnsi="仿宋" w:eastAsia="仿宋" w:cs="仿宋"/>
          <w:sz w:val="24"/>
          <w:szCs w:val="24"/>
        </w:rPr>
        <w:t>②在加油过程中，由于操作失误，致使油类泄漏；</w:t>
      </w:r>
    </w:p>
    <w:p>
      <w:pPr>
        <w:spacing w:after="0" w:line="360" w:lineRule="auto"/>
        <w:ind w:firstLine="482"/>
        <w:rPr>
          <w:rFonts w:ascii="仿宋" w:hAnsi="仿宋" w:eastAsia="仿宋" w:cs="仿宋"/>
          <w:sz w:val="24"/>
          <w:szCs w:val="24"/>
        </w:rPr>
      </w:pPr>
      <w:r>
        <w:rPr>
          <w:rFonts w:hint="eastAsia" w:ascii="仿宋" w:hAnsi="仿宋" w:eastAsia="仿宋" w:cs="仿宋"/>
          <w:sz w:val="24"/>
          <w:szCs w:val="24"/>
        </w:rPr>
        <w:t>③各个管道接口不严，跑、冒、滴、漏现象的发生。</w:t>
      </w:r>
    </w:p>
    <w:p>
      <w:pPr>
        <w:spacing w:after="0" w:line="360" w:lineRule="auto"/>
        <w:ind w:firstLine="482"/>
        <w:rPr>
          <w:rFonts w:ascii="仿宋" w:hAnsi="仿宋" w:eastAsia="仿宋" w:cs="仿宋"/>
          <w:sz w:val="24"/>
          <w:szCs w:val="24"/>
        </w:rPr>
      </w:pPr>
      <w:r>
        <w:rPr>
          <w:rFonts w:hint="eastAsia" w:ascii="仿宋" w:hAnsi="仿宋" w:eastAsia="仿宋" w:cs="仿宋"/>
          <w:sz w:val="24"/>
          <w:szCs w:val="24"/>
        </w:rPr>
        <w:t>（2）储油罐体溢出原因分析</w:t>
      </w:r>
    </w:p>
    <w:p>
      <w:pPr>
        <w:spacing w:after="0" w:line="360" w:lineRule="auto"/>
        <w:ind w:firstLine="482"/>
        <w:rPr>
          <w:rFonts w:ascii="仿宋" w:hAnsi="仿宋" w:eastAsia="仿宋" w:cs="仿宋"/>
          <w:sz w:val="24"/>
          <w:szCs w:val="24"/>
        </w:rPr>
      </w:pPr>
      <w:r>
        <w:rPr>
          <w:rFonts w:hint="eastAsia" w:ascii="仿宋" w:hAnsi="仿宋" w:eastAsia="仿宋" w:cs="仿宋"/>
          <w:sz w:val="24"/>
          <w:szCs w:val="24"/>
        </w:rPr>
        <w:t>①储油罐计量仪表失灵，至使储油罐加油过程中灌满溢出；</w:t>
      </w:r>
    </w:p>
    <w:p>
      <w:pPr>
        <w:spacing w:after="0" w:line="360" w:lineRule="auto"/>
        <w:ind w:firstLine="482"/>
        <w:rPr>
          <w:rFonts w:ascii="仿宋" w:hAnsi="仿宋" w:eastAsia="仿宋" w:cs="仿宋"/>
          <w:sz w:val="24"/>
          <w:szCs w:val="24"/>
        </w:rPr>
      </w:pPr>
      <w:r>
        <w:rPr>
          <w:rFonts w:hint="eastAsia" w:ascii="仿宋" w:hAnsi="仿宋" w:eastAsia="仿宋" w:cs="仿宋"/>
          <w:sz w:val="24"/>
          <w:szCs w:val="24"/>
        </w:rPr>
        <w:t>②为储油罐加油过程中，由于存在气障、气阻，至使油类溢出；</w:t>
      </w:r>
    </w:p>
    <w:p>
      <w:pPr>
        <w:spacing w:after="0" w:line="360" w:lineRule="auto"/>
        <w:ind w:firstLine="482"/>
        <w:rPr>
          <w:rFonts w:ascii="仿宋" w:hAnsi="仿宋" w:eastAsia="仿宋" w:cs="仿宋"/>
          <w:sz w:val="24"/>
          <w:szCs w:val="24"/>
        </w:rPr>
      </w:pPr>
      <w:r>
        <w:rPr>
          <w:rFonts w:hint="eastAsia" w:ascii="仿宋" w:hAnsi="仿宋" w:eastAsia="仿宋" w:cs="仿宋"/>
          <w:sz w:val="24"/>
          <w:szCs w:val="24"/>
        </w:rPr>
        <w:t>③在加油过程中，由于接口不同，衔接不严密，致使油类溢出。</w:t>
      </w:r>
    </w:p>
    <w:p>
      <w:pPr>
        <w:spacing w:after="0" w:line="360" w:lineRule="auto"/>
        <w:ind w:firstLine="482"/>
        <w:rPr>
          <w:rFonts w:ascii="仿宋" w:hAnsi="仿宋" w:eastAsia="仿宋" w:cs="仿宋"/>
          <w:sz w:val="24"/>
          <w:szCs w:val="24"/>
        </w:rPr>
      </w:pPr>
      <w:r>
        <w:rPr>
          <w:rFonts w:hint="eastAsia" w:ascii="仿宋" w:hAnsi="仿宋" w:eastAsia="仿宋" w:cs="仿宋"/>
          <w:sz w:val="24"/>
          <w:szCs w:val="24"/>
        </w:rPr>
        <w:t>项目在储罐区设置有检查井，建设单位每天安排专人对项目区内油罐区进行检查，当地埋油罐发生泄漏时，采取倒罐或移库的方式将泄漏油罐油品转移；当发现油罐区和加油区发生油品泄漏时，设置围堰，用干消防沙对泄漏油品进行吸附回收，当泄漏量较大时用防爆油泵等器材回收。通过采取相应措施后油品泄露对地下水环境及土壤环境影响不大。</w:t>
      </w:r>
    </w:p>
    <w:p>
      <w:pPr>
        <w:pStyle w:val="7"/>
        <w:rPr>
          <w:rFonts w:eastAsia="仿宋_GB2312"/>
          <w:color w:val="000000"/>
          <w:szCs w:val="28"/>
        </w:rPr>
      </w:pPr>
      <w:bookmarkStart w:id="221" w:name="_Toc23380"/>
      <w:bookmarkStart w:id="222" w:name="_Toc14171"/>
      <w:bookmarkStart w:id="223" w:name="_Toc74855985"/>
      <w:r>
        <w:rPr>
          <w:rFonts w:eastAsia="仿宋_GB2312"/>
          <w:color w:val="000000"/>
          <w:szCs w:val="28"/>
        </w:rPr>
        <w:t>3.2.2</w:t>
      </w:r>
      <w:bookmarkEnd w:id="221"/>
      <w:bookmarkEnd w:id="222"/>
      <w:r>
        <w:rPr>
          <w:rFonts w:hint="eastAsia" w:eastAsia="仿宋_GB2312"/>
          <w:color w:val="000000"/>
          <w:szCs w:val="28"/>
        </w:rPr>
        <w:t>火灾、爆炸事故</w:t>
      </w:r>
      <w:r>
        <w:rPr>
          <w:rFonts w:hint="eastAsia"/>
        </w:rPr>
        <w:t>环境影响</w:t>
      </w:r>
      <w:r>
        <w:rPr>
          <w:rFonts w:eastAsia="仿宋_GB2312"/>
          <w:color w:val="000000"/>
          <w:szCs w:val="28"/>
        </w:rPr>
        <w:t>分析</w:t>
      </w:r>
      <w:bookmarkEnd w:id="223"/>
    </w:p>
    <w:p>
      <w:pPr>
        <w:pStyle w:val="73"/>
        <w:spacing w:after="0"/>
        <w:ind w:firstLine="482"/>
        <w:rPr>
          <w:sz w:val="24"/>
          <w:szCs w:val="24"/>
        </w:rPr>
      </w:pPr>
      <w:bookmarkStart w:id="224" w:name="_Toc8088"/>
      <w:bookmarkStart w:id="225" w:name="_Toc16427"/>
      <w:r>
        <w:rPr>
          <w:rFonts w:hint="eastAsia"/>
          <w:sz w:val="24"/>
          <w:szCs w:val="24"/>
        </w:rPr>
        <w:t>储油区油品溢出或泄漏后遇明火发生火灾、爆炸事故，从而引起对周边环境空气和地表水环境影响。</w:t>
      </w:r>
    </w:p>
    <w:p>
      <w:pPr>
        <w:pStyle w:val="73"/>
        <w:spacing w:after="0"/>
        <w:ind w:firstLine="482"/>
        <w:rPr>
          <w:sz w:val="24"/>
          <w:szCs w:val="24"/>
        </w:rPr>
      </w:pPr>
      <w:r>
        <w:rPr>
          <w:rFonts w:hint="eastAsia"/>
          <w:sz w:val="24"/>
          <w:szCs w:val="24"/>
        </w:rPr>
        <w:t>火灾、爆炸事故原因分析：</w:t>
      </w:r>
    </w:p>
    <w:p>
      <w:pPr>
        <w:pStyle w:val="73"/>
        <w:spacing w:after="0"/>
        <w:ind w:firstLine="482"/>
        <w:rPr>
          <w:sz w:val="24"/>
          <w:szCs w:val="24"/>
        </w:rPr>
      </w:pPr>
      <w:r>
        <w:rPr>
          <w:rFonts w:hint="eastAsia"/>
          <w:sz w:val="24"/>
          <w:szCs w:val="24"/>
        </w:rPr>
        <w:t>①由于加油作业人员操作不当，其他人员不能遵守加油站的相关规定，导致油品发生火灾或爆炸事故；</w:t>
      </w:r>
    </w:p>
    <w:p>
      <w:pPr>
        <w:pStyle w:val="73"/>
        <w:spacing w:after="0"/>
        <w:ind w:firstLine="482"/>
        <w:rPr>
          <w:sz w:val="24"/>
          <w:szCs w:val="24"/>
        </w:rPr>
      </w:pPr>
      <w:r>
        <w:rPr>
          <w:rFonts w:hint="eastAsia"/>
          <w:sz w:val="24"/>
          <w:szCs w:val="24"/>
        </w:rPr>
        <w:t>②由于跑、冒、滴、漏等造成加油站局部空气周围汽油密度较大，达到爆炸极限，遇火源可能产生的事故；</w:t>
      </w:r>
    </w:p>
    <w:p>
      <w:pPr>
        <w:pStyle w:val="73"/>
        <w:spacing w:after="0"/>
        <w:ind w:firstLine="482"/>
        <w:rPr>
          <w:sz w:val="24"/>
          <w:szCs w:val="24"/>
        </w:rPr>
      </w:pPr>
      <w:r>
        <w:rPr>
          <w:rFonts w:hint="eastAsia"/>
          <w:sz w:val="24"/>
          <w:szCs w:val="24"/>
        </w:rPr>
        <w:t>③由于避雷系统缺陷产生的雷击火花，造成油品发生火灾或爆炸事故。</w:t>
      </w:r>
    </w:p>
    <w:p>
      <w:pPr>
        <w:pStyle w:val="73"/>
        <w:spacing w:after="0"/>
        <w:ind w:firstLine="482"/>
      </w:pPr>
      <w:r>
        <w:rPr>
          <w:rFonts w:hint="eastAsia"/>
          <w:sz w:val="24"/>
          <w:szCs w:val="24"/>
        </w:rPr>
        <w:t>加油站油品发生火灾或爆炸后，汽油和柴油燃烧会产生NOx、CO等，呈无组织排放，造成周边环境空气污染。由于厂区面积不大，当发生事故时，通过及时采取灭火措施后，火灾情况可以得到有效的控制，火灾产生的废气将得到有效的控制，对周边环境影响不大</w:t>
      </w:r>
      <w:r>
        <w:rPr>
          <w:rFonts w:hint="eastAsia"/>
        </w:rPr>
        <w:t>。</w:t>
      </w:r>
    </w:p>
    <w:bookmarkEnd w:id="214"/>
    <w:bookmarkEnd w:id="224"/>
    <w:bookmarkEnd w:id="225"/>
    <w:p>
      <w:pPr>
        <w:pStyle w:val="6"/>
        <w:rPr>
          <w:rFonts w:eastAsia="仿宋_GB2312"/>
          <w:sz w:val="28"/>
          <w:szCs w:val="28"/>
        </w:rPr>
      </w:pPr>
      <w:bookmarkStart w:id="226" w:name="_Toc74855986"/>
      <w:bookmarkStart w:id="227" w:name="_Toc31797"/>
      <w:bookmarkStart w:id="228" w:name="_Toc17489"/>
      <w:r>
        <w:rPr>
          <w:rFonts w:eastAsia="仿宋_GB2312"/>
          <w:sz w:val="28"/>
          <w:szCs w:val="28"/>
        </w:rPr>
        <w:t>3.3风险事件管理</w:t>
      </w:r>
      <w:bookmarkEnd w:id="215"/>
      <w:bookmarkEnd w:id="216"/>
      <w:bookmarkEnd w:id="217"/>
      <w:bookmarkEnd w:id="218"/>
      <w:bookmarkEnd w:id="226"/>
      <w:bookmarkEnd w:id="227"/>
      <w:bookmarkEnd w:id="228"/>
    </w:p>
    <w:p>
      <w:pPr>
        <w:pStyle w:val="10"/>
        <w:spacing w:line="360" w:lineRule="auto"/>
        <w:ind w:firstLine="480"/>
        <w:rPr>
          <w:rFonts w:ascii="Times New Roman" w:hAnsi="Times New Roman" w:eastAsia="仿宋_GB2312"/>
          <w:szCs w:val="24"/>
        </w:rPr>
      </w:pPr>
      <w:r>
        <w:rPr>
          <w:rFonts w:hint="eastAsia" w:ascii="Times New Roman" w:hAnsi="Times New Roman" w:eastAsia="仿宋_GB2312"/>
          <w:szCs w:val="24"/>
        </w:rPr>
        <w:t>本站制定了《安全生产管理制度》和《环境保护管理制度》，贯彻落实国家安全、环保法律法规的要求，不断的制定和完善生产、设备安全规程，做到凡是有方案，安全防范在先，按时按要求进行检查，使管理始终在正确的轨道上运行，对易发生风险事故的环节进行严格管理，强化各级责任落实，严格环境风险源的控制管理，防止环境污染事件发生。</w:t>
      </w:r>
    </w:p>
    <w:p>
      <w:pPr>
        <w:pStyle w:val="10"/>
        <w:spacing w:beforeLines="50" w:line="360" w:lineRule="auto"/>
        <w:ind w:firstLine="0"/>
        <w:outlineLvl w:val="2"/>
        <w:rPr>
          <w:rFonts w:ascii="Times New Roman" w:hAnsi="Times New Roman" w:eastAsia="仿宋_GB2312"/>
          <w:b/>
          <w:bCs/>
          <w:color w:val="000000"/>
          <w:kern w:val="2"/>
          <w:sz w:val="28"/>
          <w:szCs w:val="28"/>
        </w:rPr>
      </w:pPr>
      <w:bookmarkStart w:id="229" w:name="_Toc74855987"/>
      <w:r>
        <w:rPr>
          <w:rFonts w:hint="eastAsia" w:ascii="Times New Roman" w:hAnsi="Times New Roman" w:eastAsia="仿宋_GB2312"/>
          <w:b/>
          <w:bCs/>
          <w:color w:val="000000"/>
          <w:kern w:val="2"/>
          <w:sz w:val="28"/>
          <w:szCs w:val="28"/>
        </w:rPr>
        <w:t>3.3.1环境事故预防措施</w:t>
      </w:r>
      <w:bookmarkEnd w:id="229"/>
    </w:p>
    <w:p>
      <w:pPr>
        <w:pStyle w:val="10"/>
        <w:spacing w:line="360" w:lineRule="auto"/>
        <w:ind w:firstLine="482"/>
        <w:rPr>
          <w:rFonts w:ascii="仿宋" w:hAnsi="仿宋" w:eastAsia="仿宋" w:cs="仿宋"/>
          <w:szCs w:val="24"/>
        </w:rPr>
      </w:pPr>
      <w:r>
        <w:rPr>
          <w:rFonts w:hint="eastAsia" w:ascii="仿宋" w:hAnsi="仿宋" w:eastAsia="仿宋" w:cs="仿宋"/>
          <w:szCs w:val="24"/>
        </w:rPr>
        <w:t>由于加油站环境风险具有突发性和短暂性及危害较大等特点，必须采取相应有效预防措施加以防范，加强控制和管理，杜绝、减轻和避免环境风险。在项目运营过程中可采取以下安全防范措施：</w:t>
      </w:r>
    </w:p>
    <w:p>
      <w:pPr>
        <w:pStyle w:val="10"/>
        <w:spacing w:line="360" w:lineRule="auto"/>
        <w:ind w:firstLine="482"/>
        <w:rPr>
          <w:rFonts w:ascii="仿宋" w:hAnsi="仿宋" w:eastAsia="仿宋" w:cs="仿宋"/>
          <w:szCs w:val="24"/>
        </w:rPr>
      </w:pPr>
      <w:r>
        <w:rPr>
          <w:rFonts w:hint="eastAsia" w:ascii="仿宋" w:hAnsi="仿宋" w:eastAsia="仿宋" w:cs="仿宋"/>
          <w:szCs w:val="24"/>
        </w:rPr>
        <w:t>（1）放置储油罐体的罐池内回填厚度大于0.3m的干净砂土，同时也防止回填土含酸碱的废渣，对储油罐体加剧腐蚀；</w:t>
      </w:r>
    </w:p>
    <w:p>
      <w:pPr>
        <w:pStyle w:val="10"/>
        <w:spacing w:line="360" w:lineRule="auto"/>
        <w:ind w:firstLine="482"/>
        <w:rPr>
          <w:rFonts w:ascii="仿宋" w:hAnsi="仿宋" w:eastAsia="仿宋" w:cs="仿宋"/>
          <w:szCs w:val="24"/>
        </w:rPr>
      </w:pPr>
      <w:r>
        <w:rPr>
          <w:rFonts w:hint="eastAsia" w:ascii="仿宋" w:hAnsi="仿宋" w:eastAsia="仿宋" w:cs="仿宋"/>
          <w:szCs w:val="24"/>
        </w:rPr>
        <w:t>（2）增加高液位报警系统，及时掌握储油罐情况，如果发生泄漏能够及时发现，及时采取措施；</w:t>
      </w:r>
    </w:p>
    <w:p>
      <w:pPr>
        <w:pStyle w:val="10"/>
        <w:spacing w:line="360" w:lineRule="auto"/>
        <w:ind w:firstLine="482"/>
        <w:rPr>
          <w:rFonts w:ascii="仿宋" w:hAnsi="仿宋" w:eastAsia="仿宋" w:cs="仿宋"/>
          <w:szCs w:val="24"/>
        </w:rPr>
      </w:pPr>
      <w:r>
        <w:rPr>
          <w:rFonts w:hint="eastAsia" w:ascii="仿宋" w:hAnsi="仿宋" w:eastAsia="仿宋" w:cs="仿宋"/>
          <w:szCs w:val="24"/>
        </w:rPr>
        <w:t>（3）储油罐体的各接合管设在储油罐的顶部，便于平时的检修与管理，避免现场安装开孔，有可能出现焊接不良和接管受力大，容易发生断裂而造成的跑油、渗油等不安全事故；</w:t>
      </w:r>
    </w:p>
    <w:p>
      <w:pPr>
        <w:pStyle w:val="10"/>
        <w:spacing w:line="360" w:lineRule="auto"/>
        <w:ind w:firstLine="482"/>
        <w:rPr>
          <w:rFonts w:ascii="仿宋" w:hAnsi="仿宋" w:eastAsia="仿宋" w:cs="仿宋"/>
          <w:szCs w:val="24"/>
        </w:rPr>
      </w:pPr>
      <w:bookmarkStart w:id="230" w:name="_Toc72068681"/>
      <w:r>
        <w:rPr>
          <w:rFonts w:hint="eastAsia" w:ascii="仿宋" w:hAnsi="仿宋" w:eastAsia="仿宋" w:cs="仿宋"/>
          <w:szCs w:val="24"/>
        </w:rPr>
        <w:t>（4）加油站设置符合标准的灭火设施；</w:t>
      </w:r>
      <w:bookmarkEnd w:id="230"/>
    </w:p>
    <w:p>
      <w:pPr>
        <w:pStyle w:val="10"/>
        <w:spacing w:line="360" w:lineRule="auto"/>
        <w:ind w:firstLine="482"/>
        <w:rPr>
          <w:rFonts w:ascii="仿宋" w:hAnsi="仿宋" w:eastAsia="仿宋" w:cs="仿宋"/>
          <w:szCs w:val="24"/>
        </w:rPr>
      </w:pPr>
      <w:r>
        <w:rPr>
          <w:rFonts w:hint="eastAsia" w:ascii="仿宋" w:hAnsi="仿宋" w:eastAsia="仿宋" w:cs="仿宋"/>
          <w:szCs w:val="24"/>
        </w:rPr>
        <w:t>（5）加油站设置防雷防静电设施，并经过避雷装置检测站检测及复查合格；</w:t>
      </w:r>
    </w:p>
    <w:p>
      <w:pPr>
        <w:pStyle w:val="10"/>
        <w:spacing w:line="360" w:lineRule="auto"/>
        <w:ind w:firstLine="482"/>
        <w:rPr>
          <w:rFonts w:ascii="仿宋" w:hAnsi="仿宋" w:eastAsia="仿宋" w:cs="仿宋"/>
          <w:szCs w:val="24"/>
        </w:rPr>
      </w:pPr>
      <w:r>
        <w:rPr>
          <w:rFonts w:hint="eastAsia" w:ascii="仿宋" w:hAnsi="仿宋" w:eastAsia="仿宋" w:cs="仿宋"/>
          <w:szCs w:val="24"/>
        </w:rPr>
        <w:t>（6）加强对项目周围大气和水环境的监测，对油品的泄露要及时掌握，防止油品的泄露对周围大气、土壤、水环境造成危害；</w:t>
      </w:r>
    </w:p>
    <w:p>
      <w:pPr>
        <w:pStyle w:val="10"/>
        <w:spacing w:line="360" w:lineRule="auto"/>
        <w:ind w:firstLine="482"/>
        <w:rPr>
          <w:rFonts w:ascii="仿宋" w:hAnsi="仿宋" w:eastAsia="仿宋" w:cs="仿宋"/>
          <w:szCs w:val="24"/>
        </w:rPr>
      </w:pPr>
      <w:r>
        <w:rPr>
          <w:rFonts w:hint="eastAsia" w:ascii="仿宋" w:hAnsi="仿宋" w:eastAsia="仿宋" w:cs="仿宋"/>
          <w:szCs w:val="24"/>
        </w:rPr>
        <w:t>（7）建立一套完善的安全管理制度，执行工业安全卫生、劳动保护、环保、消防等相关规定；</w:t>
      </w:r>
    </w:p>
    <w:p>
      <w:pPr>
        <w:pStyle w:val="10"/>
        <w:spacing w:line="360" w:lineRule="auto"/>
        <w:ind w:firstLine="482"/>
        <w:rPr>
          <w:rFonts w:ascii="仿宋" w:hAnsi="仿宋" w:eastAsia="仿宋" w:cs="仿宋"/>
          <w:szCs w:val="24"/>
        </w:rPr>
      </w:pPr>
      <w:r>
        <w:rPr>
          <w:rFonts w:hint="eastAsia" w:ascii="仿宋" w:hAnsi="仿宋" w:eastAsia="仿宋" w:cs="仿宋"/>
          <w:szCs w:val="24"/>
        </w:rPr>
        <w:t>（8）加强对储油罐体渗漏事故的防护，对储油罐法兰、阀门等进行定期检测。一旦发生火灾爆炸，要尽快使用已有的消防设施扑救，疏散周围非急救人员，远离事故区；</w:t>
      </w:r>
    </w:p>
    <w:p>
      <w:pPr>
        <w:pStyle w:val="10"/>
        <w:spacing w:line="360" w:lineRule="auto"/>
        <w:ind w:firstLine="482"/>
        <w:rPr>
          <w:rFonts w:ascii="仿宋" w:hAnsi="仿宋" w:eastAsia="仿宋" w:cs="仿宋"/>
          <w:szCs w:val="24"/>
        </w:rPr>
      </w:pPr>
      <w:r>
        <w:rPr>
          <w:rFonts w:hint="eastAsia" w:ascii="仿宋" w:hAnsi="仿宋" w:eastAsia="仿宋" w:cs="仿宋"/>
          <w:szCs w:val="24"/>
        </w:rPr>
        <w:t>（9）加强对加油机灭火装置的日常管理，做到灭火装置完整有效，一旦发生加油机火灾、爆炸事故时能及时启动，进行灭火；</w:t>
      </w:r>
    </w:p>
    <w:p>
      <w:pPr>
        <w:pStyle w:val="10"/>
        <w:spacing w:line="360" w:lineRule="auto"/>
        <w:ind w:firstLine="482"/>
        <w:rPr>
          <w:rFonts w:ascii="仿宋" w:hAnsi="仿宋" w:eastAsia="仿宋" w:cs="仿宋"/>
          <w:szCs w:val="24"/>
        </w:rPr>
      </w:pPr>
      <w:r>
        <w:rPr>
          <w:rFonts w:hint="eastAsia" w:ascii="仿宋" w:hAnsi="仿宋" w:eastAsia="仿宋" w:cs="仿宋"/>
          <w:szCs w:val="24"/>
        </w:rPr>
        <w:t>（10）加油站电气设备和仪表均选用防爆型，灯具也应选防爆灯具，加强管理，严禁区内有明火出现；</w:t>
      </w:r>
    </w:p>
    <w:p>
      <w:pPr>
        <w:pStyle w:val="10"/>
        <w:spacing w:line="360" w:lineRule="auto"/>
        <w:ind w:firstLine="482"/>
        <w:rPr>
          <w:rFonts w:ascii="仿宋" w:hAnsi="仿宋" w:eastAsia="仿宋" w:cs="仿宋"/>
          <w:szCs w:val="24"/>
        </w:rPr>
      </w:pPr>
      <w:bookmarkStart w:id="231" w:name="_Toc72068682"/>
      <w:r>
        <w:rPr>
          <w:rFonts w:hint="eastAsia" w:ascii="仿宋" w:hAnsi="仿宋" w:eastAsia="仿宋" w:cs="仿宋"/>
          <w:szCs w:val="24"/>
        </w:rPr>
        <w:t>（11）加油站若出现意外撒油，立即用消防沙吸附清除地面的油污；</w:t>
      </w:r>
      <w:bookmarkEnd w:id="231"/>
    </w:p>
    <w:p>
      <w:pPr>
        <w:pStyle w:val="10"/>
        <w:spacing w:line="360" w:lineRule="auto"/>
        <w:ind w:firstLine="482"/>
        <w:rPr>
          <w:rFonts w:ascii="仿宋" w:hAnsi="仿宋" w:eastAsia="仿宋" w:cs="仿宋"/>
          <w:szCs w:val="24"/>
        </w:rPr>
      </w:pPr>
      <w:r>
        <w:rPr>
          <w:rFonts w:hint="eastAsia" w:ascii="仿宋" w:hAnsi="仿宋" w:eastAsia="仿宋" w:cs="仿宋"/>
          <w:szCs w:val="24"/>
        </w:rPr>
        <w:t>（12）为了避免油品事故泄漏对土壤环境和地下水环境的影响，加油站地下油罐罐池采用防渗防腐防水处理，同时对埋地管线采取加强级防腐处理，并设有观测井及卸油、加油密闭油气回收装置。油罐设置在防腐防渗钢混水泥罐池内，池底壁内衬防腐防渗。为防止卸油时油罐溢满，已在卸油管立管处安装卸油防溢阀。为保护埋地敷设的防腐层，管底部做沙垫层，厚度大于200mm，管顶部及两侧填沙厚度均大于200mm。然后做硬化地面处理，安装监控设施，杜绝油品泄漏。</w:t>
      </w:r>
    </w:p>
    <w:p>
      <w:pPr>
        <w:pStyle w:val="10"/>
        <w:spacing w:beforeLines="50" w:line="360" w:lineRule="auto"/>
        <w:ind w:firstLine="0"/>
        <w:outlineLvl w:val="2"/>
        <w:rPr>
          <w:rFonts w:ascii="Times New Roman" w:hAnsi="Times New Roman" w:eastAsia="仿宋_GB2312"/>
          <w:b/>
          <w:bCs/>
          <w:color w:val="000000"/>
          <w:kern w:val="2"/>
          <w:sz w:val="28"/>
          <w:szCs w:val="28"/>
        </w:rPr>
      </w:pPr>
      <w:bookmarkStart w:id="232" w:name="_Toc74855988"/>
      <w:r>
        <w:rPr>
          <w:rFonts w:hint="eastAsia" w:ascii="Times New Roman" w:hAnsi="Times New Roman" w:eastAsia="仿宋_GB2312"/>
          <w:b/>
          <w:bCs/>
          <w:color w:val="000000"/>
          <w:kern w:val="2"/>
          <w:sz w:val="28"/>
          <w:szCs w:val="28"/>
        </w:rPr>
        <w:t>3.3.2环境事故处置措施</w:t>
      </w:r>
      <w:bookmarkEnd w:id="232"/>
    </w:p>
    <w:p>
      <w:pPr>
        <w:pStyle w:val="10"/>
        <w:spacing w:line="360" w:lineRule="auto"/>
        <w:ind w:firstLine="482"/>
        <w:rPr>
          <w:rFonts w:ascii="Times New Roman" w:hAnsi="Times New Roman" w:eastAsia="仿宋_GB2312"/>
          <w:b/>
          <w:szCs w:val="24"/>
        </w:rPr>
      </w:pPr>
      <w:r>
        <w:rPr>
          <w:rFonts w:hint="eastAsia" w:ascii="Times New Roman" w:hAnsi="Times New Roman" w:eastAsia="仿宋_GB2312"/>
          <w:b/>
          <w:szCs w:val="24"/>
        </w:rPr>
        <w:t>一、加油机跑油事故处理措施</w:t>
      </w:r>
    </w:p>
    <w:p>
      <w:pPr>
        <w:pStyle w:val="10"/>
        <w:spacing w:line="360" w:lineRule="auto"/>
        <w:ind w:firstLine="480"/>
        <w:rPr>
          <w:rFonts w:ascii="Times New Roman" w:hAnsi="Times New Roman" w:eastAsia="仿宋_GB2312"/>
          <w:szCs w:val="24"/>
        </w:rPr>
      </w:pPr>
      <w:r>
        <w:rPr>
          <w:rFonts w:hint="eastAsia" w:ascii="Times New Roman" w:hAnsi="Times New Roman" w:eastAsia="仿宋_GB2312"/>
          <w:szCs w:val="24"/>
        </w:rPr>
        <w:t>1.加油员应立即停止加油，放空回油，关闭加油阀，切断加油机电源。</w:t>
      </w:r>
    </w:p>
    <w:p>
      <w:pPr>
        <w:pStyle w:val="10"/>
        <w:spacing w:line="360" w:lineRule="auto"/>
        <w:ind w:firstLine="480"/>
        <w:rPr>
          <w:rFonts w:ascii="Times New Roman" w:hAnsi="Times New Roman" w:eastAsia="仿宋_GB2312"/>
          <w:szCs w:val="24"/>
        </w:rPr>
      </w:pPr>
      <w:r>
        <w:rPr>
          <w:rFonts w:hint="eastAsia" w:ascii="Times New Roman" w:hAnsi="Times New Roman" w:eastAsia="仿宋_GB2312"/>
          <w:szCs w:val="24"/>
        </w:rPr>
        <w:t>2.暂停所有加油活动，其他加油员将加油车辆推离加油岛。现场站长或当班安全员负责疏散周围车辆和闲散人员，并指派一名加油员现场警戒。</w:t>
      </w:r>
    </w:p>
    <w:p>
      <w:pPr>
        <w:pStyle w:val="10"/>
        <w:spacing w:line="360" w:lineRule="auto"/>
        <w:ind w:firstLine="480"/>
        <w:rPr>
          <w:rFonts w:ascii="Times New Roman" w:hAnsi="Times New Roman" w:eastAsia="仿宋_GB2312"/>
          <w:szCs w:val="24"/>
        </w:rPr>
      </w:pPr>
      <w:r>
        <w:rPr>
          <w:rFonts w:hint="eastAsia" w:ascii="Times New Roman" w:hAnsi="Times New Roman" w:eastAsia="仿宋_GB2312"/>
          <w:szCs w:val="24"/>
        </w:rPr>
        <w:t>3.其他加油员用棉纱、拖把等进行必要的回收，严禁用铁制、塑料等易产生火花的器皿进行回收，回收后用沙土覆盖残留油面，待充分吸收残油后将沙土清除干净。</w:t>
      </w:r>
    </w:p>
    <w:p>
      <w:pPr>
        <w:pStyle w:val="10"/>
        <w:spacing w:line="360" w:lineRule="auto"/>
        <w:ind w:firstLine="480"/>
        <w:rPr>
          <w:rFonts w:ascii="Times New Roman" w:hAnsi="Times New Roman" w:eastAsia="仿宋_GB2312"/>
          <w:szCs w:val="24"/>
        </w:rPr>
      </w:pPr>
      <w:r>
        <w:rPr>
          <w:rFonts w:hint="eastAsia" w:ascii="Times New Roman" w:hAnsi="Times New Roman" w:eastAsia="仿宋_GB2312"/>
          <w:szCs w:val="24"/>
        </w:rPr>
        <w:t>4.地面油品处理干净后，现场班长宣布恢复加油作业。</w:t>
      </w:r>
    </w:p>
    <w:p>
      <w:pPr>
        <w:pStyle w:val="10"/>
        <w:spacing w:line="360" w:lineRule="auto"/>
        <w:ind w:firstLine="482"/>
        <w:rPr>
          <w:rFonts w:ascii="Times New Roman" w:hAnsi="Times New Roman" w:eastAsia="仿宋_GB2312"/>
          <w:b/>
          <w:szCs w:val="24"/>
        </w:rPr>
      </w:pPr>
      <w:r>
        <w:rPr>
          <w:rFonts w:hint="eastAsia" w:ascii="Times New Roman" w:hAnsi="Times New Roman" w:eastAsia="仿宋_GB2312"/>
          <w:b/>
          <w:szCs w:val="24"/>
        </w:rPr>
        <w:t>二、罐车卸油冒罐处理措施</w:t>
      </w:r>
    </w:p>
    <w:p>
      <w:pPr>
        <w:pStyle w:val="10"/>
        <w:spacing w:line="360" w:lineRule="auto"/>
        <w:ind w:firstLine="480"/>
        <w:rPr>
          <w:rFonts w:ascii="Times New Roman" w:hAnsi="Times New Roman" w:eastAsia="仿宋_GB2312"/>
          <w:szCs w:val="24"/>
        </w:rPr>
      </w:pPr>
      <w:r>
        <w:rPr>
          <w:rFonts w:hint="eastAsia" w:ascii="Times New Roman" w:hAnsi="Times New Roman" w:eastAsia="仿宋_GB2312"/>
          <w:szCs w:val="24"/>
        </w:rPr>
        <w:t>1.当罐车卸油冒罐时计量保管员及时关闭储油罐卸油阀，切断总电源，停止营业，并向站长（或现场班长）汇报。</w:t>
      </w:r>
    </w:p>
    <w:p>
      <w:pPr>
        <w:pStyle w:val="10"/>
        <w:spacing w:line="360" w:lineRule="auto"/>
        <w:ind w:firstLine="480"/>
        <w:rPr>
          <w:rFonts w:ascii="Times New Roman" w:hAnsi="Times New Roman" w:eastAsia="仿宋_GB2312"/>
          <w:szCs w:val="24"/>
        </w:rPr>
      </w:pPr>
      <w:r>
        <w:rPr>
          <w:rFonts w:hint="eastAsia" w:ascii="Times New Roman" w:hAnsi="Times New Roman" w:eastAsia="仿宋_GB2312"/>
          <w:szCs w:val="24"/>
        </w:rPr>
        <w:t>2.必要时报告公安消防部门，以便临时封堵附近的交通道路，站长（或现场班长）及时组织人员进行现场警戒，疏散站内人员，推出站内车辆，检查并消除附近的一切火源；制止其他车辆和人员进入加油站。</w:t>
      </w:r>
    </w:p>
    <w:p>
      <w:pPr>
        <w:pStyle w:val="10"/>
        <w:spacing w:line="360" w:lineRule="auto"/>
        <w:ind w:firstLine="480"/>
        <w:rPr>
          <w:rFonts w:ascii="Times New Roman" w:hAnsi="Times New Roman" w:eastAsia="仿宋_GB2312"/>
          <w:szCs w:val="24"/>
        </w:rPr>
      </w:pPr>
      <w:r>
        <w:rPr>
          <w:rFonts w:hint="eastAsia" w:ascii="Times New Roman" w:hAnsi="Times New Roman" w:eastAsia="仿宋_GB2312"/>
          <w:szCs w:val="24"/>
        </w:rPr>
        <w:t>3.在溢油处上风向，布置消防器材。</w:t>
      </w:r>
    </w:p>
    <w:p>
      <w:pPr>
        <w:pStyle w:val="10"/>
        <w:spacing w:line="360" w:lineRule="auto"/>
        <w:ind w:firstLine="480"/>
        <w:rPr>
          <w:rFonts w:ascii="Times New Roman" w:hAnsi="Times New Roman" w:eastAsia="仿宋_GB2312"/>
          <w:szCs w:val="24"/>
        </w:rPr>
      </w:pPr>
      <w:r>
        <w:rPr>
          <w:rFonts w:hint="eastAsia" w:ascii="Times New Roman" w:hAnsi="Times New Roman" w:eastAsia="仿宋_GB2312"/>
          <w:szCs w:val="24"/>
        </w:rPr>
        <w:t>4.对现场已冒油品沙土等围住，并进行必要的回收，禁止用铁制等易产生火花的器具作回收工具。回收后用沙土覆盖残留油品，待充分吸收残油后将沙土清除干净。</w:t>
      </w:r>
    </w:p>
    <w:p>
      <w:pPr>
        <w:pStyle w:val="10"/>
        <w:spacing w:line="360" w:lineRule="auto"/>
        <w:ind w:firstLine="480"/>
        <w:rPr>
          <w:rFonts w:ascii="Times New Roman" w:hAnsi="Times New Roman" w:eastAsia="仿宋_GB2312"/>
          <w:szCs w:val="24"/>
        </w:rPr>
      </w:pPr>
      <w:r>
        <w:rPr>
          <w:rFonts w:hint="eastAsia" w:ascii="Times New Roman" w:hAnsi="Times New Roman" w:eastAsia="仿宋_GB2312"/>
          <w:szCs w:val="24"/>
        </w:rPr>
        <w:t>5.给被油品溅泼的人员提供援助；通知毗邻单位或居民，注意危险。</w:t>
      </w:r>
    </w:p>
    <w:p>
      <w:pPr>
        <w:pStyle w:val="10"/>
        <w:spacing w:line="360" w:lineRule="auto"/>
        <w:ind w:firstLine="480"/>
        <w:rPr>
          <w:rFonts w:ascii="Times New Roman" w:hAnsi="Times New Roman" w:eastAsia="仿宋_GB2312"/>
          <w:szCs w:val="24"/>
        </w:rPr>
      </w:pPr>
      <w:r>
        <w:rPr>
          <w:rFonts w:hint="eastAsia" w:ascii="Times New Roman" w:hAnsi="Times New Roman" w:eastAsia="仿宋_GB2312"/>
          <w:szCs w:val="24"/>
        </w:rPr>
        <w:t>6.检查井内是否有残油，若有残油应及时清理干净，并检查其他可能产生危险的区域是否有隐患存在。</w:t>
      </w:r>
    </w:p>
    <w:p>
      <w:pPr>
        <w:pStyle w:val="10"/>
        <w:spacing w:line="360" w:lineRule="auto"/>
        <w:ind w:firstLine="480"/>
        <w:rPr>
          <w:rFonts w:ascii="Times New Roman" w:hAnsi="Times New Roman" w:eastAsia="仿宋_GB2312"/>
          <w:szCs w:val="24"/>
        </w:rPr>
      </w:pPr>
      <w:r>
        <w:rPr>
          <w:rFonts w:hint="eastAsia" w:ascii="Times New Roman" w:hAnsi="Times New Roman" w:eastAsia="仿宋_GB2312"/>
          <w:szCs w:val="24"/>
        </w:rPr>
        <w:t>7.计量确定跑冒油损失数量，做好记录台帐。</w:t>
      </w:r>
    </w:p>
    <w:p>
      <w:pPr>
        <w:pStyle w:val="10"/>
        <w:spacing w:line="360" w:lineRule="auto"/>
        <w:ind w:firstLine="480"/>
        <w:rPr>
          <w:rFonts w:ascii="Times New Roman" w:hAnsi="Times New Roman" w:eastAsia="仿宋_GB2312"/>
          <w:szCs w:val="24"/>
        </w:rPr>
      </w:pPr>
      <w:r>
        <w:rPr>
          <w:rFonts w:hint="eastAsia" w:ascii="Times New Roman" w:hAnsi="Times New Roman" w:eastAsia="仿宋_GB2312"/>
          <w:szCs w:val="24"/>
        </w:rPr>
        <w:t>8.检查确认无其他隐患后，方可恢复营业。</w:t>
      </w:r>
    </w:p>
    <w:p>
      <w:pPr>
        <w:pStyle w:val="10"/>
        <w:spacing w:line="360" w:lineRule="auto"/>
        <w:ind w:firstLine="482"/>
        <w:rPr>
          <w:rFonts w:ascii="Times New Roman" w:hAnsi="Times New Roman" w:eastAsia="仿宋_GB2312"/>
          <w:b/>
          <w:szCs w:val="24"/>
        </w:rPr>
      </w:pPr>
      <w:r>
        <w:rPr>
          <w:rFonts w:hint="eastAsia" w:ascii="Times New Roman" w:hAnsi="Times New Roman" w:eastAsia="仿宋_GB2312"/>
          <w:b/>
          <w:szCs w:val="24"/>
        </w:rPr>
        <w:t>三、加油站车辆火灾处理措施</w:t>
      </w:r>
    </w:p>
    <w:p>
      <w:pPr>
        <w:pStyle w:val="10"/>
        <w:spacing w:line="360" w:lineRule="auto"/>
        <w:ind w:firstLine="480"/>
        <w:rPr>
          <w:rFonts w:ascii="Times New Roman" w:hAnsi="Times New Roman" w:eastAsia="仿宋_GB2312"/>
          <w:szCs w:val="24"/>
        </w:rPr>
      </w:pPr>
      <w:r>
        <w:rPr>
          <w:rFonts w:hint="eastAsia" w:ascii="Times New Roman" w:hAnsi="Times New Roman" w:eastAsia="仿宋_GB2312"/>
          <w:szCs w:val="24"/>
        </w:rPr>
        <w:t>1.如果是车辆的油箱口着火，加油员立即用石棉毯将油箱口盖住使其窒息，另外一名加油员用灭火器扑救。</w:t>
      </w:r>
    </w:p>
    <w:p>
      <w:pPr>
        <w:pStyle w:val="10"/>
        <w:spacing w:line="360" w:lineRule="auto"/>
        <w:ind w:firstLine="480"/>
        <w:rPr>
          <w:rFonts w:ascii="Times New Roman" w:hAnsi="Times New Roman" w:eastAsia="仿宋_GB2312"/>
          <w:szCs w:val="24"/>
        </w:rPr>
      </w:pPr>
      <w:r>
        <w:rPr>
          <w:rFonts w:hint="eastAsia" w:ascii="Times New Roman" w:hAnsi="Times New Roman" w:eastAsia="仿宋_GB2312"/>
          <w:szCs w:val="24"/>
        </w:rPr>
        <w:t>2.如果是摩托车发动机着火，加油站应立即停止加油，先设法将油箱盖盖上或用灭火毯盖住，再用灭火器扑灭。</w:t>
      </w:r>
    </w:p>
    <w:p>
      <w:pPr>
        <w:pStyle w:val="10"/>
        <w:spacing w:line="360" w:lineRule="auto"/>
        <w:ind w:firstLine="482"/>
        <w:rPr>
          <w:rFonts w:ascii="Times New Roman" w:hAnsi="Times New Roman" w:eastAsia="仿宋_GB2312"/>
          <w:b/>
          <w:szCs w:val="24"/>
        </w:rPr>
      </w:pPr>
      <w:r>
        <w:rPr>
          <w:rFonts w:hint="eastAsia" w:ascii="Times New Roman" w:hAnsi="Times New Roman" w:eastAsia="仿宋_GB2312"/>
          <w:b/>
          <w:szCs w:val="24"/>
        </w:rPr>
        <w:t>四、油罐汽车火灾处理措施</w:t>
      </w:r>
    </w:p>
    <w:p>
      <w:pPr>
        <w:pStyle w:val="10"/>
        <w:spacing w:line="360" w:lineRule="auto"/>
        <w:ind w:firstLine="480"/>
        <w:rPr>
          <w:rFonts w:ascii="Times New Roman" w:hAnsi="Times New Roman" w:eastAsia="仿宋_GB2312"/>
          <w:szCs w:val="24"/>
        </w:rPr>
      </w:pPr>
      <w:r>
        <w:rPr>
          <w:rFonts w:hint="eastAsia" w:ascii="Times New Roman" w:hAnsi="Times New Roman" w:eastAsia="仿宋_GB2312"/>
          <w:szCs w:val="24"/>
        </w:rPr>
        <w:t>1.加油员立即关闭罐车卸油阀，停止卸油。</w:t>
      </w:r>
    </w:p>
    <w:p>
      <w:pPr>
        <w:pStyle w:val="10"/>
        <w:spacing w:line="360" w:lineRule="auto"/>
        <w:ind w:firstLine="480"/>
        <w:rPr>
          <w:rFonts w:ascii="Times New Roman" w:hAnsi="Times New Roman" w:eastAsia="仿宋_GB2312"/>
          <w:szCs w:val="24"/>
        </w:rPr>
      </w:pPr>
      <w:r>
        <w:rPr>
          <w:rFonts w:hint="eastAsia" w:ascii="Times New Roman" w:hAnsi="Times New Roman" w:eastAsia="仿宋_GB2312"/>
          <w:szCs w:val="24"/>
        </w:rPr>
        <w:t>2.司机迅速将罐车驶离现场，将车开到开阔安全的地方再进行扑救。</w:t>
      </w:r>
    </w:p>
    <w:p>
      <w:pPr>
        <w:pStyle w:val="10"/>
        <w:spacing w:line="360" w:lineRule="auto"/>
        <w:ind w:firstLine="480"/>
        <w:rPr>
          <w:rFonts w:ascii="Times New Roman" w:hAnsi="Times New Roman" w:eastAsia="仿宋_GB2312"/>
          <w:szCs w:val="24"/>
        </w:rPr>
      </w:pPr>
      <w:r>
        <w:rPr>
          <w:rFonts w:hint="eastAsia" w:ascii="Times New Roman" w:hAnsi="Times New Roman" w:eastAsia="仿宋_GB2312"/>
          <w:szCs w:val="24"/>
        </w:rPr>
        <w:t>3.加油站工作人员应拨打119火警电话，请求外援。</w:t>
      </w:r>
    </w:p>
    <w:p>
      <w:pPr>
        <w:pStyle w:val="10"/>
        <w:spacing w:line="360" w:lineRule="auto"/>
        <w:ind w:firstLine="480"/>
        <w:rPr>
          <w:rFonts w:ascii="Times New Roman" w:hAnsi="Times New Roman" w:eastAsia="仿宋_GB2312"/>
          <w:szCs w:val="24"/>
        </w:rPr>
      </w:pPr>
      <w:r>
        <w:rPr>
          <w:rFonts w:hint="eastAsia" w:ascii="Times New Roman" w:hAnsi="Times New Roman" w:eastAsia="仿宋_GB2312"/>
          <w:szCs w:val="24"/>
        </w:rPr>
        <w:t>4.向所属地环保部门报告，电话：</w:t>
      </w:r>
      <w:r>
        <w:rPr>
          <w:rFonts w:ascii="Times New Roman" w:hAnsi="Times New Roman" w:eastAsia="仿宋_GB2312"/>
          <w:szCs w:val="24"/>
        </w:rPr>
        <w:t>0876-</w:t>
      </w:r>
      <w:r>
        <w:rPr>
          <w:rFonts w:hint="eastAsia" w:ascii="Times New Roman" w:hAnsi="Times New Roman" w:eastAsia="仿宋_GB2312"/>
          <w:szCs w:val="24"/>
        </w:rPr>
        <w:t>7625989。</w:t>
      </w:r>
    </w:p>
    <w:p>
      <w:pPr>
        <w:pStyle w:val="10"/>
        <w:spacing w:line="360" w:lineRule="auto"/>
        <w:ind w:firstLine="480"/>
        <w:rPr>
          <w:rFonts w:ascii="Times New Roman" w:hAnsi="Times New Roman" w:eastAsia="仿宋_GB2312"/>
          <w:szCs w:val="24"/>
        </w:rPr>
      </w:pPr>
      <w:r>
        <w:rPr>
          <w:rFonts w:hint="eastAsia" w:ascii="Times New Roman" w:hAnsi="Times New Roman" w:eastAsia="仿宋_GB2312"/>
          <w:szCs w:val="24"/>
        </w:rPr>
        <w:t>5.如油罐车罐口着火，可首先用石棉毯将罐口盖上，或使用其他覆盖物（如湿棉衣、湿麻袋等）堵严罐口将油火扑灭。当火势较猛时，应使用推车式及手提式干粉灭火器对准罐口将大火扑灭。</w:t>
      </w:r>
    </w:p>
    <w:p>
      <w:pPr>
        <w:pStyle w:val="10"/>
        <w:spacing w:line="360" w:lineRule="auto"/>
        <w:ind w:firstLine="480"/>
        <w:rPr>
          <w:rFonts w:ascii="Times New Roman" w:hAnsi="Times New Roman" w:eastAsia="仿宋_GB2312"/>
          <w:szCs w:val="24"/>
        </w:rPr>
      </w:pPr>
      <w:r>
        <w:rPr>
          <w:rFonts w:hint="eastAsia" w:ascii="Times New Roman" w:hAnsi="Times New Roman" w:eastAsia="仿宋_GB2312"/>
          <w:szCs w:val="24"/>
        </w:rPr>
        <w:t>6.当专业消防人员尚未到达，且火势无法控制时，放弃扑救，现场站长立即将人员撤离到安全场所。</w:t>
      </w:r>
    </w:p>
    <w:p>
      <w:pPr>
        <w:pStyle w:val="10"/>
        <w:spacing w:line="360" w:lineRule="auto"/>
        <w:ind w:firstLine="482"/>
        <w:rPr>
          <w:rFonts w:ascii="Times New Roman" w:hAnsi="Times New Roman" w:eastAsia="仿宋_GB2312"/>
          <w:b/>
          <w:szCs w:val="24"/>
        </w:rPr>
      </w:pPr>
      <w:r>
        <w:rPr>
          <w:rFonts w:hint="eastAsia" w:ascii="Times New Roman" w:hAnsi="Times New Roman" w:eastAsia="仿宋_GB2312"/>
          <w:b/>
          <w:szCs w:val="24"/>
        </w:rPr>
        <w:t>五、站内大面积起火处理措施</w:t>
      </w:r>
    </w:p>
    <w:p>
      <w:pPr>
        <w:pStyle w:val="10"/>
        <w:spacing w:line="360" w:lineRule="auto"/>
        <w:ind w:firstLine="480"/>
        <w:rPr>
          <w:rFonts w:ascii="Times New Roman" w:hAnsi="Times New Roman" w:eastAsia="仿宋_GB2312"/>
          <w:szCs w:val="24"/>
        </w:rPr>
      </w:pPr>
      <w:r>
        <w:rPr>
          <w:rFonts w:hint="eastAsia" w:ascii="Times New Roman" w:hAnsi="Times New Roman" w:eastAsia="仿宋_GB2312"/>
          <w:szCs w:val="24"/>
        </w:rPr>
        <w:t>1.一人负责向当地消防部门报警（报警电话119），说明火灾类型及地点。</w:t>
      </w:r>
    </w:p>
    <w:p>
      <w:pPr>
        <w:pStyle w:val="10"/>
        <w:spacing w:line="360" w:lineRule="auto"/>
        <w:ind w:firstLine="480"/>
        <w:rPr>
          <w:rFonts w:ascii="Times New Roman" w:hAnsi="Times New Roman" w:eastAsia="仿宋_GB2312"/>
          <w:szCs w:val="24"/>
        </w:rPr>
      </w:pPr>
      <w:r>
        <w:rPr>
          <w:rFonts w:hint="eastAsia" w:ascii="Times New Roman" w:hAnsi="Times New Roman" w:eastAsia="仿宋_GB2312"/>
          <w:szCs w:val="24"/>
        </w:rPr>
        <w:t>2.站长组织在场人员利用现有消防器材扑灭油火。灭火人员按照灭火器材的使用方法，占据有利地形，从上风向由近及远扑灭地面火灾。</w:t>
      </w:r>
    </w:p>
    <w:p>
      <w:pPr>
        <w:pStyle w:val="10"/>
        <w:spacing w:line="360" w:lineRule="auto"/>
        <w:ind w:firstLine="480"/>
        <w:rPr>
          <w:rFonts w:ascii="Times New Roman" w:hAnsi="Times New Roman" w:eastAsia="仿宋_GB2312"/>
          <w:szCs w:val="24"/>
        </w:rPr>
      </w:pPr>
      <w:r>
        <w:rPr>
          <w:rFonts w:hint="eastAsia" w:ascii="Times New Roman" w:hAnsi="Times New Roman" w:eastAsia="仿宋_GB2312"/>
          <w:szCs w:val="24"/>
        </w:rPr>
        <w:t>3.在灭火同时，立即停止加油，关闭闸阀，包裹在储油罐体通气管，关闭操作井口，切断电源。</w:t>
      </w:r>
    </w:p>
    <w:p>
      <w:pPr>
        <w:pStyle w:val="10"/>
        <w:spacing w:line="360" w:lineRule="auto"/>
        <w:ind w:firstLine="480"/>
        <w:rPr>
          <w:rFonts w:ascii="Times New Roman" w:hAnsi="Times New Roman" w:eastAsia="仿宋_GB2312"/>
          <w:szCs w:val="24"/>
        </w:rPr>
      </w:pPr>
      <w:r>
        <w:rPr>
          <w:rFonts w:hint="eastAsia" w:ascii="Times New Roman" w:hAnsi="Times New Roman" w:eastAsia="仿宋_GB2312"/>
          <w:szCs w:val="24"/>
        </w:rPr>
        <w:t>4.疏散现场无关人员及车辆，清理疏通站内、外消防通道。</w:t>
      </w:r>
    </w:p>
    <w:p>
      <w:pPr>
        <w:pStyle w:val="10"/>
        <w:spacing w:line="360" w:lineRule="auto"/>
        <w:ind w:firstLine="480"/>
        <w:rPr>
          <w:rFonts w:ascii="Times New Roman" w:hAnsi="Times New Roman" w:eastAsia="仿宋_GB2312"/>
          <w:szCs w:val="24"/>
        </w:rPr>
      </w:pPr>
      <w:r>
        <w:rPr>
          <w:rFonts w:hint="eastAsia" w:ascii="Times New Roman" w:hAnsi="Times New Roman" w:eastAsia="仿宋_GB2312"/>
          <w:szCs w:val="24"/>
        </w:rPr>
        <w:t>5.消防车一到，加油站员工立即配合消防队按预定方案投入灭火救援。</w:t>
      </w:r>
    </w:p>
    <w:p>
      <w:pPr>
        <w:pStyle w:val="10"/>
        <w:spacing w:line="360" w:lineRule="auto"/>
        <w:ind w:firstLine="482"/>
        <w:rPr>
          <w:rFonts w:ascii="Times New Roman" w:hAnsi="Times New Roman" w:eastAsia="仿宋_GB2312"/>
          <w:b/>
          <w:szCs w:val="24"/>
        </w:rPr>
      </w:pPr>
      <w:r>
        <w:rPr>
          <w:rFonts w:hint="eastAsia" w:ascii="Times New Roman" w:hAnsi="Times New Roman" w:eastAsia="仿宋_GB2312"/>
          <w:b/>
          <w:szCs w:val="24"/>
        </w:rPr>
        <w:t>六、电气火灾处理措施</w:t>
      </w:r>
    </w:p>
    <w:p>
      <w:pPr>
        <w:pStyle w:val="10"/>
        <w:spacing w:line="360" w:lineRule="auto"/>
        <w:ind w:firstLine="480"/>
        <w:rPr>
          <w:rFonts w:ascii="Times New Roman" w:hAnsi="Times New Roman" w:eastAsia="仿宋_GB2312"/>
          <w:szCs w:val="24"/>
        </w:rPr>
      </w:pPr>
      <w:r>
        <w:rPr>
          <w:rFonts w:hint="eastAsia" w:ascii="Times New Roman" w:hAnsi="Times New Roman" w:eastAsia="仿宋_GB2312"/>
          <w:szCs w:val="24"/>
        </w:rPr>
        <w:t>1.发生电气火灾时，首先切断电源，然后用CO</w:t>
      </w:r>
      <w:r>
        <w:rPr>
          <w:rFonts w:hint="eastAsia" w:ascii="Times New Roman" w:hAnsi="Times New Roman" w:eastAsia="仿宋_GB2312"/>
          <w:szCs w:val="24"/>
          <w:vertAlign w:val="subscript"/>
        </w:rPr>
        <w:t>2</w:t>
      </w:r>
      <w:r>
        <w:rPr>
          <w:rFonts w:hint="eastAsia" w:ascii="Times New Roman" w:hAnsi="Times New Roman" w:eastAsia="仿宋_GB2312"/>
          <w:szCs w:val="24"/>
        </w:rPr>
        <w:t>或干粉灭火器扑灭。电气火灾严禁用泡沫灭火器对着火源喷射。</w:t>
      </w:r>
    </w:p>
    <w:p>
      <w:pPr>
        <w:pStyle w:val="10"/>
        <w:spacing w:line="360" w:lineRule="auto"/>
        <w:ind w:firstLine="480"/>
        <w:rPr>
          <w:rFonts w:ascii="Times New Roman" w:hAnsi="Times New Roman" w:eastAsia="仿宋_GB2312"/>
          <w:szCs w:val="24"/>
        </w:rPr>
      </w:pPr>
      <w:r>
        <w:rPr>
          <w:rFonts w:hint="eastAsia" w:ascii="Times New Roman" w:hAnsi="Times New Roman" w:eastAsia="仿宋_GB2312"/>
          <w:szCs w:val="24"/>
        </w:rPr>
        <w:t>2.无法切断电源时，灭火者身着耐火并绝缘的鞋靴、服装，防止触电。然后用CO</w:t>
      </w:r>
      <w:r>
        <w:rPr>
          <w:rFonts w:hint="eastAsia" w:ascii="Times New Roman" w:hAnsi="Times New Roman" w:eastAsia="仿宋_GB2312"/>
          <w:szCs w:val="24"/>
          <w:vertAlign w:val="subscript"/>
        </w:rPr>
        <w:t>2</w:t>
      </w:r>
      <w:r>
        <w:rPr>
          <w:rFonts w:hint="eastAsia" w:ascii="Times New Roman" w:hAnsi="Times New Roman" w:eastAsia="仿宋_GB2312"/>
          <w:szCs w:val="24"/>
        </w:rPr>
        <w:t>或干粉灭火器对着火源喷射。</w:t>
      </w:r>
    </w:p>
    <w:bookmarkEnd w:id="174"/>
    <w:bookmarkEnd w:id="175"/>
    <w:bookmarkEnd w:id="176"/>
    <w:bookmarkEnd w:id="177"/>
    <w:bookmarkEnd w:id="178"/>
    <w:bookmarkEnd w:id="179"/>
    <w:bookmarkEnd w:id="180"/>
    <w:bookmarkEnd w:id="181"/>
    <w:p>
      <w:pPr>
        <w:pStyle w:val="5"/>
        <w:rPr>
          <w:rFonts w:eastAsia="仿宋_GB2312"/>
          <w:sz w:val="28"/>
          <w:szCs w:val="28"/>
        </w:rPr>
      </w:pPr>
      <w:bookmarkStart w:id="233" w:name="_Toc74855989"/>
      <w:bookmarkStart w:id="234" w:name="_Toc13572"/>
      <w:bookmarkStart w:id="235" w:name="_Toc466379472"/>
      <w:bookmarkStart w:id="236" w:name="_Toc522025655"/>
      <w:bookmarkStart w:id="237" w:name="_Toc421097824"/>
      <w:bookmarkStart w:id="238" w:name="_Toc491785512"/>
      <w:bookmarkStart w:id="239" w:name="_Toc421095358"/>
      <w:r>
        <w:rPr>
          <w:rFonts w:eastAsia="仿宋_GB2312"/>
          <w:sz w:val="28"/>
          <w:szCs w:val="28"/>
        </w:rPr>
        <w:t>4</w:t>
      </w:r>
      <w:r>
        <w:rPr>
          <w:rFonts w:hint="eastAsia" w:eastAsia="仿宋_GB2312"/>
          <w:sz w:val="28"/>
          <w:szCs w:val="28"/>
        </w:rPr>
        <w:t>.</w:t>
      </w:r>
      <w:r>
        <w:rPr>
          <w:rFonts w:eastAsia="仿宋_GB2312"/>
          <w:sz w:val="28"/>
          <w:szCs w:val="28"/>
        </w:rPr>
        <w:t>组织机构及职责</w:t>
      </w:r>
      <w:bookmarkEnd w:id="233"/>
      <w:bookmarkEnd w:id="234"/>
    </w:p>
    <w:p>
      <w:pPr>
        <w:pStyle w:val="6"/>
        <w:rPr>
          <w:rFonts w:eastAsia="仿宋_GB2312"/>
          <w:sz w:val="28"/>
          <w:szCs w:val="28"/>
        </w:rPr>
      </w:pPr>
      <w:bookmarkStart w:id="240" w:name="_Toc421097823"/>
      <w:bookmarkStart w:id="241" w:name="_Toc74855990"/>
      <w:bookmarkStart w:id="242" w:name="_Toc421095357"/>
      <w:bookmarkStart w:id="243" w:name="_Toc398130437"/>
      <w:bookmarkStart w:id="244" w:name="_Toc20329"/>
      <w:bookmarkStart w:id="245" w:name="_Toc20460"/>
      <w:bookmarkStart w:id="246" w:name="_Toc1411"/>
      <w:bookmarkStart w:id="247" w:name="_Toc466379467"/>
      <w:bookmarkStart w:id="248" w:name="_Toc522025647"/>
      <w:r>
        <w:rPr>
          <w:rFonts w:eastAsia="仿宋_GB2312"/>
          <w:sz w:val="28"/>
          <w:szCs w:val="28"/>
        </w:rPr>
        <w:t>4.1应急组织体系</w:t>
      </w:r>
      <w:bookmarkEnd w:id="240"/>
      <w:bookmarkEnd w:id="241"/>
      <w:bookmarkEnd w:id="242"/>
      <w:bookmarkEnd w:id="243"/>
      <w:bookmarkEnd w:id="244"/>
      <w:bookmarkEnd w:id="245"/>
      <w:bookmarkEnd w:id="246"/>
      <w:bookmarkEnd w:id="247"/>
      <w:bookmarkEnd w:id="248"/>
    </w:p>
    <w:p>
      <w:pPr>
        <w:widowControl w:val="0"/>
        <w:spacing w:line="360" w:lineRule="auto"/>
        <w:ind w:firstLine="480"/>
        <w:jc w:val="both"/>
        <w:rPr>
          <w:rFonts w:eastAsia="仿宋_GB2312"/>
          <w:sz w:val="24"/>
        </w:rPr>
      </w:pPr>
      <w:bookmarkStart w:id="249" w:name="OLE_LINK16"/>
      <w:bookmarkStart w:id="250" w:name="OLE_LINK17"/>
      <w:r>
        <w:rPr>
          <w:rFonts w:eastAsia="仿宋_GB2312"/>
          <w:sz w:val="24"/>
        </w:rPr>
        <w:t>为降低或避免突发环境事件所造成的损失，确保有组织、有计划、快速地应对突发环境事件，</w:t>
      </w:r>
      <w:r>
        <w:rPr>
          <w:rFonts w:hint="eastAsia" w:eastAsia="仿宋_GB2312"/>
          <w:sz w:val="24"/>
        </w:rPr>
        <w:t>加油站成立突发环境污染事件应急指挥部，由站长吴玉娟任总指挥，应急指挥办公室</w:t>
      </w:r>
      <w:r>
        <w:rPr>
          <w:rFonts w:eastAsia="仿宋_GB2312"/>
          <w:sz w:val="24"/>
        </w:rPr>
        <w:t>下设</w:t>
      </w:r>
      <w:r>
        <w:rPr>
          <w:rFonts w:hint="eastAsia" w:eastAsia="仿宋_GB2312"/>
          <w:sz w:val="24"/>
        </w:rPr>
        <w:t>3</w:t>
      </w:r>
      <w:r>
        <w:rPr>
          <w:rFonts w:eastAsia="仿宋_GB2312"/>
          <w:sz w:val="24"/>
        </w:rPr>
        <w:t>个应急救援小组</w:t>
      </w:r>
      <w:r>
        <w:rPr>
          <w:rFonts w:hint="eastAsia" w:eastAsia="仿宋_GB2312"/>
          <w:sz w:val="24"/>
        </w:rPr>
        <w:t>，即：抢险救援组、应急监测组和应急保障组。应急指挥部应定期召开会议，实施培训和演练，建立规范的制度以及程序。组织机构图见图</w:t>
      </w:r>
      <w:r>
        <w:rPr>
          <w:rFonts w:eastAsia="仿宋_GB2312"/>
          <w:sz w:val="24"/>
          <w:szCs w:val="24"/>
        </w:rPr>
        <w:t>4.1-1</w:t>
      </w:r>
      <w:r>
        <w:rPr>
          <w:rFonts w:hint="eastAsia" w:eastAsia="仿宋_GB2312"/>
          <w:sz w:val="24"/>
        </w:rPr>
        <w:t>。</w:t>
      </w:r>
    </w:p>
    <w:p>
      <w:pPr>
        <w:pStyle w:val="73"/>
        <w:jc w:val="center"/>
        <w:rPr>
          <w:rFonts w:hint="eastAsia" w:eastAsia="仿宋_GB2312"/>
          <w:lang w:eastAsia="zh-CN"/>
        </w:rPr>
      </w:pPr>
      <w:r>
        <w:rPr>
          <w:rFonts w:hint="eastAsia" w:eastAsia="仿宋_GB2312"/>
          <w:lang w:eastAsia="zh-CN"/>
        </w:rPr>
        <w:drawing>
          <wp:inline distT="0" distB="0" distL="114300" distR="114300">
            <wp:extent cx="5273040" cy="2073275"/>
            <wp:effectExtent l="0" t="0" r="3810" b="3175"/>
            <wp:docPr id="5" name="图片 5" descr="1631002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31002235(1)"/>
                    <pic:cNvPicPr>
                      <a:picLocks noChangeAspect="1"/>
                    </pic:cNvPicPr>
                  </pic:nvPicPr>
                  <pic:blipFill>
                    <a:blip r:embed="rId18"/>
                    <a:stretch>
                      <a:fillRect/>
                    </a:stretch>
                  </pic:blipFill>
                  <pic:spPr>
                    <a:xfrm>
                      <a:off x="0" y="0"/>
                      <a:ext cx="5273040" cy="2073275"/>
                    </a:xfrm>
                    <a:prstGeom prst="rect">
                      <a:avLst/>
                    </a:prstGeom>
                  </pic:spPr>
                </pic:pic>
              </a:graphicData>
            </a:graphic>
          </wp:inline>
        </w:drawing>
      </w:r>
    </w:p>
    <w:p>
      <w:pPr>
        <w:widowControl w:val="0"/>
        <w:spacing w:line="360" w:lineRule="auto"/>
        <w:jc w:val="center"/>
        <w:rPr>
          <w:rFonts w:eastAsia="仿宋_GB2312"/>
          <w:b/>
          <w:sz w:val="24"/>
          <w:szCs w:val="24"/>
        </w:rPr>
      </w:pPr>
      <w:r>
        <w:rPr>
          <w:rFonts w:eastAsia="仿宋_GB2312"/>
          <w:b/>
          <w:sz w:val="24"/>
          <w:szCs w:val="24"/>
        </w:rPr>
        <w:t>图4.1-1应急救援组织机构示意图</w:t>
      </w:r>
    </w:p>
    <w:bookmarkEnd w:id="249"/>
    <w:bookmarkEnd w:id="250"/>
    <w:p>
      <w:pPr>
        <w:spacing w:line="360" w:lineRule="auto"/>
        <w:ind w:firstLine="480"/>
        <w:rPr>
          <w:rFonts w:eastAsia="仿宋_GB2312"/>
          <w:sz w:val="24"/>
        </w:rPr>
      </w:pPr>
      <w:bookmarkStart w:id="251" w:name="_Toc466379468"/>
      <w:bookmarkStart w:id="252" w:name="_Toc31756"/>
      <w:bookmarkStart w:id="253" w:name="_Toc522025648"/>
      <w:bookmarkStart w:id="254" w:name="_Toc2483"/>
      <w:r>
        <w:rPr>
          <w:rFonts w:eastAsia="仿宋_GB2312"/>
          <w:sz w:val="24"/>
        </w:rPr>
        <w:t>应急指挥部应服从政府相关部门的应急指挥</w:t>
      </w:r>
      <w:r>
        <w:rPr>
          <w:rFonts w:hint="eastAsia" w:eastAsia="仿宋_GB2312"/>
          <w:sz w:val="24"/>
        </w:rPr>
        <w:t>，</w:t>
      </w:r>
      <w:r>
        <w:rPr>
          <w:rFonts w:eastAsia="仿宋_GB2312"/>
          <w:sz w:val="24"/>
        </w:rPr>
        <w:t>政府应急部门及环保部门介入后，</w:t>
      </w:r>
      <w:r>
        <w:rPr>
          <w:rFonts w:hint="eastAsia" w:eastAsia="仿宋_GB2312"/>
          <w:sz w:val="24"/>
        </w:rPr>
        <w:t>加油站</w:t>
      </w:r>
      <w:r>
        <w:rPr>
          <w:rFonts w:eastAsia="仿宋_GB2312"/>
          <w:sz w:val="24"/>
        </w:rPr>
        <w:t>总指挥接受政府部门指挥，并带领内部应急救援队伍，协调、配合处置、参与应急保障等工作任务</w:t>
      </w:r>
      <w:r>
        <w:rPr>
          <w:rFonts w:hint="eastAsia" w:eastAsia="仿宋_GB2312"/>
          <w:sz w:val="24"/>
        </w:rPr>
        <w:t>；</w:t>
      </w:r>
      <w:r>
        <w:rPr>
          <w:rFonts w:eastAsia="仿宋_GB2312"/>
          <w:sz w:val="24"/>
        </w:rPr>
        <w:t>积极配合、支持突发环境事件应急处理管理部门开展现场调查处理、采样、监测、技术分析、评估以及突发事件应急处理技术指导等工作，不得以任何理由拒绝和妨碍工作开展。</w:t>
      </w:r>
    </w:p>
    <w:p>
      <w:pPr>
        <w:pStyle w:val="6"/>
        <w:rPr>
          <w:rFonts w:eastAsia="仿宋_GB2312"/>
          <w:sz w:val="28"/>
          <w:szCs w:val="28"/>
        </w:rPr>
      </w:pPr>
      <w:bookmarkStart w:id="255" w:name="_Toc74855991"/>
      <w:bookmarkStart w:id="256" w:name="_Toc17328"/>
      <w:r>
        <w:rPr>
          <w:rFonts w:eastAsia="仿宋_GB2312"/>
          <w:sz w:val="28"/>
          <w:szCs w:val="28"/>
        </w:rPr>
        <w:t>4.2 组织机构及职责</w:t>
      </w:r>
      <w:bookmarkEnd w:id="251"/>
      <w:bookmarkEnd w:id="252"/>
      <w:bookmarkEnd w:id="253"/>
      <w:bookmarkEnd w:id="254"/>
      <w:bookmarkEnd w:id="255"/>
      <w:bookmarkEnd w:id="256"/>
    </w:p>
    <w:p>
      <w:pPr>
        <w:pStyle w:val="7"/>
        <w:rPr>
          <w:rFonts w:eastAsia="仿宋_GB2312"/>
          <w:szCs w:val="28"/>
        </w:rPr>
      </w:pPr>
      <w:bookmarkStart w:id="257" w:name="_Toc14246"/>
      <w:bookmarkStart w:id="258" w:name="_Toc421095359"/>
      <w:bookmarkStart w:id="259" w:name="_Toc421097825"/>
      <w:bookmarkStart w:id="260" w:name="_Toc466379469"/>
      <w:bookmarkStart w:id="261" w:name="_Toc522025649"/>
      <w:bookmarkStart w:id="262" w:name="_Toc74855992"/>
      <w:bookmarkStart w:id="263" w:name="_Toc30081"/>
      <w:r>
        <w:rPr>
          <w:rFonts w:eastAsia="仿宋_GB2312"/>
          <w:szCs w:val="28"/>
        </w:rPr>
        <w:t>4.2.1应急指挥部的组成</w:t>
      </w:r>
      <w:bookmarkEnd w:id="257"/>
      <w:bookmarkEnd w:id="258"/>
      <w:bookmarkEnd w:id="259"/>
      <w:bookmarkEnd w:id="260"/>
      <w:bookmarkEnd w:id="261"/>
      <w:bookmarkEnd w:id="262"/>
      <w:bookmarkEnd w:id="263"/>
    </w:p>
    <w:p>
      <w:pPr>
        <w:widowControl w:val="0"/>
        <w:spacing w:after="0" w:line="360" w:lineRule="auto"/>
        <w:ind w:firstLine="482"/>
        <w:rPr>
          <w:rFonts w:eastAsia="仿宋_GB2312"/>
          <w:sz w:val="24"/>
        </w:rPr>
      </w:pPr>
      <w:r>
        <w:rPr>
          <w:rFonts w:hint="eastAsia" w:eastAsia="仿宋_GB2312"/>
          <w:sz w:val="24"/>
        </w:rPr>
        <w:t>总指挥：吴玉娟（站长）</w:t>
      </w:r>
    </w:p>
    <w:p>
      <w:pPr>
        <w:widowControl w:val="0"/>
        <w:spacing w:after="0" w:line="360" w:lineRule="auto"/>
        <w:ind w:firstLine="482"/>
        <w:rPr>
          <w:rFonts w:eastAsia="仿宋_GB2312"/>
          <w:sz w:val="24"/>
        </w:rPr>
      </w:pPr>
      <w:r>
        <w:rPr>
          <w:rFonts w:hint="eastAsia" w:eastAsia="仿宋_GB2312"/>
          <w:sz w:val="24"/>
        </w:rPr>
        <w:t>成    员：加油站所有员工</w:t>
      </w:r>
    </w:p>
    <w:p>
      <w:pPr>
        <w:widowControl w:val="0"/>
        <w:spacing w:after="0" w:line="360" w:lineRule="auto"/>
        <w:ind w:firstLine="482"/>
        <w:rPr>
          <w:rFonts w:eastAsia="仿宋_GB2312"/>
          <w:sz w:val="24"/>
        </w:rPr>
      </w:pPr>
      <w:r>
        <w:rPr>
          <w:rFonts w:hint="eastAsia" w:eastAsia="仿宋_GB2312"/>
          <w:sz w:val="24"/>
        </w:rPr>
        <w:t>加油站应急指挥部，下设应急指挥办公室为应急指挥部的常设机构，负责应急救援相关日常工作，应急指挥办公室设在加油站办公室。</w:t>
      </w:r>
    </w:p>
    <w:p>
      <w:pPr>
        <w:pStyle w:val="7"/>
        <w:rPr>
          <w:rFonts w:eastAsia="仿宋_GB2312"/>
          <w:szCs w:val="28"/>
        </w:rPr>
      </w:pPr>
      <w:bookmarkStart w:id="264" w:name="_Toc420887417"/>
      <w:bookmarkStart w:id="265" w:name="_Toc406"/>
      <w:bookmarkStart w:id="266" w:name="_Toc1318"/>
      <w:bookmarkStart w:id="267" w:name="_Toc387743441"/>
      <w:bookmarkStart w:id="268" w:name="_Toc28640"/>
      <w:bookmarkStart w:id="269" w:name="_Toc74855993"/>
      <w:bookmarkStart w:id="270" w:name="_Toc420889276"/>
      <w:r>
        <w:rPr>
          <w:rFonts w:eastAsia="仿宋_GB2312"/>
          <w:szCs w:val="28"/>
        </w:rPr>
        <w:t>4.2.2指挥机构的主要职责</w:t>
      </w:r>
      <w:bookmarkEnd w:id="264"/>
      <w:bookmarkEnd w:id="265"/>
      <w:bookmarkEnd w:id="266"/>
      <w:bookmarkEnd w:id="267"/>
      <w:bookmarkEnd w:id="268"/>
      <w:bookmarkEnd w:id="269"/>
      <w:bookmarkEnd w:id="270"/>
    </w:p>
    <w:p>
      <w:pPr>
        <w:pStyle w:val="8"/>
        <w:widowControl w:val="0"/>
        <w:adjustRightInd/>
        <w:snapToGrid/>
        <w:spacing w:before="0" w:after="0" w:line="360" w:lineRule="auto"/>
        <w:rPr>
          <w:rFonts w:ascii="Times New Roman" w:hAnsi="Times New Roman" w:eastAsia="仿宋_GB2312"/>
        </w:rPr>
      </w:pPr>
      <w:bookmarkStart w:id="271" w:name="_Toc6625"/>
      <w:bookmarkStart w:id="272" w:name="_Toc304144806"/>
      <w:bookmarkStart w:id="273" w:name="_Toc304144517"/>
      <w:r>
        <w:rPr>
          <w:rFonts w:ascii="Times New Roman" w:hAnsi="Times New Roman" w:eastAsia="仿宋_GB2312"/>
        </w:rPr>
        <w:t>4.2.2.1应急指挥部职责</w:t>
      </w:r>
      <w:bookmarkEnd w:id="271"/>
    </w:p>
    <w:p>
      <w:pPr>
        <w:pStyle w:val="73"/>
        <w:spacing w:after="0"/>
        <w:ind w:firstLine="480"/>
        <w:rPr>
          <w:sz w:val="24"/>
        </w:rPr>
      </w:pPr>
      <w:r>
        <w:rPr>
          <w:rFonts w:hint="eastAsia"/>
          <w:sz w:val="24"/>
        </w:rPr>
        <w:t>应急指挥部设置于加油站办公室，负责下达抢险救灾的指令，视事件严重程度组织指挥调配应急救援资源。应急指挥部具体职责如下所述：</w:t>
      </w:r>
    </w:p>
    <w:p>
      <w:pPr>
        <w:widowControl w:val="0"/>
        <w:numPr>
          <w:ilvl w:val="0"/>
          <w:numId w:val="1"/>
        </w:numPr>
        <w:spacing w:after="0" w:line="360" w:lineRule="auto"/>
        <w:ind w:firstLine="480"/>
        <w:jc w:val="both"/>
        <w:rPr>
          <w:rFonts w:eastAsia="仿宋_GB2312"/>
          <w:sz w:val="24"/>
        </w:rPr>
      </w:pPr>
      <w:bookmarkStart w:id="274" w:name="_Toc5911"/>
      <w:r>
        <w:rPr>
          <w:rFonts w:hint="eastAsia" w:eastAsia="仿宋_GB2312"/>
          <w:sz w:val="24"/>
        </w:rPr>
        <w:t>统一领导、规划加油站突发环境事件应急救援工作；</w:t>
      </w:r>
    </w:p>
    <w:p>
      <w:pPr>
        <w:widowControl w:val="0"/>
        <w:numPr>
          <w:ilvl w:val="0"/>
          <w:numId w:val="1"/>
        </w:numPr>
        <w:spacing w:after="0" w:line="360" w:lineRule="auto"/>
        <w:ind w:firstLine="480"/>
        <w:jc w:val="both"/>
        <w:rPr>
          <w:rFonts w:eastAsia="仿宋_GB2312"/>
          <w:sz w:val="24"/>
        </w:rPr>
      </w:pPr>
      <w:r>
        <w:rPr>
          <w:rFonts w:eastAsia="仿宋_GB2312"/>
          <w:sz w:val="24"/>
        </w:rPr>
        <w:t>负责</w:t>
      </w:r>
      <w:r>
        <w:rPr>
          <w:rFonts w:hint="eastAsia" w:eastAsia="仿宋_GB2312"/>
          <w:sz w:val="24"/>
        </w:rPr>
        <w:t>组织</w:t>
      </w:r>
      <w:r>
        <w:rPr>
          <w:rFonts w:eastAsia="仿宋_GB2312"/>
          <w:sz w:val="24"/>
        </w:rPr>
        <w:t>完成</w:t>
      </w:r>
      <w:r>
        <w:rPr>
          <w:rFonts w:hint="eastAsia" w:eastAsia="仿宋_GB2312"/>
          <w:sz w:val="24"/>
        </w:rPr>
        <w:t>突发环境事件应急预案</w:t>
      </w:r>
      <w:r>
        <w:rPr>
          <w:rFonts w:eastAsia="仿宋_GB2312"/>
          <w:sz w:val="24"/>
        </w:rPr>
        <w:t xml:space="preserve">的制定、修订； </w:t>
      </w:r>
    </w:p>
    <w:p>
      <w:pPr>
        <w:widowControl w:val="0"/>
        <w:numPr>
          <w:ilvl w:val="0"/>
          <w:numId w:val="1"/>
        </w:numPr>
        <w:spacing w:after="0" w:line="360" w:lineRule="auto"/>
        <w:ind w:firstLine="480"/>
        <w:jc w:val="both"/>
        <w:rPr>
          <w:rFonts w:eastAsia="仿宋_GB2312"/>
          <w:sz w:val="24"/>
        </w:rPr>
      </w:pPr>
      <w:r>
        <w:rPr>
          <w:rFonts w:eastAsia="仿宋_GB2312"/>
          <w:sz w:val="24"/>
        </w:rPr>
        <w:t>组建突发环境事件应急救援队伍，组织实施和演练；</w:t>
      </w:r>
    </w:p>
    <w:p>
      <w:pPr>
        <w:widowControl w:val="0"/>
        <w:numPr>
          <w:ilvl w:val="0"/>
          <w:numId w:val="1"/>
        </w:numPr>
        <w:spacing w:after="0" w:line="360" w:lineRule="auto"/>
        <w:ind w:firstLine="480"/>
        <w:jc w:val="both"/>
        <w:rPr>
          <w:rFonts w:eastAsia="仿宋_GB2312"/>
          <w:sz w:val="24"/>
        </w:rPr>
      </w:pPr>
      <w:r>
        <w:rPr>
          <w:rFonts w:eastAsia="仿宋_GB2312"/>
          <w:sz w:val="24"/>
        </w:rPr>
        <w:t>检查督促做好突发环境事件的预防措施和应急救援的各项准备工作，发生突发环境事件时，发布和解除应急救援命令、信号；</w:t>
      </w:r>
    </w:p>
    <w:p>
      <w:pPr>
        <w:widowControl w:val="0"/>
        <w:numPr>
          <w:ilvl w:val="0"/>
          <w:numId w:val="1"/>
        </w:numPr>
        <w:spacing w:after="0" w:line="360" w:lineRule="auto"/>
        <w:ind w:firstLine="480"/>
        <w:jc w:val="both"/>
        <w:rPr>
          <w:rFonts w:eastAsia="仿宋_GB2312"/>
          <w:sz w:val="24"/>
        </w:rPr>
      </w:pPr>
      <w:r>
        <w:rPr>
          <w:rFonts w:eastAsia="仿宋_GB2312"/>
          <w:sz w:val="24"/>
        </w:rPr>
        <w:t>组织指挥救援队伍实施救援行动；</w:t>
      </w:r>
    </w:p>
    <w:p>
      <w:pPr>
        <w:widowControl w:val="0"/>
        <w:numPr>
          <w:ilvl w:val="0"/>
          <w:numId w:val="1"/>
        </w:numPr>
        <w:spacing w:after="0" w:line="360" w:lineRule="auto"/>
        <w:ind w:firstLine="480"/>
        <w:jc w:val="both"/>
        <w:rPr>
          <w:rFonts w:eastAsia="仿宋_GB2312"/>
          <w:sz w:val="24"/>
        </w:rPr>
      </w:pPr>
      <w:r>
        <w:rPr>
          <w:rFonts w:eastAsia="仿宋_GB2312"/>
          <w:sz w:val="24"/>
        </w:rPr>
        <w:t>向相关部门和向周边单位报告事故情况，必要时向有关单位发出救援请求，做好事故调查，总结应急救援经验教训；</w:t>
      </w:r>
    </w:p>
    <w:p>
      <w:pPr>
        <w:widowControl w:val="0"/>
        <w:numPr>
          <w:ilvl w:val="0"/>
          <w:numId w:val="1"/>
        </w:numPr>
        <w:spacing w:after="0" w:line="360" w:lineRule="auto"/>
        <w:ind w:firstLine="480"/>
        <w:jc w:val="both"/>
        <w:rPr>
          <w:rFonts w:eastAsia="仿宋_GB2312"/>
          <w:sz w:val="24"/>
        </w:rPr>
      </w:pPr>
      <w:r>
        <w:rPr>
          <w:rFonts w:eastAsia="仿宋_GB2312"/>
          <w:sz w:val="24"/>
        </w:rPr>
        <w:t>发布应急预案启动和终止指令：组织指挥救援队伍实施抢救行动；</w:t>
      </w:r>
    </w:p>
    <w:p>
      <w:pPr>
        <w:widowControl w:val="0"/>
        <w:numPr>
          <w:ilvl w:val="0"/>
          <w:numId w:val="1"/>
        </w:numPr>
        <w:spacing w:after="0" w:line="360" w:lineRule="auto"/>
        <w:ind w:firstLine="480"/>
        <w:jc w:val="both"/>
        <w:rPr>
          <w:rFonts w:eastAsia="仿宋_GB2312"/>
          <w:sz w:val="24"/>
        </w:rPr>
      </w:pPr>
      <w:r>
        <w:rPr>
          <w:rFonts w:eastAsia="仿宋_GB2312"/>
          <w:sz w:val="24"/>
        </w:rPr>
        <w:t>负责向</w:t>
      </w:r>
      <w:r>
        <w:rPr>
          <w:rFonts w:hint="eastAsia" w:eastAsia="仿宋_GB2312"/>
          <w:sz w:val="24"/>
        </w:rPr>
        <w:t>文山州生态环境局西畴分局</w:t>
      </w:r>
      <w:r>
        <w:rPr>
          <w:rFonts w:eastAsia="仿宋_GB2312"/>
          <w:sz w:val="24"/>
        </w:rPr>
        <w:t>报告事故情况，做好事故调查，总结应急经验教训；</w:t>
      </w:r>
    </w:p>
    <w:p>
      <w:pPr>
        <w:widowControl w:val="0"/>
        <w:numPr>
          <w:ilvl w:val="0"/>
          <w:numId w:val="1"/>
        </w:numPr>
        <w:spacing w:after="0" w:line="360" w:lineRule="auto"/>
        <w:ind w:firstLine="480"/>
        <w:jc w:val="both"/>
        <w:rPr>
          <w:rFonts w:eastAsia="仿宋_GB2312"/>
          <w:sz w:val="24"/>
        </w:rPr>
      </w:pPr>
      <w:r>
        <w:rPr>
          <w:rFonts w:eastAsia="仿宋_GB2312"/>
          <w:sz w:val="24"/>
        </w:rPr>
        <w:t>负责上报政府职能部门：确定事故影响范围，事故处理后的监测以及配合有关部门对环境进行监测、修复、事件调查。</w:t>
      </w:r>
    </w:p>
    <w:p>
      <w:pPr>
        <w:pStyle w:val="8"/>
        <w:widowControl w:val="0"/>
        <w:adjustRightInd/>
        <w:snapToGrid/>
        <w:spacing w:before="0" w:after="0" w:line="360" w:lineRule="auto"/>
        <w:rPr>
          <w:rFonts w:ascii="Times New Roman" w:hAnsi="Times New Roman" w:eastAsia="仿宋_GB2312"/>
        </w:rPr>
      </w:pPr>
      <w:r>
        <w:rPr>
          <w:rFonts w:ascii="Times New Roman" w:hAnsi="Times New Roman" w:eastAsia="仿宋_GB2312"/>
        </w:rPr>
        <w:t>4.2.2.2总指挥职责</w:t>
      </w:r>
      <w:bookmarkEnd w:id="274"/>
    </w:p>
    <w:p>
      <w:pPr>
        <w:widowControl w:val="0"/>
        <w:numPr>
          <w:ilvl w:val="0"/>
          <w:numId w:val="2"/>
        </w:numPr>
        <w:spacing w:after="0" w:line="360" w:lineRule="auto"/>
        <w:ind w:firstLine="480"/>
        <w:jc w:val="both"/>
        <w:rPr>
          <w:rFonts w:eastAsia="仿宋_GB2312"/>
          <w:sz w:val="24"/>
        </w:rPr>
      </w:pPr>
      <w:bookmarkStart w:id="275" w:name="_Toc20278"/>
      <w:r>
        <w:rPr>
          <w:rFonts w:eastAsia="仿宋_GB2312"/>
          <w:sz w:val="24"/>
        </w:rPr>
        <w:t>贯彻执行国家、当地政府、上级有关部门关于环境安全的方针、政策及规定；</w:t>
      </w:r>
    </w:p>
    <w:p>
      <w:pPr>
        <w:widowControl w:val="0"/>
        <w:numPr>
          <w:ilvl w:val="0"/>
          <w:numId w:val="2"/>
        </w:numPr>
        <w:spacing w:after="0" w:line="360" w:lineRule="auto"/>
        <w:ind w:firstLine="480"/>
        <w:jc w:val="both"/>
        <w:rPr>
          <w:rFonts w:eastAsia="仿宋_GB2312"/>
          <w:sz w:val="24"/>
        </w:rPr>
      </w:pPr>
      <w:r>
        <w:rPr>
          <w:rFonts w:eastAsia="仿宋_GB2312"/>
          <w:sz w:val="24"/>
        </w:rPr>
        <w:t>组织制定（修订）突发环境事件应急预案；</w:t>
      </w:r>
    </w:p>
    <w:p>
      <w:pPr>
        <w:widowControl w:val="0"/>
        <w:numPr>
          <w:ilvl w:val="0"/>
          <w:numId w:val="2"/>
        </w:numPr>
        <w:spacing w:after="0" w:line="360" w:lineRule="auto"/>
        <w:ind w:firstLine="480"/>
        <w:jc w:val="both"/>
        <w:rPr>
          <w:rFonts w:eastAsia="仿宋_GB2312"/>
          <w:sz w:val="24"/>
        </w:rPr>
      </w:pPr>
      <w:r>
        <w:rPr>
          <w:rFonts w:eastAsia="仿宋_GB2312"/>
          <w:sz w:val="24"/>
        </w:rPr>
        <w:t>组建突发环境事件应急救援队伍；</w:t>
      </w:r>
    </w:p>
    <w:p>
      <w:pPr>
        <w:widowControl w:val="0"/>
        <w:numPr>
          <w:ilvl w:val="0"/>
          <w:numId w:val="2"/>
        </w:numPr>
        <w:spacing w:after="0" w:line="360" w:lineRule="auto"/>
        <w:ind w:firstLine="480"/>
        <w:jc w:val="both"/>
        <w:rPr>
          <w:rFonts w:eastAsia="仿宋_GB2312"/>
          <w:sz w:val="24"/>
        </w:rPr>
      </w:pPr>
      <w:r>
        <w:rPr>
          <w:rFonts w:eastAsia="仿宋_GB2312"/>
          <w:sz w:val="24"/>
        </w:rPr>
        <w:t>负责掌握突发环境事件状况，根据突发环境事件的发展，确定现场指挥人员，推动应急组织工作的发挥；</w:t>
      </w:r>
    </w:p>
    <w:p>
      <w:pPr>
        <w:widowControl w:val="0"/>
        <w:numPr>
          <w:ilvl w:val="0"/>
          <w:numId w:val="2"/>
        </w:numPr>
        <w:spacing w:after="0" w:line="360" w:lineRule="auto"/>
        <w:ind w:firstLine="480"/>
        <w:jc w:val="both"/>
        <w:rPr>
          <w:rFonts w:eastAsia="仿宋_GB2312"/>
          <w:sz w:val="24"/>
        </w:rPr>
      </w:pPr>
      <w:r>
        <w:rPr>
          <w:rFonts w:eastAsia="仿宋_GB2312"/>
          <w:sz w:val="24"/>
        </w:rPr>
        <w:t>视突发环境事件状况和可能演化的趋势，判定是否需要外部救援或外借应急物资，接受上级应急救援指挥机构的指令和调动，协助事件的处理；</w:t>
      </w:r>
    </w:p>
    <w:p>
      <w:pPr>
        <w:widowControl w:val="0"/>
        <w:numPr>
          <w:ilvl w:val="0"/>
          <w:numId w:val="2"/>
        </w:numPr>
        <w:spacing w:after="0" w:line="360" w:lineRule="auto"/>
        <w:ind w:firstLine="480"/>
        <w:jc w:val="both"/>
        <w:rPr>
          <w:rFonts w:eastAsia="仿宋_GB2312"/>
          <w:sz w:val="24"/>
        </w:rPr>
      </w:pPr>
      <w:r>
        <w:rPr>
          <w:rFonts w:eastAsia="仿宋_GB2312"/>
          <w:sz w:val="24"/>
        </w:rPr>
        <w:t>批准本预案的启动与终止应急工作；</w:t>
      </w:r>
    </w:p>
    <w:p>
      <w:pPr>
        <w:widowControl w:val="0"/>
        <w:numPr>
          <w:ilvl w:val="0"/>
          <w:numId w:val="2"/>
        </w:numPr>
        <w:spacing w:after="0" w:line="360" w:lineRule="auto"/>
        <w:ind w:firstLine="480"/>
        <w:jc w:val="both"/>
        <w:rPr>
          <w:rFonts w:eastAsia="仿宋_GB2312"/>
          <w:sz w:val="24"/>
        </w:rPr>
      </w:pPr>
      <w:r>
        <w:rPr>
          <w:rFonts w:hint="eastAsia" w:eastAsia="仿宋_GB2312"/>
          <w:sz w:val="24"/>
        </w:rPr>
        <w:t>事故应急救援结束后，组织（或配合政府主管部门）进行事故调查</w:t>
      </w:r>
      <w:r>
        <w:rPr>
          <w:rFonts w:eastAsia="仿宋_GB2312"/>
          <w:sz w:val="24"/>
        </w:rPr>
        <w:t>、经验教训总结</w:t>
      </w:r>
      <w:r>
        <w:rPr>
          <w:rFonts w:hint="eastAsia"/>
          <w:sz w:val="24"/>
        </w:rPr>
        <w:t>；</w:t>
      </w:r>
    </w:p>
    <w:p>
      <w:pPr>
        <w:widowControl w:val="0"/>
        <w:numPr>
          <w:ilvl w:val="0"/>
          <w:numId w:val="2"/>
        </w:numPr>
        <w:spacing w:after="0" w:line="360" w:lineRule="auto"/>
        <w:ind w:firstLine="480"/>
        <w:jc w:val="both"/>
        <w:rPr>
          <w:rFonts w:eastAsia="仿宋_GB2312"/>
          <w:sz w:val="24"/>
        </w:rPr>
      </w:pPr>
      <w:r>
        <w:rPr>
          <w:rFonts w:hint="eastAsia" w:eastAsia="仿宋_GB2312"/>
          <w:sz w:val="24"/>
        </w:rPr>
        <w:t>负责组织加油站内部应急预案的审批与更新；</w:t>
      </w:r>
    </w:p>
    <w:p>
      <w:pPr>
        <w:widowControl w:val="0"/>
        <w:numPr>
          <w:ilvl w:val="0"/>
          <w:numId w:val="2"/>
        </w:numPr>
        <w:spacing w:after="0" w:line="360" w:lineRule="auto"/>
        <w:ind w:firstLine="480"/>
        <w:jc w:val="both"/>
        <w:rPr>
          <w:rFonts w:eastAsia="仿宋_GB2312"/>
          <w:sz w:val="24"/>
        </w:rPr>
      </w:pPr>
      <w:r>
        <w:rPr>
          <w:rFonts w:hint="eastAsia" w:eastAsia="仿宋_GB2312"/>
          <w:sz w:val="24"/>
        </w:rPr>
        <w:t>负责组织加油站内部应急预案的外部评审。</w:t>
      </w:r>
    </w:p>
    <w:bookmarkEnd w:id="275"/>
    <w:p>
      <w:pPr>
        <w:pStyle w:val="8"/>
        <w:widowControl w:val="0"/>
        <w:adjustRightInd/>
        <w:snapToGrid/>
        <w:spacing w:before="0" w:after="0" w:line="360" w:lineRule="auto"/>
        <w:rPr>
          <w:rFonts w:ascii="Times New Roman" w:hAnsi="Times New Roman" w:eastAsia="仿宋_GB2312"/>
        </w:rPr>
      </w:pPr>
      <w:bookmarkStart w:id="276" w:name="_Toc29505"/>
      <w:r>
        <w:rPr>
          <w:rFonts w:ascii="Times New Roman" w:hAnsi="Times New Roman" w:eastAsia="仿宋_GB2312"/>
        </w:rPr>
        <w:t>4.2.2.</w:t>
      </w:r>
      <w:r>
        <w:rPr>
          <w:rFonts w:hint="eastAsia" w:ascii="Times New Roman" w:hAnsi="Times New Roman" w:eastAsia="仿宋_GB2312"/>
        </w:rPr>
        <w:t>3</w:t>
      </w:r>
      <w:r>
        <w:rPr>
          <w:rFonts w:ascii="Times New Roman" w:hAnsi="Times New Roman" w:eastAsia="仿宋_GB2312"/>
        </w:rPr>
        <w:t>应急指挥办公室职责</w:t>
      </w:r>
      <w:bookmarkEnd w:id="276"/>
    </w:p>
    <w:p>
      <w:pPr>
        <w:pStyle w:val="73"/>
        <w:spacing w:after="0"/>
        <w:ind w:firstLine="480"/>
        <w:rPr>
          <w:sz w:val="24"/>
        </w:rPr>
      </w:pPr>
      <w:bookmarkStart w:id="277" w:name="_Toc20189"/>
      <w:r>
        <w:rPr>
          <w:rFonts w:hint="eastAsia"/>
          <w:sz w:val="24"/>
        </w:rPr>
        <w:t>应急指挥办公室负责配合应急小组完成事故现场及受污染区域的污染物清理、监测工作，必要时代表指挥部对外发布有关信息。在发生事故时，与周边企业做好救援、互救协调工作，指导救援小组开展应急救援工作，通过平时的演习、训练，修订完善事故应急预案。</w:t>
      </w:r>
    </w:p>
    <w:p>
      <w:pPr>
        <w:pStyle w:val="73"/>
        <w:spacing w:after="0"/>
        <w:ind w:firstLine="480"/>
        <w:rPr>
          <w:sz w:val="24"/>
        </w:rPr>
      </w:pPr>
      <w:r>
        <w:rPr>
          <w:rFonts w:hint="eastAsia"/>
          <w:sz w:val="24"/>
        </w:rPr>
        <w:t>（1）应急指挥办公室人员组成</w:t>
      </w:r>
    </w:p>
    <w:p>
      <w:pPr>
        <w:pStyle w:val="73"/>
        <w:spacing w:after="0"/>
        <w:ind w:firstLine="480"/>
        <w:rPr>
          <w:sz w:val="24"/>
        </w:rPr>
      </w:pPr>
      <w:r>
        <w:rPr>
          <w:rFonts w:hint="eastAsia"/>
          <w:sz w:val="24"/>
        </w:rPr>
        <w:t>应急指挥办公室主任：赵代丽</w:t>
      </w:r>
    </w:p>
    <w:p>
      <w:pPr>
        <w:pStyle w:val="73"/>
        <w:spacing w:after="0"/>
        <w:ind w:firstLine="480"/>
        <w:rPr>
          <w:sz w:val="24"/>
        </w:rPr>
      </w:pPr>
      <w:r>
        <w:rPr>
          <w:rFonts w:hint="eastAsia"/>
          <w:sz w:val="24"/>
        </w:rPr>
        <w:t>（2）主要职责</w:t>
      </w:r>
    </w:p>
    <w:p>
      <w:pPr>
        <w:pStyle w:val="73"/>
        <w:spacing w:after="0"/>
        <w:ind w:firstLine="480"/>
        <w:rPr>
          <w:sz w:val="24"/>
        </w:rPr>
      </w:pPr>
      <w:r>
        <w:rPr>
          <w:rFonts w:hint="eastAsia"/>
          <w:sz w:val="24"/>
        </w:rPr>
        <w:t>主要负责事故现场调查取证：调查分析主要污染物种类、污染程度和范围；</w:t>
      </w:r>
    </w:p>
    <w:p>
      <w:pPr>
        <w:pStyle w:val="73"/>
        <w:spacing w:after="0"/>
        <w:ind w:firstLine="480"/>
        <w:rPr>
          <w:sz w:val="24"/>
        </w:rPr>
      </w:pPr>
      <w:r>
        <w:rPr>
          <w:rFonts w:hint="eastAsia"/>
          <w:sz w:val="24"/>
        </w:rPr>
        <w:t>承担与当地区域或应急救援指挥部的联系工作，及时将事故发生情况和最新进展向有关部门汇报；</w:t>
      </w:r>
    </w:p>
    <w:p>
      <w:pPr>
        <w:pStyle w:val="73"/>
        <w:spacing w:after="0"/>
        <w:ind w:firstLine="480"/>
        <w:rPr>
          <w:sz w:val="24"/>
        </w:rPr>
      </w:pPr>
      <w:r>
        <w:rPr>
          <w:rFonts w:hint="eastAsia"/>
          <w:sz w:val="24"/>
        </w:rPr>
        <w:t>负责与周边企业的协调工作以及医院人员、应急资源配置、应急队伍的调动，协调和指挥事故现场处置救援工作；</w:t>
      </w:r>
    </w:p>
    <w:p>
      <w:pPr>
        <w:pStyle w:val="73"/>
        <w:spacing w:after="0"/>
        <w:ind w:firstLine="480"/>
        <w:rPr>
          <w:sz w:val="24"/>
        </w:rPr>
      </w:pPr>
      <w:r>
        <w:rPr>
          <w:rFonts w:hint="eastAsia"/>
          <w:sz w:val="24"/>
        </w:rPr>
        <w:t>负责突发环境事件信息的接收、核实、传递、通报、报告等工作；</w:t>
      </w:r>
    </w:p>
    <w:p>
      <w:pPr>
        <w:pStyle w:val="73"/>
        <w:spacing w:after="0"/>
        <w:ind w:firstLine="480"/>
        <w:rPr>
          <w:sz w:val="24"/>
        </w:rPr>
      </w:pPr>
      <w:r>
        <w:rPr>
          <w:rFonts w:hint="eastAsia"/>
          <w:sz w:val="24"/>
        </w:rPr>
        <w:t>负责收集事故情况以及提出的报告和建议。传达、执行公司领导和应急救援指挥部的各项决策、指令，并记录执行情况；</w:t>
      </w:r>
    </w:p>
    <w:p>
      <w:pPr>
        <w:pStyle w:val="73"/>
        <w:spacing w:after="0"/>
        <w:ind w:firstLine="480"/>
        <w:rPr>
          <w:sz w:val="24"/>
        </w:rPr>
      </w:pPr>
      <w:r>
        <w:rPr>
          <w:rFonts w:hint="eastAsia"/>
          <w:sz w:val="24"/>
        </w:rPr>
        <w:t>承办应急状态终止后应急救援指挥部决定的相关事宜</w:t>
      </w:r>
      <w:bookmarkStart w:id="278" w:name="_Toc27882"/>
      <w:bookmarkStart w:id="279" w:name="_Toc27006"/>
      <w:bookmarkStart w:id="280" w:name="_Toc6406"/>
      <w:bookmarkStart w:id="281" w:name="_Toc10482"/>
      <w:bookmarkStart w:id="282" w:name="_Toc9199"/>
      <w:bookmarkStart w:id="283" w:name="_Toc7108"/>
      <w:bookmarkStart w:id="284" w:name="_Toc6168"/>
      <w:bookmarkStart w:id="285" w:name="_Toc25472"/>
      <w:bookmarkStart w:id="286" w:name="_Toc22775"/>
      <w:bookmarkStart w:id="287" w:name="_Toc20238"/>
      <w:bookmarkStart w:id="288" w:name="_Toc432106209"/>
      <w:bookmarkStart w:id="289" w:name="_Toc5881"/>
      <w:bookmarkStart w:id="290" w:name="_Toc417564914"/>
      <w:bookmarkStart w:id="291" w:name="_Toc4660"/>
      <w:bookmarkStart w:id="292" w:name="_Toc432106501"/>
      <w:bookmarkStart w:id="293" w:name="_Toc30361"/>
      <w:bookmarkStart w:id="294" w:name="_Toc417889995"/>
      <w:bookmarkStart w:id="295" w:name="_Toc18426"/>
      <w:bookmarkStart w:id="296" w:name="_Toc5902"/>
      <w:bookmarkStart w:id="297" w:name="_Toc7026"/>
      <w:bookmarkStart w:id="298" w:name="_Toc24781"/>
      <w:bookmarkStart w:id="299" w:name="_Toc432106793"/>
      <w:bookmarkStart w:id="300" w:name="_Toc2534"/>
      <w:bookmarkStart w:id="301" w:name="_Toc26383"/>
      <w:bookmarkStart w:id="302" w:name="_Toc14460"/>
      <w:bookmarkStart w:id="303" w:name="_Toc9324"/>
      <w:bookmarkStart w:id="304" w:name="_Toc13707"/>
      <w:bookmarkStart w:id="305" w:name="_Toc28110"/>
      <w:bookmarkStart w:id="306" w:name="_Toc20401"/>
      <w:r>
        <w:rPr>
          <w:rFonts w:hint="eastAsia"/>
          <w:sz w:val="24"/>
        </w:rPr>
        <w:t>。</w:t>
      </w:r>
    </w:p>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Pr>
        <w:pStyle w:val="8"/>
        <w:widowControl w:val="0"/>
        <w:adjustRightInd/>
        <w:snapToGrid/>
        <w:spacing w:before="0" w:after="0" w:line="360" w:lineRule="auto"/>
        <w:rPr>
          <w:rFonts w:ascii="Times New Roman" w:hAnsi="Times New Roman" w:eastAsia="仿宋_GB2312"/>
        </w:rPr>
      </w:pPr>
      <w:r>
        <w:rPr>
          <w:rFonts w:ascii="Times New Roman" w:hAnsi="Times New Roman" w:eastAsia="仿宋_GB2312"/>
        </w:rPr>
        <w:t>4.2.2.</w:t>
      </w:r>
      <w:r>
        <w:rPr>
          <w:rFonts w:hint="eastAsia" w:ascii="Times New Roman" w:hAnsi="Times New Roman" w:eastAsia="仿宋_GB2312"/>
        </w:rPr>
        <w:t>4</w:t>
      </w:r>
      <w:r>
        <w:rPr>
          <w:rFonts w:ascii="Times New Roman" w:hAnsi="Times New Roman" w:eastAsia="仿宋_GB2312"/>
        </w:rPr>
        <w:t>突发事件应急处置小组</w:t>
      </w:r>
      <w:bookmarkEnd w:id="277"/>
    </w:p>
    <w:p>
      <w:pPr>
        <w:spacing w:after="0" w:line="360" w:lineRule="auto"/>
        <w:ind w:firstLine="482"/>
        <w:rPr>
          <w:rFonts w:eastAsia="仿宋_GB2312"/>
          <w:b/>
          <w:sz w:val="24"/>
        </w:rPr>
      </w:pPr>
      <w:r>
        <w:rPr>
          <w:rFonts w:eastAsia="仿宋_GB2312"/>
          <w:b/>
          <w:sz w:val="24"/>
        </w:rPr>
        <w:t>1、救援抢险组</w:t>
      </w:r>
    </w:p>
    <w:p>
      <w:pPr>
        <w:spacing w:after="0" w:line="360" w:lineRule="auto"/>
        <w:ind w:firstLine="480"/>
        <w:rPr>
          <w:rFonts w:eastAsia="仿宋_GB2312"/>
          <w:sz w:val="24"/>
        </w:rPr>
      </w:pPr>
      <w:bookmarkStart w:id="307" w:name="_Toc72068690"/>
      <w:r>
        <w:rPr>
          <w:rFonts w:hint="eastAsia" w:eastAsia="仿宋_GB2312"/>
          <w:sz w:val="24"/>
        </w:rPr>
        <w:t>主要职责</w:t>
      </w:r>
      <w:bookmarkEnd w:id="307"/>
    </w:p>
    <w:p>
      <w:pPr>
        <w:numPr>
          <w:ilvl w:val="0"/>
          <w:numId w:val="3"/>
        </w:numPr>
        <w:spacing w:after="0" w:line="360" w:lineRule="auto"/>
        <w:ind w:firstLine="600" w:firstLineChars="250"/>
        <w:rPr>
          <w:rFonts w:eastAsia="仿宋_GB2312"/>
          <w:sz w:val="24"/>
        </w:rPr>
      </w:pPr>
      <w:r>
        <w:rPr>
          <w:rFonts w:hint="eastAsia" w:eastAsia="仿宋_GB2312"/>
          <w:sz w:val="24"/>
        </w:rPr>
        <w:t>了解本组人员在事故应急救援中的职责、作业程序、内容和要求，学习、掌握消防器材、防护设施、应急装备性能及其使用方法；</w:t>
      </w:r>
    </w:p>
    <w:p>
      <w:pPr>
        <w:numPr>
          <w:ilvl w:val="0"/>
          <w:numId w:val="3"/>
        </w:numPr>
        <w:spacing w:after="0" w:line="360" w:lineRule="auto"/>
        <w:ind w:firstLine="600" w:firstLineChars="250"/>
        <w:rPr>
          <w:rFonts w:eastAsia="仿宋_GB2312"/>
          <w:sz w:val="24"/>
        </w:rPr>
      </w:pPr>
      <w:r>
        <w:rPr>
          <w:rFonts w:hint="eastAsia" w:eastAsia="仿宋_GB2312"/>
          <w:sz w:val="24"/>
        </w:rPr>
        <w:t>积极参加突发环境事件应急预案培训和演练，熟悉各类可能发生的事故现场处置措施；</w:t>
      </w:r>
    </w:p>
    <w:p>
      <w:pPr>
        <w:numPr>
          <w:ilvl w:val="0"/>
          <w:numId w:val="3"/>
        </w:numPr>
        <w:spacing w:after="0" w:line="360" w:lineRule="auto"/>
        <w:ind w:firstLine="600" w:firstLineChars="250"/>
        <w:rPr>
          <w:rFonts w:eastAsia="仿宋_GB2312"/>
          <w:sz w:val="24"/>
        </w:rPr>
      </w:pPr>
      <w:r>
        <w:rPr>
          <w:rFonts w:hint="eastAsia" w:eastAsia="仿宋_GB2312"/>
          <w:sz w:val="24"/>
        </w:rPr>
        <w:t>对风险源进行日常检查，监督落实环境事故防控措施；</w:t>
      </w:r>
    </w:p>
    <w:p>
      <w:pPr>
        <w:numPr>
          <w:ilvl w:val="0"/>
          <w:numId w:val="3"/>
        </w:numPr>
        <w:spacing w:after="0" w:line="360" w:lineRule="auto"/>
        <w:ind w:firstLine="600" w:firstLineChars="250"/>
        <w:rPr>
          <w:rFonts w:eastAsia="仿宋_GB2312"/>
          <w:sz w:val="24"/>
        </w:rPr>
      </w:pPr>
      <w:r>
        <w:rPr>
          <w:rFonts w:hint="eastAsia" w:eastAsia="仿宋_GB2312"/>
          <w:sz w:val="24"/>
        </w:rPr>
        <w:t>救援期间坚决执行应急指挥部的抢险救援命令；</w:t>
      </w:r>
    </w:p>
    <w:p>
      <w:pPr>
        <w:numPr>
          <w:ilvl w:val="0"/>
          <w:numId w:val="3"/>
        </w:numPr>
        <w:spacing w:after="0" w:line="360" w:lineRule="auto"/>
        <w:ind w:firstLine="600" w:firstLineChars="250"/>
        <w:rPr>
          <w:rFonts w:eastAsia="仿宋_GB2312"/>
          <w:sz w:val="24"/>
        </w:rPr>
      </w:pPr>
      <w:r>
        <w:rPr>
          <w:rFonts w:hint="eastAsia" w:eastAsia="仿宋_GB2312"/>
          <w:sz w:val="24"/>
        </w:rPr>
        <w:t>学习观察、辨识风向，了解人员疏散的安全通道和集结地；</w:t>
      </w:r>
    </w:p>
    <w:p>
      <w:pPr>
        <w:numPr>
          <w:ilvl w:val="0"/>
          <w:numId w:val="3"/>
        </w:numPr>
        <w:spacing w:after="0" w:line="360" w:lineRule="auto"/>
        <w:ind w:firstLine="600" w:firstLineChars="250"/>
        <w:rPr>
          <w:rFonts w:eastAsia="仿宋_GB2312"/>
          <w:sz w:val="24"/>
        </w:rPr>
      </w:pPr>
      <w:r>
        <w:rPr>
          <w:rFonts w:hint="eastAsia" w:eastAsia="仿宋_GB2312"/>
          <w:sz w:val="24"/>
        </w:rPr>
        <w:t>迅速奔赴事故现场；迅速切断事故源和排除现场的易燃易爆物质；根据应急指挥部下达的指令，迅速抢修设备、设施，控制事故，以防扩大；及时将被困者带离危险区域；保持与应急指挥部的通讯联络，密切监视灾情及采取措施的效果，及时向应急指挥部报告，或提出新的应急措施，包括请求物资调配、救援力量支援等；</w:t>
      </w:r>
    </w:p>
    <w:p>
      <w:pPr>
        <w:numPr>
          <w:ilvl w:val="0"/>
          <w:numId w:val="3"/>
        </w:numPr>
        <w:spacing w:after="0" w:line="360" w:lineRule="auto"/>
        <w:ind w:firstLine="600" w:firstLineChars="250"/>
        <w:rPr>
          <w:rFonts w:eastAsia="仿宋_GB2312"/>
          <w:sz w:val="24"/>
        </w:rPr>
      </w:pPr>
      <w:r>
        <w:rPr>
          <w:rFonts w:hint="eastAsia" w:eastAsia="仿宋_GB2312"/>
          <w:sz w:val="24"/>
        </w:rPr>
        <w:t>事故应急救援结束后参与事故调查。</w:t>
      </w:r>
      <w:bookmarkEnd w:id="272"/>
      <w:bookmarkEnd w:id="273"/>
      <w:bookmarkStart w:id="308" w:name="_Toc7683"/>
    </w:p>
    <w:p>
      <w:pPr>
        <w:spacing w:after="0" w:line="360" w:lineRule="auto"/>
        <w:rPr>
          <w:rFonts w:eastAsia="仿宋_GB2312"/>
          <w:sz w:val="24"/>
        </w:rPr>
      </w:pPr>
      <w:r>
        <w:rPr>
          <w:rFonts w:eastAsia="仿宋_GB2312"/>
          <w:b/>
          <w:sz w:val="24"/>
        </w:rPr>
        <w:t>2、应急监测组</w:t>
      </w:r>
    </w:p>
    <w:p>
      <w:pPr>
        <w:widowControl w:val="0"/>
        <w:spacing w:after="0" w:line="360" w:lineRule="auto"/>
        <w:ind w:firstLine="480"/>
        <w:jc w:val="both"/>
        <w:rPr>
          <w:rFonts w:eastAsia="仿宋_GB2312"/>
          <w:sz w:val="24"/>
        </w:rPr>
      </w:pPr>
      <w:r>
        <w:rPr>
          <w:rFonts w:hint="eastAsia" w:eastAsia="仿宋_GB2312"/>
          <w:sz w:val="24"/>
        </w:rPr>
        <w:t>主要职责</w:t>
      </w:r>
    </w:p>
    <w:p>
      <w:pPr>
        <w:widowControl w:val="0"/>
        <w:numPr>
          <w:ilvl w:val="0"/>
          <w:numId w:val="4"/>
        </w:numPr>
        <w:spacing w:after="0" w:line="360" w:lineRule="auto"/>
        <w:ind w:firstLine="600" w:firstLineChars="250"/>
        <w:jc w:val="both"/>
        <w:rPr>
          <w:rFonts w:eastAsia="仿宋_GB2312"/>
          <w:sz w:val="24"/>
        </w:rPr>
      </w:pPr>
      <w:r>
        <w:rPr>
          <w:rFonts w:eastAsia="仿宋_GB2312"/>
          <w:sz w:val="24"/>
        </w:rPr>
        <w:t>负责对已泄漏的物质进行收集、转存；</w:t>
      </w:r>
    </w:p>
    <w:p>
      <w:pPr>
        <w:widowControl w:val="0"/>
        <w:numPr>
          <w:ilvl w:val="0"/>
          <w:numId w:val="4"/>
        </w:numPr>
        <w:spacing w:after="0" w:line="360" w:lineRule="auto"/>
        <w:ind w:firstLine="600" w:firstLineChars="250"/>
        <w:jc w:val="both"/>
        <w:rPr>
          <w:rFonts w:eastAsia="仿宋_GB2312"/>
          <w:sz w:val="24"/>
        </w:rPr>
      </w:pPr>
      <w:r>
        <w:rPr>
          <w:rFonts w:eastAsia="仿宋_GB2312"/>
          <w:sz w:val="24"/>
        </w:rPr>
        <w:t>负责现场清理的废水、废液、废渣等处理处置，污染场地清理恢复等应急善后处理工作；</w:t>
      </w:r>
    </w:p>
    <w:p>
      <w:pPr>
        <w:widowControl w:val="0"/>
        <w:numPr>
          <w:ilvl w:val="0"/>
          <w:numId w:val="4"/>
        </w:numPr>
        <w:spacing w:after="0" w:line="360" w:lineRule="auto"/>
        <w:ind w:firstLine="600" w:firstLineChars="250"/>
        <w:jc w:val="both"/>
        <w:rPr>
          <w:rFonts w:eastAsia="仿宋_GB2312"/>
          <w:sz w:val="24"/>
        </w:rPr>
      </w:pPr>
      <w:r>
        <w:rPr>
          <w:rFonts w:eastAsia="仿宋_GB2312"/>
          <w:sz w:val="24"/>
        </w:rPr>
        <w:t>掌握</w:t>
      </w:r>
      <w:r>
        <w:rPr>
          <w:rFonts w:hint="eastAsia" w:eastAsia="仿宋_GB2312"/>
          <w:sz w:val="24"/>
        </w:rPr>
        <w:t>西畴县</w:t>
      </w:r>
      <w:r>
        <w:rPr>
          <w:rFonts w:eastAsia="仿宋_GB2312"/>
          <w:sz w:val="24"/>
        </w:rPr>
        <w:t>内政府监测机构与有资质的监测机构的联系方式，确保能够迅速获得环境监测支持；</w:t>
      </w:r>
    </w:p>
    <w:p>
      <w:pPr>
        <w:widowControl w:val="0"/>
        <w:numPr>
          <w:ilvl w:val="0"/>
          <w:numId w:val="4"/>
        </w:numPr>
        <w:spacing w:after="0" w:line="360" w:lineRule="auto"/>
        <w:ind w:firstLine="600" w:firstLineChars="250"/>
        <w:jc w:val="both"/>
        <w:rPr>
          <w:rFonts w:eastAsia="仿宋_GB2312"/>
          <w:sz w:val="24"/>
        </w:rPr>
      </w:pPr>
      <w:r>
        <w:rPr>
          <w:rFonts w:eastAsia="仿宋_GB2312"/>
          <w:sz w:val="24"/>
        </w:rPr>
        <w:t>配合相关监测机构制定现场监测方案；</w:t>
      </w:r>
    </w:p>
    <w:p>
      <w:pPr>
        <w:widowControl w:val="0"/>
        <w:numPr>
          <w:ilvl w:val="0"/>
          <w:numId w:val="4"/>
        </w:numPr>
        <w:spacing w:after="0" w:line="360" w:lineRule="auto"/>
        <w:ind w:firstLine="600" w:firstLineChars="250"/>
        <w:jc w:val="both"/>
        <w:rPr>
          <w:rFonts w:eastAsia="仿宋_GB2312"/>
          <w:sz w:val="24"/>
        </w:rPr>
      </w:pPr>
      <w:r>
        <w:rPr>
          <w:rFonts w:eastAsia="仿宋_GB2312"/>
          <w:sz w:val="24"/>
        </w:rPr>
        <w:t>配合相关监测机构采样监测工作，提供现场协助；</w:t>
      </w:r>
    </w:p>
    <w:p>
      <w:pPr>
        <w:widowControl w:val="0"/>
        <w:numPr>
          <w:ilvl w:val="0"/>
          <w:numId w:val="4"/>
        </w:numPr>
        <w:spacing w:after="0" w:line="360" w:lineRule="auto"/>
        <w:ind w:firstLine="600" w:firstLineChars="250"/>
        <w:jc w:val="both"/>
        <w:rPr>
          <w:rFonts w:eastAsia="仿宋_GB2312"/>
          <w:sz w:val="24"/>
        </w:rPr>
      </w:pPr>
      <w:r>
        <w:rPr>
          <w:rFonts w:eastAsia="仿宋_GB2312"/>
          <w:sz w:val="24"/>
          <w:lang w:val="zh-CN"/>
        </w:rPr>
        <w:t>负责监测数据和监测报告的及时上报；</w:t>
      </w:r>
    </w:p>
    <w:p>
      <w:pPr>
        <w:widowControl w:val="0"/>
        <w:numPr>
          <w:ilvl w:val="0"/>
          <w:numId w:val="4"/>
        </w:numPr>
        <w:spacing w:after="0" w:line="360" w:lineRule="auto"/>
        <w:ind w:firstLine="600" w:firstLineChars="250"/>
        <w:jc w:val="both"/>
        <w:rPr>
          <w:rFonts w:eastAsia="仿宋_GB2312"/>
          <w:sz w:val="24"/>
        </w:rPr>
      </w:pPr>
      <w:r>
        <w:rPr>
          <w:rFonts w:eastAsia="仿宋_GB2312"/>
          <w:sz w:val="24"/>
          <w:lang w:val="zh-CN"/>
        </w:rPr>
        <w:t>如被要求听从政府部门应急机构安排的，环境应急监测组人员应参与政府部门的应急监测。</w:t>
      </w:r>
    </w:p>
    <w:p>
      <w:pPr>
        <w:spacing w:after="0" w:line="360" w:lineRule="auto"/>
        <w:ind w:firstLine="482"/>
        <w:rPr>
          <w:rFonts w:eastAsia="仿宋_GB2312"/>
          <w:b/>
          <w:sz w:val="24"/>
        </w:rPr>
      </w:pPr>
      <w:r>
        <w:rPr>
          <w:rFonts w:eastAsia="仿宋_GB2312"/>
          <w:b/>
          <w:sz w:val="24"/>
        </w:rPr>
        <w:t>3、应急保障组</w:t>
      </w:r>
    </w:p>
    <w:p>
      <w:pPr>
        <w:spacing w:after="0" w:line="360" w:lineRule="auto"/>
        <w:ind w:firstLine="480"/>
        <w:rPr>
          <w:rFonts w:eastAsia="仿宋_GB2312"/>
          <w:sz w:val="24"/>
        </w:rPr>
      </w:pPr>
      <w:bookmarkStart w:id="309" w:name="_Toc72068693"/>
      <w:r>
        <w:rPr>
          <w:rFonts w:hint="eastAsia" w:eastAsia="仿宋_GB2312"/>
          <w:sz w:val="24"/>
        </w:rPr>
        <w:t>主要职责</w:t>
      </w:r>
      <w:bookmarkEnd w:id="309"/>
    </w:p>
    <w:p>
      <w:pPr>
        <w:widowControl w:val="0"/>
        <w:numPr>
          <w:ilvl w:val="0"/>
          <w:numId w:val="5"/>
        </w:numPr>
        <w:spacing w:after="0" w:line="360" w:lineRule="auto"/>
        <w:ind w:firstLine="600" w:firstLineChars="250"/>
        <w:jc w:val="both"/>
        <w:rPr>
          <w:rFonts w:eastAsia="仿宋_GB2312"/>
          <w:sz w:val="24"/>
        </w:rPr>
      </w:pPr>
      <w:r>
        <w:rPr>
          <w:rFonts w:eastAsia="仿宋_GB2312"/>
          <w:sz w:val="24"/>
        </w:rPr>
        <w:t>负责协调、调配应急人员所需生活、抢险所需物资等后勤保障；</w:t>
      </w:r>
    </w:p>
    <w:p>
      <w:pPr>
        <w:widowControl w:val="0"/>
        <w:numPr>
          <w:ilvl w:val="0"/>
          <w:numId w:val="5"/>
        </w:numPr>
        <w:spacing w:after="0" w:line="360" w:lineRule="auto"/>
        <w:ind w:firstLine="600" w:firstLineChars="250"/>
        <w:jc w:val="both"/>
        <w:rPr>
          <w:rFonts w:eastAsia="仿宋_GB2312"/>
          <w:sz w:val="24"/>
        </w:rPr>
      </w:pPr>
      <w:r>
        <w:rPr>
          <w:rFonts w:eastAsia="仿宋_GB2312"/>
          <w:sz w:val="24"/>
        </w:rPr>
        <w:t>根据应急处置所需设备及物资数量、型号等，对照库存储备，及时准确地提供备件；</w:t>
      </w:r>
    </w:p>
    <w:p>
      <w:pPr>
        <w:widowControl w:val="0"/>
        <w:numPr>
          <w:ilvl w:val="0"/>
          <w:numId w:val="5"/>
        </w:numPr>
        <w:spacing w:after="0" w:line="360" w:lineRule="auto"/>
        <w:ind w:firstLine="600" w:firstLineChars="250"/>
        <w:jc w:val="both"/>
        <w:rPr>
          <w:rFonts w:eastAsia="仿宋_GB2312"/>
          <w:sz w:val="24"/>
        </w:rPr>
      </w:pPr>
      <w:r>
        <w:rPr>
          <w:rFonts w:eastAsia="仿宋_GB2312"/>
          <w:sz w:val="24"/>
        </w:rPr>
        <w:t>组织制（修订）定通信联络应急程序，组建应急队伍，开展应急培训与演练；</w:t>
      </w:r>
    </w:p>
    <w:p>
      <w:pPr>
        <w:widowControl w:val="0"/>
        <w:numPr>
          <w:ilvl w:val="0"/>
          <w:numId w:val="5"/>
        </w:numPr>
        <w:spacing w:after="0" w:line="360" w:lineRule="auto"/>
        <w:ind w:firstLine="600" w:firstLineChars="250"/>
        <w:jc w:val="both"/>
        <w:rPr>
          <w:rFonts w:eastAsia="仿宋_GB2312"/>
          <w:sz w:val="24"/>
        </w:rPr>
      </w:pPr>
      <w:r>
        <w:rPr>
          <w:rFonts w:eastAsia="仿宋_GB2312"/>
          <w:sz w:val="24"/>
        </w:rPr>
        <w:t>负责应急处置过程的报警、汇报、通报和外联工作；</w:t>
      </w:r>
    </w:p>
    <w:p>
      <w:pPr>
        <w:widowControl w:val="0"/>
        <w:numPr>
          <w:ilvl w:val="0"/>
          <w:numId w:val="5"/>
        </w:numPr>
        <w:spacing w:after="0" w:line="360" w:lineRule="auto"/>
        <w:ind w:firstLine="600" w:firstLineChars="250"/>
        <w:jc w:val="both"/>
        <w:rPr>
          <w:rFonts w:eastAsia="仿宋_GB2312"/>
          <w:sz w:val="24"/>
        </w:rPr>
      </w:pPr>
      <w:r>
        <w:rPr>
          <w:rFonts w:eastAsia="仿宋_GB2312"/>
          <w:sz w:val="24"/>
        </w:rPr>
        <w:t>负责事故应急过程中公司内外通讯线路、通讯方式畅通</w:t>
      </w:r>
      <w:r>
        <w:rPr>
          <w:rFonts w:hint="eastAsia" w:eastAsia="仿宋_GB2312"/>
          <w:sz w:val="24"/>
        </w:rPr>
        <w:t>；</w:t>
      </w:r>
    </w:p>
    <w:p>
      <w:pPr>
        <w:widowControl w:val="0"/>
        <w:numPr>
          <w:ilvl w:val="0"/>
          <w:numId w:val="5"/>
        </w:numPr>
        <w:spacing w:after="0" w:line="360" w:lineRule="auto"/>
        <w:ind w:firstLine="600" w:firstLineChars="250"/>
        <w:jc w:val="both"/>
        <w:rPr>
          <w:rFonts w:eastAsia="仿宋_GB2312"/>
          <w:sz w:val="24"/>
        </w:rPr>
      </w:pPr>
      <w:r>
        <w:rPr>
          <w:rFonts w:eastAsia="仿宋_GB2312"/>
          <w:sz w:val="24"/>
        </w:rPr>
        <w:t>指导事故区域人员疏散或转移，指导周边人员疏散、转移；</w:t>
      </w:r>
    </w:p>
    <w:p>
      <w:pPr>
        <w:widowControl w:val="0"/>
        <w:numPr>
          <w:ilvl w:val="0"/>
          <w:numId w:val="5"/>
        </w:numPr>
        <w:spacing w:after="0" w:line="360" w:lineRule="auto"/>
        <w:ind w:firstLine="600" w:firstLineChars="250"/>
        <w:jc w:val="both"/>
        <w:rPr>
          <w:rFonts w:eastAsia="仿宋_GB2312"/>
          <w:sz w:val="24"/>
        </w:rPr>
      </w:pPr>
      <w:r>
        <w:rPr>
          <w:rFonts w:eastAsia="仿宋_GB2312"/>
          <w:sz w:val="24"/>
        </w:rPr>
        <w:t>负责对事故现场布置安全警戒，禁止无关人员和车辆进入危险区域；</w:t>
      </w:r>
    </w:p>
    <w:p>
      <w:pPr>
        <w:widowControl w:val="0"/>
        <w:numPr>
          <w:ilvl w:val="0"/>
          <w:numId w:val="5"/>
        </w:numPr>
        <w:spacing w:after="0" w:line="360" w:lineRule="auto"/>
        <w:ind w:firstLine="600" w:firstLineChars="250"/>
        <w:jc w:val="both"/>
        <w:rPr>
          <w:rFonts w:eastAsia="仿宋_GB2312"/>
          <w:sz w:val="24"/>
        </w:rPr>
      </w:pPr>
      <w:r>
        <w:rPr>
          <w:rFonts w:eastAsia="仿宋_GB2312"/>
          <w:sz w:val="24"/>
        </w:rPr>
        <w:t>负责维护救援现场交通秩序，保持道路畅通</w:t>
      </w:r>
      <w:r>
        <w:rPr>
          <w:rFonts w:hint="eastAsia" w:eastAsia="仿宋_GB2312"/>
          <w:sz w:val="24"/>
        </w:rPr>
        <w:t>；</w:t>
      </w:r>
    </w:p>
    <w:p>
      <w:pPr>
        <w:widowControl w:val="0"/>
        <w:numPr>
          <w:ilvl w:val="0"/>
          <w:numId w:val="5"/>
        </w:numPr>
        <w:spacing w:after="0" w:line="360" w:lineRule="auto"/>
        <w:ind w:firstLine="600" w:firstLineChars="250"/>
        <w:jc w:val="both"/>
        <w:rPr>
          <w:rFonts w:eastAsia="仿宋_GB2312"/>
          <w:sz w:val="24"/>
        </w:rPr>
      </w:pPr>
      <w:r>
        <w:rPr>
          <w:rFonts w:eastAsia="仿宋_GB2312"/>
          <w:sz w:val="24"/>
        </w:rPr>
        <w:t>根据突发环境事件发生情况，必要时负责将伤员送医院治疗。</w:t>
      </w:r>
    </w:p>
    <w:p>
      <w:pPr>
        <w:pStyle w:val="8"/>
        <w:widowControl w:val="0"/>
        <w:adjustRightInd/>
        <w:snapToGrid/>
        <w:spacing w:before="0" w:after="0" w:line="360" w:lineRule="auto"/>
        <w:rPr>
          <w:rFonts w:ascii="Times New Roman" w:hAnsi="Times New Roman" w:eastAsia="仿宋_GB2312"/>
        </w:rPr>
      </w:pPr>
      <w:r>
        <w:rPr>
          <w:rFonts w:ascii="Times New Roman" w:hAnsi="Times New Roman" w:eastAsia="仿宋_GB2312"/>
        </w:rPr>
        <w:t>4.2.2.</w:t>
      </w:r>
      <w:r>
        <w:rPr>
          <w:rFonts w:hint="eastAsia" w:ascii="Times New Roman" w:hAnsi="Times New Roman" w:eastAsia="仿宋_GB2312"/>
        </w:rPr>
        <w:t>5加油站</w:t>
      </w:r>
      <w:r>
        <w:rPr>
          <w:rFonts w:ascii="Times New Roman" w:hAnsi="Times New Roman" w:eastAsia="仿宋_GB2312"/>
        </w:rPr>
        <w:t>各部门的职责</w:t>
      </w:r>
      <w:bookmarkEnd w:id="308"/>
    </w:p>
    <w:p>
      <w:pPr>
        <w:widowControl w:val="0"/>
        <w:spacing w:after="0" w:line="360" w:lineRule="auto"/>
        <w:ind w:firstLine="480"/>
        <w:jc w:val="both"/>
        <w:rPr>
          <w:rFonts w:eastAsia="仿宋_GB2312"/>
          <w:sz w:val="24"/>
        </w:rPr>
      </w:pPr>
      <w:r>
        <w:rPr>
          <w:rFonts w:hint="eastAsia" w:eastAsia="仿宋_GB2312"/>
          <w:sz w:val="24"/>
        </w:rPr>
        <w:t>加油站</w:t>
      </w:r>
      <w:r>
        <w:rPr>
          <w:rFonts w:eastAsia="仿宋_GB2312"/>
          <w:sz w:val="24"/>
        </w:rPr>
        <w:t>各部门均应积极响应突发环境事件应急指挥部及应急指挥办公室对事件自受理至处置完毕的各项管理工作，根据各部门的职责负责完成如下职责：</w:t>
      </w:r>
    </w:p>
    <w:p>
      <w:pPr>
        <w:widowControl w:val="0"/>
        <w:spacing w:after="0" w:line="360" w:lineRule="auto"/>
        <w:ind w:firstLine="480"/>
        <w:jc w:val="both"/>
        <w:rPr>
          <w:rFonts w:eastAsia="仿宋_GB2312"/>
          <w:sz w:val="24"/>
        </w:rPr>
      </w:pPr>
      <w:r>
        <w:rPr>
          <w:rFonts w:eastAsia="仿宋_GB2312"/>
          <w:sz w:val="24"/>
        </w:rPr>
        <w:t>（1）做好事件申报、调查、预评估、处理等环节的档案保存、整理、上报工作。</w:t>
      </w:r>
    </w:p>
    <w:p>
      <w:pPr>
        <w:widowControl w:val="0"/>
        <w:spacing w:after="0" w:line="360" w:lineRule="auto"/>
        <w:ind w:firstLine="480"/>
        <w:jc w:val="both"/>
        <w:rPr>
          <w:rFonts w:eastAsia="仿宋_GB2312"/>
          <w:sz w:val="24"/>
        </w:rPr>
      </w:pPr>
      <w:r>
        <w:rPr>
          <w:rFonts w:eastAsia="仿宋_GB2312"/>
          <w:sz w:val="24"/>
        </w:rPr>
        <w:t>（2）做好所在部门全体人员有关突发环境事件应急处置的宣传教育。</w:t>
      </w:r>
    </w:p>
    <w:p>
      <w:pPr>
        <w:widowControl w:val="0"/>
        <w:spacing w:after="0" w:line="360" w:lineRule="auto"/>
        <w:ind w:firstLine="480"/>
        <w:jc w:val="both"/>
        <w:rPr>
          <w:rFonts w:eastAsia="仿宋_GB2312"/>
          <w:sz w:val="24"/>
        </w:rPr>
      </w:pPr>
      <w:r>
        <w:rPr>
          <w:rFonts w:eastAsia="仿宋_GB2312"/>
          <w:sz w:val="24"/>
        </w:rPr>
        <w:t>（3）在处置过程中，各部门均应服从应急指挥部及应急指挥办公室的工作安排。</w:t>
      </w:r>
    </w:p>
    <w:p>
      <w:pPr>
        <w:widowControl w:val="0"/>
        <w:spacing w:after="0" w:line="360" w:lineRule="auto"/>
        <w:ind w:firstLine="480"/>
        <w:jc w:val="both"/>
        <w:rPr>
          <w:rFonts w:eastAsia="仿宋_GB2312"/>
          <w:sz w:val="24"/>
        </w:rPr>
      </w:pPr>
      <w:r>
        <w:rPr>
          <w:rFonts w:eastAsia="仿宋_GB2312"/>
          <w:sz w:val="24"/>
        </w:rPr>
        <w:t>（4）经应急指挥部及应急指挥办公室授权或指派负责相关处置工作的，在事件处置过程中或完成后，应及时书面向应急指挥办公室回馈相关事件的处置情况。</w:t>
      </w:r>
    </w:p>
    <w:p>
      <w:pPr>
        <w:pStyle w:val="6"/>
        <w:rPr>
          <w:rFonts w:eastAsia="仿宋_GB2312"/>
          <w:sz w:val="28"/>
          <w:szCs w:val="28"/>
        </w:rPr>
      </w:pPr>
      <w:bookmarkStart w:id="310" w:name="_Toc22751"/>
      <w:bookmarkStart w:id="311" w:name="_Toc74855994"/>
      <w:bookmarkStart w:id="312" w:name="_Toc5808"/>
      <w:r>
        <w:rPr>
          <w:rFonts w:eastAsia="仿宋_GB2312"/>
          <w:sz w:val="28"/>
          <w:szCs w:val="28"/>
        </w:rPr>
        <w:t>4.</w:t>
      </w:r>
      <w:r>
        <w:rPr>
          <w:rFonts w:hint="eastAsia" w:eastAsia="仿宋_GB2312"/>
          <w:sz w:val="28"/>
          <w:szCs w:val="28"/>
        </w:rPr>
        <w:t>3</w:t>
      </w:r>
      <w:r>
        <w:rPr>
          <w:rFonts w:eastAsia="仿宋_GB2312"/>
          <w:sz w:val="28"/>
          <w:szCs w:val="28"/>
        </w:rPr>
        <w:t>应急指挥</w:t>
      </w:r>
      <w:r>
        <w:rPr>
          <w:rFonts w:hint="eastAsia" w:eastAsia="仿宋_GB2312"/>
          <w:sz w:val="28"/>
          <w:szCs w:val="28"/>
        </w:rPr>
        <w:t>权的</w:t>
      </w:r>
      <w:r>
        <w:rPr>
          <w:rFonts w:eastAsia="仿宋_GB2312"/>
          <w:sz w:val="28"/>
          <w:szCs w:val="28"/>
        </w:rPr>
        <w:t>调整</w:t>
      </w:r>
      <w:r>
        <w:rPr>
          <w:rFonts w:hint="eastAsia" w:eastAsia="仿宋_GB2312"/>
          <w:sz w:val="28"/>
          <w:szCs w:val="28"/>
        </w:rPr>
        <w:t>与联动</w:t>
      </w:r>
      <w:bookmarkEnd w:id="310"/>
      <w:bookmarkEnd w:id="311"/>
    </w:p>
    <w:p>
      <w:pPr>
        <w:pStyle w:val="7"/>
        <w:rPr>
          <w:rFonts w:eastAsia="仿宋_GB2312"/>
          <w:szCs w:val="28"/>
        </w:rPr>
      </w:pPr>
      <w:bookmarkStart w:id="313" w:name="_Toc74855995"/>
      <w:r>
        <w:rPr>
          <w:rFonts w:eastAsia="仿宋_GB2312"/>
          <w:szCs w:val="28"/>
        </w:rPr>
        <w:t>4.</w:t>
      </w:r>
      <w:r>
        <w:rPr>
          <w:rFonts w:hint="eastAsia" w:eastAsia="仿宋_GB2312"/>
          <w:szCs w:val="28"/>
        </w:rPr>
        <w:t>3</w:t>
      </w:r>
      <w:r>
        <w:rPr>
          <w:rFonts w:eastAsia="仿宋_GB2312"/>
          <w:szCs w:val="28"/>
        </w:rPr>
        <w:t>.1应急指挥</w:t>
      </w:r>
      <w:r>
        <w:rPr>
          <w:rFonts w:hint="eastAsia" w:eastAsia="仿宋_GB2312"/>
          <w:szCs w:val="28"/>
        </w:rPr>
        <w:t>的内部</w:t>
      </w:r>
      <w:r>
        <w:rPr>
          <w:rFonts w:eastAsia="仿宋_GB2312"/>
          <w:szCs w:val="28"/>
        </w:rPr>
        <w:t>调整</w:t>
      </w:r>
      <w:bookmarkEnd w:id="313"/>
    </w:p>
    <w:p>
      <w:pPr>
        <w:spacing w:after="0" w:line="360" w:lineRule="auto"/>
        <w:ind w:firstLine="480"/>
        <w:rPr>
          <w:rFonts w:eastAsia="仿宋_GB2312"/>
          <w:sz w:val="24"/>
        </w:rPr>
      </w:pPr>
      <w:r>
        <w:rPr>
          <w:rFonts w:hint="eastAsia" w:eastAsia="仿宋_GB2312"/>
          <w:sz w:val="24"/>
        </w:rPr>
        <w:t>（1）当发生公司级的重大环境事件时，以公司应急指挥部的总指挥为主体，负责污染事件应急处置与救援工作的组织和指挥。应急指挥部的其他成员、各负责人、班组的负责人配合应急处置工作。</w:t>
      </w:r>
    </w:p>
    <w:p>
      <w:pPr>
        <w:spacing w:after="0" w:line="360" w:lineRule="auto"/>
        <w:ind w:firstLine="480"/>
        <w:rPr>
          <w:rFonts w:eastAsia="仿宋_GB2312"/>
          <w:sz w:val="24"/>
        </w:rPr>
      </w:pPr>
      <w:r>
        <w:rPr>
          <w:rFonts w:hint="eastAsia" w:eastAsia="仿宋_GB2312"/>
          <w:sz w:val="24"/>
        </w:rPr>
        <w:t>（2）当总指挥不在公司，由</w:t>
      </w:r>
      <w:r>
        <w:rPr>
          <w:rFonts w:eastAsia="仿宋_GB2312"/>
          <w:sz w:val="24"/>
        </w:rPr>
        <w:t>应急指挥办公室</w:t>
      </w:r>
      <w:r>
        <w:rPr>
          <w:rFonts w:hint="eastAsia" w:eastAsia="仿宋_GB2312"/>
          <w:sz w:val="24"/>
        </w:rPr>
        <w:t>主任代替总指挥全权负责应急救援工作。</w:t>
      </w:r>
    </w:p>
    <w:p>
      <w:pPr>
        <w:spacing w:after="0" w:line="360" w:lineRule="auto"/>
        <w:ind w:firstLine="480"/>
        <w:rPr>
          <w:rFonts w:eastAsia="仿宋_GB2312"/>
          <w:sz w:val="24"/>
        </w:rPr>
      </w:pPr>
      <w:r>
        <w:rPr>
          <w:rFonts w:hint="eastAsia" w:eastAsia="仿宋_GB2312"/>
          <w:sz w:val="24"/>
        </w:rPr>
        <w:t>（3）应急行动小组组长因各种原因缺位时，按各组领导职务顺序排列予以替补。公司所有员工接到环境污染救援指令后，必须无条件并迅速赶赴污染现场，接受救援工作安排。</w:t>
      </w:r>
    </w:p>
    <w:p>
      <w:pPr>
        <w:pStyle w:val="7"/>
        <w:rPr>
          <w:rFonts w:eastAsia="仿宋_GB2312"/>
          <w:szCs w:val="28"/>
        </w:rPr>
      </w:pPr>
      <w:bookmarkStart w:id="314" w:name="_Toc74855996"/>
      <w:r>
        <w:rPr>
          <w:rFonts w:eastAsia="仿宋_GB2312"/>
          <w:szCs w:val="28"/>
        </w:rPr>
        <w:t>4.</w:t>
      </w:r>
      <w:r>
        <w:rPr>
          <w:rFonts w:hint="eastAsia" w:eastAsia="仿宋_GB2312"/>
          <w:szCs w:val="28"/>
        </w:rPr>
        <w:t>3</w:t>
      </w:r>
      <w:r>
        <w:rPr>
          <w:rFonts w:eastAsia="仿宋_GB2312"/>
          <w:szCs w:val="28"/>
        </w:rPr>
        <w:t>.</w:t>
      </w:r>
      <w:r>
        <w:rPr>
          <w:rFonts w:hint="eastAsia" w:eastAsia="仿宋_GB2312"/>
          <w:szCs w:val="28"/>
        </w:rPr>
        <w:t>2应急组织机构的联动</w:t>
      </w:r>
      <w:bookmarkEnd w:id="314"/>
    </w:p>
    <w:bookmarkEnd w:id="312"/>
    <w:p>
      <w:pPr>
        <w:pStyle w:val="73"/>
        <w:spacing w:after="0"/>
        <w:ind w:firstLine="480"/>
        <w:rPr>
          <w:sz w:val="24"/>
        </w:rPr>
      </w:pPr>
      <w:r>
        <w:rPr>
          <w:rFonts w:hint="eastAsia"/>
          <w:sz w:val="24"/>
        </w:rPr>
        <w:t>突发环境事件不可能立即完全确定其属性时，使应急救援行动充满变数，如遇特殊情况下，应急救援行动都必须寻求内部与外部力量的救援。因此，加油站与各相关救援单位、政府部门间的联动就显得尤为重要。</w:t>
      </w:r>
    </w:p>
    <w:p>
      <w:pPr>
        <w:pStyle w:val="73"/>
        <w:spacing w:after="0"/>
        <w:ind w:firstLine="480"/>
        <w:rPr>
          <w:sz w:val="24"/>
        </w:rPr>
      </w:pPr>
      <w:bookmarkStart w:id="315" w:name="_Toc72068697"/>
      <w:r>
        <w:rPr>
          <w:rFonts w:hint="eastAsia"/>
          <w:sz w:val="24"/>
        </w:rPr>
        <w:t>1、应急组织机构的联动</w:t>
      </w:r>
      <w:bookmarkEnd w:id="315"/>
    </w:p>
    <w:p>
      <w:pPr>
        <w:pStyle w:val="73"/>
        <w:spacing w:after="0"/>
        <w:ind w:firstLine="480"/>
        <w:rPr>
          <w:sz w:val="24"/>
        </w:rPr>
      </w:pPr>
      <w:r>
        <w:rPr>
          <w:rFonts w:hint="eastAsia"/>
          <w:sz w:val="24"/>
        </w:rPr>
        <w:t>（1）企业一旦发生社会级（I级重大环境污染事件），应急组织部的总指挥应及时与西畴县政府、文山州生态环境局西畴分局以及相关的职能管理部门的应急指挥机构联系，及时将环境事件发生情况及最新进展向有关部门汇报，并将上级指挥机构的命令及时向企业应急救援办公室传达。</w:t>
      </w:r>
    </w:p>
    <w:p>
      <w:pPr>
        <w:pStyle w:val="73"/>
        <w:spacing w:after="0"/>
        <w:ind w:firstLine="480"/>
        <w:rPr>
          <w:sz w:val="24"/>
        </w:rPr>
      </w:pPr>
      <w:r>
        <w:rPr>
          <w:rFonts w:hint="eastAsia"/>
          <w:sz w:val="24"/>
        </w:rPr>
        <w:t>若政府及其有关部门介入后，事故应急救援的总指挥应为政府及其相关部门人员，企业总指挥及各应急救援小组组长应听从政府及其相关部门人员的统一指挥，企业应急总指挥应积极配合政府及其相关部门人员的工作，积极调动各应急救援小组进行现场处置及救援工作。企业配合有关部门应急指挥权移交，企业内部各应急小组职能不变，应急指挥部的成员、各负责人、班组的负责人配合应急处置工作，统一服从总指挥。</w:t>
      </w:r>
    </w:p>
    <w:p>
      <w:pPr>
        <w:pStyle w:val="73"/>
        <w:spacing w:after="0"/>
        <w:ind w:firstLine="482"/>
        <w:rPr>
          <w:sz w:val="24"/>
        </w:rPr>
      </w:pPr>
      <w:r>
        <w:rPr>
          <w:rFonts w:hint="eastAsia"/>
          <w:sz w:val="24"/>
        </w:rPr>
        <w:t>企业可联系西畴县公安消防大队、西畴县人民医院、西畴县环境监测站、西畴县公安局等相关职能部门，当西畴县公安消防大队等相关职能部门到达现场后，企业各救援小组应听从西畴县公安消防大队、西畴县人民医院、西畴县环境监测站、西畴县公安局等相关职能部门的统一部署，积极配合完成救援工作。</w:t>
      </w:r>
    </w:p>
    <w:p>
      <w:pPr>
        <w:pStyle w:val="73"/>
        <w:spacing w:after="0"/>
        <w:ind w:firstLine="482"/>
        <w:rPr>
          <w:sz w:val="24"/>
        </w:rPr>
      </w:pPr>
      <w:r>
        <w:rPr>
          <w:rFonts w:hint="eastAsia"/>
          <w:sz w:val="24"/>
        </w:rPr>
        <w:t>（2）</w:t>
      </w:r>
      <w:r>
        <w:rPr>
          <w:rFonts w:hint="eastAsia"/>
          <w:sz w:val="24"/>
          <w:szCs w:val="24"/>
        </w:rPr>
        <w:t>当发生站级（Ⅱ级较大环境污染事件）和岗位级（Ⅲ级一般环境污染事件）</w:t>
      </w:r>
      <w:r>
        <w:rPr>
          <w:rFonts w:hint="eastAsia"/>
          <w:sz w:val="24"/>
        </w:rPr>
        <w:t>，若企业内部救援力量能处置，事故当事人应立即向应急指挥部上报，应急总指挥立即启动应急救援，组织各应急救援小组展开现场救援，各应急救援小组组长听从总指挥的统一指挥。若企业内部救援力量不能满足救援需求时，需借助外部救援力量，企业可联系西畴县公安消防大队、西畴县人民医院、西畴县环境监测站、西畴县公安局等相关职能部门，当西畴县公安消防大队、西畴县人民医院、西畴县环境监测站、西畴县公安局等相关职能部门到达现场后，企业各救援小组应听从消防大队、医院、环境监测站、公安局等相关职能部门的统一部署，积极配合完成救援工作。</w:t>
      </w:r>
    </w:p>
    <w:p>
      <w:pPr>
        <w:pStyle w:val="73"/>
        <w:ind w:firstLine="480"/>
        <w:rPr>
          <w:rFonts w:hint="eastAsia"/>
          <w:sz w:val="24"/>
        </w:rPr>
      </w:pPr>
      <w:bookmarkStart w:id="316" w:name="_Toc72068698"/>
      <w:r>
        <w:rPr>
          <w:rFonts w:hint="eastAsia"/>
          <w:sz w:val="24"/>
        </w:rPr>
        <w:t>2、应急联动机制图</w:t>
      </w:r>
      <w:bookmarkEnd w:id="316"/>
    </w:p>
    <w:p>
      <w:pPr>
        <w:rPr>
          <w:rFonts w:hint="eastAsia"/>
          <w:sz w:val="24"/>
        </w:rPr>
      </w:pPr>
    </w:p>
    <w:p>
      <w:pPr>
        <w:pStyle w:val="2"/>
        <w:rPr>
          <w:rFonts w:hint="eastAsia"/>
          <w:sz w:val="24"/>
        </w:rPr>
      </w:pPr>
    </w:p>
    <w:p>
      <w:pPr>
        <w:pStyle w:val="2"/>
        <w:rPr>
          <w:rFonts w:hint="eastAsia"/>
          <w:sz w:val="24"/>
        </w:rPr>
      </w:pPr>
    </w:p>
    <w:p>
      <w:pPr>
        <w:pStyle w:val="2"/>
        <w:rPr>
          <w:rFonts w:hint="eastAsia"/>
          <w:sz w:val="24"/>
        </w:rPr>
      </w:pPr>
    </w:p>
    <w:p>
      <w:pPr>
        <w:rPr>
          <w:rFonts w:hint="eastAsia"/>
          <w:sz w:val="24"/>
        </w:rPr>
      </w:pPr>
    </w:p>
    <w:p>
      <w:pPr>
        <w:pStyle w:val="2"/>
        <w:rPr>
          <w:rFonts w:hint="eastAsia"/>
          <w:sz w:val="24"/>
        </w:rPr>
      </w:pPr>
    </w:p>
    <w:p>
      <w:pPr>
        <w:pStyle w:val="2"/>
        <w:rPr>
          <w:rFonts w:hint="eastAsia"/>
          <w:sz w:val="24"/>
        </w:rPr>
      </w:pPr>
      <w:r>
        <w:rPr>
          <w:sz w:val="24"/>
        </w:rPr>
        <w:pict>
          <v:group id="_x0000_s2169" o:spid="_x0000_s2169" o:spt="203" style="height:134.35pt;width:398.25pt;" coordorigin="2085,2625" coordsize="7965,2687" editas="canvas">
            <o:lock v:ext="edit"/>
            <v:shape id="_x0000_s2170" o:spid="_x0000_s2170" o:spt="75" type="#_x0000_t75" style="position:absolute;left:2085;top:2625;height:2687;width:7965;" filled="f" stroked="f" coordsize="21600,21600">
              <v:path/>
              <v:fill on="f" focussize="0,0"/>
              <v:stroke on="f"/>
              <v:imagedata o:title=""/>
              <o:lock v:ext="edit" rotation="t" text="t" aspectratio="t"/>
            </v:shape>
            <v:shape id="_x0000_s2171" o:spid="_x0000_s2171" o:spt="202" type="#_x0000_t202" style="position:absolute;left:7154;top:3750;height:540;width:765;" fillcolor="#FFFFFF" filled="t" stroked="f" coordsize="21600,21600">
              <v:path/>
              <v:fill on="t" color2="#FFFFFF" focussize="0,0"/>
              <v:stroke on="f"/>
              <v:imagedata o:title=""/>
              <o:lock v:ext="edit" aspectratio="f"/>
              <v:textbox>
                <w:txbxContent>
                  <w:p>
                    <w:pPr>
                      <w:spacing w:line="240" w:lineRule="auto"/>
                      <w:ind w:firstLine="0" w:firstLineChars="0"/>
                      <w:rPr>
                        <w:rFonts w:ascii="楷体_GB2312" w:eastAsia="楷体_GB2312"/>
                        <w:sz w:val="21"/>
                        <w:szCs w:val="21"/>
                      </w:rPr>
                    </w:pPr>
                    <w:r>
                      <w:rPr>
                        <w:rFonts w:hint="eastAsia" w:ascii="楷体_GB2312" w:eastAsia="楷体_GB2312"/>
                        <w:sz w:val="21"/>
                        <w:szCs w:val="21"/>
                      </w:rPr>
                      <w:t>上报</w:t>
                    </w:r>
                  </w:p>
                </w:txbxContent>
              </v:textbox>
            </v:shape>
            <v:shape id="_x0000_s2172" o:spid="_x0000_s2172" o:spt="202" type="#_x0000_t202" style="position:absolute;left:7149;top:2625;height:540;width:765;" fillcolor="#FFFFFF" filled="t" stroked="f" coordsize="21600,21600">
              <v:path/>
              <v:fill on="t" color2="#FFFFFF" focussize="0,0"/>
              <v:stroke on="f"/>
              <v:imagedata o:title=""/>
              <o:lock v:ext="edit" aspectratio="f"/>
              <v:textbox>
                <w:txbxContent>
                  <w:p>
                    <w:pPr>
                      <w:spacing w:line="240" w:lineRule="auto"/>
                      <w:ind w:firstLine="0" w:firstLineChars="0"/>
                      <w:rPr>
                        <w:rFonts w:ascii="楷体_GB2312" w:eastAsia="楷体_GB2312"/>
                        <w:sz w:val="21"/>
                        <w:szCs w:val="21"/>
                      </w:rPr>
                    </w:pPr>
                    <w:r>
                      <w:rPr>
                        <w:rFonts w:hint="eastAsia" w:ascii="楷体_GB2312" w:eastAsia="楷体_GB2312"/>
                        <w:sz w:val="21"/>
                        <w:szCs w:val="21"/>
                      </w:rPr>
                      <w:t>上报</w:t>
                    </w:r>
                  </w:p>
                </w:txbxContent>
              </v:textbox>
            </v:shape>
            <v:rect id="_x0000_s2173" o:spid="_x0000_s2173" o:spt="1" style="position:absolute;left:2085;top:3375;height:420;width:2039;" fillcolor="#FFFFFF" filled="t" stroked="t" coordsize="21600,21600">
              <v:path/>
              <v:fill on="t" color2="#FFFFFF" focussize="0,0"/>
              <v:stroke weight="1pt" color="#000000" joinstyle="miter"/>
              <v:imagedata o:title=""/>
              <o:lock v:ext="edit" aspectratio="f"/>
              <v:textbox>
                <w:txbxContent>
                  <w:p>
                    <w:pPr>
                      <w:spacing w:line="240" w:lineRule="auto"/>
                      <w:ind w:firstLine="0" w:firstLineChars="0"/>
                      <w:jc w:val="center"/>
                      <w:rPr>
                        <w:rFonts w:hint="eastAsia" w:ascii="楷体_GB2312" w:eastAsia="楷体_GB2312"/>
                        <w:sz w:val="21"/>
                        <w:szCs w:val="21"/>
                      </w:rPr>
                    </w:pPr>
                    <w:r>
                      <w:rPr>
                        <w:rFonts w:hint="eastAsia" w:ascii="楷体_GB2312" w:eastAsia="楷体_GB2312"/>
                        <w:sz w:val="21"/>
                        <w:szCs w:val="21"/>
                      </w:rPr>
                      <w:t>突发环境事件</w:t>
                    </w:r>
                  </w:p>
                </w:txbxContent>
              </v:textbox>
            </v:rect>
            <v:shape id="_x0000_s2174" o:spid="_x0000_s2174" o:spt="34" type="#_x0000_t34" style="position:absolute;left:4110;top:2985;flip:y;height:567;width:945;" filled="f" stroked="t" coordsize="21600,21600" adj="10789">
              <v:path arrowok="t"/>
              <v:fill on="f" focussize="0,0"/>
              <v:stroke weight="1pt" color="#000000" joinstyle="miter" endarrow="block"/>
              <v:imagedata o:title=""/>
              <o:lock v:ext="edit" aspectratio="f"/>
            </v:shape>
            <v:shape id="_x0000_s2175" o:spid="_x0000_s2175" o:spt="34" type="#_x0000_t34" style="position:absolute;left:4140;top:3540;height:567;width:945;" filled="f" stroked="t" coordsize="21600,21600" adj="10102">
              <v:path arrowok="t"/>
              <v:fill on="f" focussize="0,0"/>
              <v:stroke weight="1pt" color="#000000" joinstyle="miter" endarrow="block"/>
              <v:imagedata o:title=""/>
              <o:lock v:ext="edit" aspectratio="f"/>
            </v:shape>
            <v:rect id="_x0000_s2176" o:spid="_x0000_s2176" o:spt="1" style="position:absolute;left:5055;top:2775;height:420;width:2039;" fillcolor="#FFFFFF" filled="t" stroked="t" coordsize="21600,21600">
              <v:path/>
              <v:fill on="t" color2="#FFFFFF" focussize="0,0"/>
              <v:stroke weight="1pt" color="#000000" joinstyle="miter"/>
              <v:imagedata o:title=""/>
              <o:lock v:ext="edit" aspectratio="f"/>
              <v:textbox>
                <w:txbxContent>
                  <w:p>
                    <w:pPr>
                      <w:spacing w:line="240" w:lineRule="auto"/>
                      <w:ind w:firstLine="0" w:firstLineChars="0"/>
                      <w:jc w:val="center"/>
                      <w:rPr>
                        <w:rFonts w:hint="eastAsia" w:ascii="楷体_GB2312" w:eastAsia="楷体_GB2312"/>
                        <w:sz w:val="21"/>
                        <w:szCs w:val="21"/>
                      </w:rPr>
                    </w:pPr>
                    <w:r>
                      <w:rPr>
                        <w:rFonts w:ascii="楷体_GB2312" w:eastAsia="楷体_GB2312"/>
                        <w:sz w:val="21"/>
                        <w:szCs w:val="21"/>
                      </w:rPr>
                      <w:t>Ⅰ级（社会级）</w:t>
                    </w:r>
                  </w:p>
                </w:txbxContent>
              </v:textbox>
            </v:rect>
            <v:rect id="_x0000_s2177" o:spid="_x0000_s2177" o:spt="1" style="position:absolute;left:5085;top:3750;height:724;width:2039;" fillcolor="#FFFFFF" filled="t" stroked="t" coordsize="21600,21600">
              <v:path/>
              <v:fill on="t" color2="#FFFFFF" focussize="0,0"/>
              <v:stroke weight="1pt" color="#000000" joinstyle="miter"/>
              <v:imagedata o:title=""/>
              <o:lock v:ext="edit" aspectratio="f"/>
              <v:textbox>
                <w:txbxContent>
                  <w:p>
                    <w:pPr>
                      <w:spacing w:line="240" w:lineRule="auto"/>
                      <w:ind w:firstLine="0" w:firstLineChars="0"/>
                      <w:jc w:val="center"/>
                      <w:rPr>
                        <w:rFonts w:hint="eastAsia" w:ascii="楷体_GB2312" w:eastAsia="楷体_GB2312"/>
                        <w:sz w:val="21"/>
                        <w:szCs w:val="21"/>
                      </w:rPr>
                    </w:pPr>
                    <w:r>
                      <w:rPr>
                        <w:rFonts w:ascii="楷体_GB2312" w:eastAsia="楷体_GB2312"/>
                        <w:sz w:val="21"/>
                        <w:szCs w:val="21"/>
                      </w:rPr>
                      <w:t>Ⅱ级（</w:t>
                    </w:r>
                    <w:r>
                      <w:rPr>
                        <w:rFonts w:hint="eastAsia" w:ascii="楷体_GB2312" w:eastAsia="楷体_GB2312"/>
                        <w:sz w:val="21"/>
                        <w:szCs w:val="21"/>
                      </w:rPr>
                      <w:t>站</w:t>
                    </w:r>
                    <w:r>
                      <w:rPr>
                        <w:rFonts w:ascii="楷体_GB2312" w:eastAsia="楷体_GB2312"/>
                        <w:sz w:val="21"/>
                        <w:szCs w:val="21"/>
                      </w:rPr>
                      <w:t>级）</w:t>
                    </w:r>
                    <w:r>
                      <w:rPr>
                        <w:rFonts w:hint="eastAsia" w:ascii="楷体_GB2312" w:eastAsia="楷体_GB2312"/>
                        <w:sz w:val="21"/>
                        <w:szCs w:val="21"/>
                      </w:rPr>
                      <w:t>、Ⅲ级（岗位级）</w:t>
                    </w:r>
                  </w:p>
                </w:txbxContent>
              </v:textbox>
            </v:rect>
            <v:shape id="_x0000_s2178" o:spid="_x0000_s2178" o:spt="32" type="#_x0000_t32" style="position:absolute;left:7518;top:2560;height:850;width:1;rotation:-5898240f;" filled="f" stroked="t" coordsize="21600,21600">
              <v:path arrowok="t"/>
              <v:fill on="f" focussize="0,0"/>
              <v:stroke color="#000000" endarrow="block"/>
              <v:imagedata o:title=""/>
              <o:lock v:ext="edit" aspectratio="f"/>
            </v:shape>
            <v:shape id="_x0000_s2179" o:spid="_x0000_s2179" o:spt="32" type="#_x0000_t32" style="position:absolute;left:7548;top:3682;height:850;width:1;rotation:-5898240f;" filled="f" stroked="t" coordsize="21600,21600">
              <v:path arrowok="t"/>
              <v:fill on="f" focussize="0,0"/>
              <v:stroke color="#000000" endarrow="block"/>
              <v:imagedata o:title=""/>
              <o:lock v:ext="edit" aspectratio="f"/>
            </v:shape>
            <v:rect id="_x0000_s2180" o:spid="_x0000_s2180" o:spt="1" style="position:absolute;left:7959;top:2715;height:765;width:2061;" fillcolor="#FFFFFF" filled="t" stroked="t" coordsize="21600,21600">
              <v:path/>
              <v:fill on="t" color2="#FFFFFF" focussize="0,0"/>
              <v:stroke weight="1pt" color="#000000" joinstyle="miter"/>
              <v:imagedata o:title=""/>
              <o:lock v:ext="edit" aspectratio="f"/>
              <v:textbox inset="0mm,0mm,0mm,0mm" style="mso-fit-shape-to-text:t;">
                <w:txbxContent>
                  <w:p>
                    <w:pPr>
                      <w:spacing w:line="240" w:lineRule="auto"/>
                      <w:ind w:firstLine="0" w:firstLineChars="0"/>
                      <w:jc w:val="center"/>
                      <w:rPr>
                        <w:rFonts w:ascii="楷体_GB2312" w:eastAsia="楷体_GB2312"/>
                        <w:sz w:val="21"/>
                        <w:szCs w:val="21"/>
                      </w:rPr>
                    </w:pPr>
                    <w:r>
                      <w:rPr>
                        <w:rFonts w:hint="eastAsia" w:ascii="楷体_GB2312" w:eastAsia="楷体_GB2312"/>
                        <w:sz w:val="21"/>
                        <w:szCs w:val="21"/>
                        <w:lang w:eastAsia="zh-CN"/>
                      </w:rPr>
                      <w:t>文山州生态环境局</w:t>
                    </w:r>
                    <w:r>
                      <w:rPr>
                        <w:rFonts w:hint="eastAsia" w:ascii="楷体_GB2312" w:eastAsia="楷体_GB2312"/>
                        <w:sz w:val="21"/>
                        <w:szCs w:val="21"/>
                        <w:lang w:val="en-US" w:eastAsia="zh-CN"/>
                      </w:rPr>
                      <w:t>西畴</w:t>
                    </w:r>
                    <w:r>
                      <w:rPr>
                        <w:rFonts w:hint="eastAsia" w:ascii="楷体_GB2312" w:eastAsia="楷体_GB2312"/>
                        <w:sz w:val="21"/>
                        <w:szCs w:val="21"/>
                        <w:lang w:eastAsia="zh-CN"/>
                      </w:rPr>
                      <w:t>分局</w:t>
                    </w:r>
                    <w:r>
                      <w:rPr>
                        <w:rFonts w:hint="eastAsia" w:ascii="楷体_GB2312" w:eastAsia="楷体_GB2312"/>
                        <w:sz w:val="21"/>
                        <w:szCs w:val="21"/>
                      </w:rPr>
                      <w:t>、</w:t>
                    </w:r>
                    <w:r>
                      <w:rPr>
                        <w:rFonts w:hint="eastAsia" w:ascii="楷体_GB2312" w:eastAsia="楷体_GB2312"/>
                        <w:sz w:val="21"/>
                        <w:szCs w:val="21"/>
                        <w:lang w:val="en-US" w:eastAsia="zh-CN"/>
                      </w:rPr>
                      <w:t>西畴</w:t>
                    </w:r>
                    <w:r>
                      <w:rPr>
                        <w:rFonts w:hint="eastAsia" w:ascii="楷体_GB2312" w:eastAsia="楷体_GB2312"/>
                        <w:sz w:val="21"/>
                        <w:szCs w:val="21"/>
                        <w:lang w:eastAsia="zh-CN"/>
                      </w:rPr>
                      <w:t>县</w:t>
                    </w:r>
                    <w:r>
                      <w:rPr>
                        <w:rFonts w:hint="eastAsia" w:ascii="楷体_GB2312" w:eastAsia="楷体_GB2312"/>
                        <w:sz w:val="21"/>
                        <w:szCs w:val="21"/>
                      </w:rPr>
                      <w:t>政府</w:t>
                    </w:r>
                  </w:p>
                </w:txbxContent>
              </v:textbox>
            </v:rect>
            <v:rect id="_x0000_s2181" o:spid="_x0000_s2181" o:spt="1" style="position:absolute;left:7981;top:3885;height:420;width:2039;" fillcolor="#FFFFFF" filled="t" stroked="t" coordsize="21600,21600">
              <v:path/>
              <v:fill on="t" color2="#FFFFFF" focussize="0,0"/>
              <v:stroke weight="1pt" color="#000000" joinstyle="miter"/>
              <v:imagedata o:title=""/>
              <o:lock v:ext="edit" aspectratio="f"/>
              <v:textbox>
                <w:txbxContent>
                  <w:p>
                    <w:pPr>
                      <w:spacing w:line="240" w:lineRule="auto"/>
                      <w:ind w:firstLine="0" w:firstLineChars="0"/>
                      <w:jc w:val="center"/>
                      <w:rPr>
                        <w:rFonts w:ascii="楷体_GB2312" w:eastAsia="楷体_GB2312"/>
                        <w:sz w:val="21"/>
                        <w:szCs w:val="21"/>
                      </w:rPr>
                    </w:pPr>
                    <w:r>
                      <w:rPr>
                        <w:rFonts w:hint="eastAsia" w:ascii="楷体_GB2312" w:eastAsia="楷体_GB2312"/>
                        <w:sz w:val="21"/>
                        <w:szCs w:val="21"/>
                      </w:rPr>
                      <w:t>应急救援指挥部</w:t>
                    </w:r>
                  </w:p>
                </w:txbxContent>
              </v:textbox>
            </v:rect>
            <v:shape id="_x0000_s2182" o:spid="_x0000_s2182" o:spt="202" type="#_x0000_t202" style="position:absolute;left:8940;top:4385;height:540;width:765;" fillcolor="#FFFFFF" filled="t" stroked="f" coordsize="21600,21600">
              <v:path/>
              <v:fill on="t" color2="#FFFFFF" focussize="0,0"/>
              <v:stroke on="f"/>
              <v:imagedata o:title=""/>
              <o:lock v:ext="edit" aspectratio="f"/>
              <v:textbox>
                <w:txbxContent>
                  <w:p>
                    <w:pPr>
                      <w:spacing w:line="240" w:lineRule="auto"/>
                      <w:ind w:firstLine="0" w:firstLineChars="0"/>
                      <w:rPr>
                        <w:rFonts w:ascii="楷体_GB2312" w:eastAsia="楷体_GB2312"/>
                        <w:sz w:val="21"/>
                        <w:szCs w:val="21"/>
                      </w:rPr>
                    </w:pPr>
                    <w:r>
                      <w:rPr>
                        <w:rFonts w:hint="eastAsia" w:ascii="楷体_GB2312" w:eastAsia="楷体_GB2312"/>
                        <w:sz w:val="21"/>
                        <w:szCs w:val="21"/>
                      </w:rPr>
                      <w:t>指挥</w:t>
                    </w:r>
                  </w:p>
                </w:txbxContent>
              </v:textbox>
            </v:shape>
            <v:shape id="_x0000_s2183" o:spid="_x0000_s2183" o:spt="32" type="#_x0000_t32" style="position:absolute;left:8928;top:4325;flip:y;height:567;width:1;rotation:11796480f;" filled="f" stroked="t" coordsize="21600,21600">
              <v:path arrowok="t"/>
              <v:fill on="f" focussize="0,0"/>
              <v:stroke color="#000000" endarrow="block"/>
              <v:imagedata o:title=""/>
              <o:lock v:ext="edit" aspectratio="f"/>
            </v:shape>
            <v:rect id="_x0000_s2184" o:spid="_x0000_s2184" o:spt="1" style="position:absolute;left:8011;top:4892;height:420;width:2039;" fillcolor="#FFFFFF" filled="t" stroked="t" coordsize="21600,21600">
              <v:path/>
              <v:fill on="t" color2="#FFFFFF" focussize="0,0"/>
              <v:stroke weight="1pt" color="#000000" joinstyle="miter"/>
              <v:imagedata o:title=""/>
              <o:lock v:ext="edit" aspectratio="f"/>
              <v:textbox>
                <w:txbxContent>
                  <w:p>
                    <w:pPr>
                      <w:spacing w:line="240" w:lineRule="auto"/>
                      <w:ind w:firstLine="0" w:firstLineChars="0"/>
                      <w:jc w:val="center"/>
                      <w:rPr>
                        <w:rFonts w:hint="eastAsia" w:ascii="楷体_GB2312" w:eastAsia="楷体_GB2312"/>
                        <w:sz w:val="21"/>
                        <w:szCs w:val="21"/>
                      </w:rPr>
                    </w:pPr>
                    <w:r>
                      <w:rPr>
                        <w:rFonts w:hint="eastAsia" w:ascii="楷体_GB2312" w:eastAsia="楷体_GB2312"/>
                        <w:sz w:val="21"/>
                        <w:szCs w:val="21"/>
                      </w:rPr>
                      <w:t>启动应急预案</w:t>
                    </w:r>
                  </w:p>
                </w:txbxContent>
              </v:textbox>
            </v:rect>
            <w10:wrap type="none"/>
            <w10:anchorlock/>
          </v:group>
        </w:pict>
      </w:r>
    </w:p>
    <w:p>
      <w:pPr>
        <w:pStyle w:val="73"/>
        <w:rPr>
          <w:sz w:val="24"/>
        </w:rPr>
      </w:pPr>
    </w:p>
    <w:p>
      <w:pPr>
        <w:widowControl w:val="0"/>
        <w:spacing w:line="360" w:lineRule="auto"/>
        <w:jc w:val="center"/>
        <w:rPr>
          <w:sz w:val="24"/>
        </w:rPr>
      </w:pPr>
      <w:r>
        <w:rPr>
          <w:rFonts w:eastAsia="仿宋_GB2312"/>
          <w:b/>
          <w:sz w:val="24"/>
          <w:szCs w:val="24"/>
        </w:rPr>
        <w:t>图</w:t>
      </w:r>
      <w:r>
        <w:rPr>
          <w:rFonts w:hint="eastAsia" w:eastAsia="仿宋_GB2312"/>
          <w:b/>
          <w:sz w:val="24"/>
          <w:szCs w:val="24"/>
        </w:rPr>
        <w:t>4.3.2-1    应急联动机制图</w:t>
      </w:r>
    </w:p>
    <w:p>
      <w:pPr>
        <w:pStyle w:val="73"/>
        <w:ind w:firstLine="480"/>
        <w:rPr>
          <w:sz w:val="24"/>
        </w:rPr>
      </w:pPr>
    </w:p>
    <w:p>
      <w:pPr>
        <w:pStyle w:val="73"/>
        <w:ind w:firstLine="560"/>
        <w:sectPr>
          <w:pgSz w:w="11906" w:h="16838"/>
          <w:pgMar w:top="1440" w:right="1800" w:bottom="1440" w:left="1800" w:header="708" w:footer="708" w:gutter="0"/>
          <w:cols w:space="720" w:num="1"/>
          <w:docGrid w:linePitch="360" w:charSpace="0"/>
        </w:sectPr>
      </w:pPr>
    </w:p>
    <w:bookmarkEnd w:id="235"/>
    <w:bookmarkEnd w:id="236"/>
    <w:p>
      <w:pPr>
        <w:pStyle w:val="5"/>
        <w:rPr>
          <w:rFonts w:eastAsia="仿宋_GB2312"/>
          <w:sz w:val="28"/>
          <w:szCs w:val="28"/>
        </w:rPr>
      </w:pPr>
      <w:bookmarkStart w:id="317" w:name="_Toc24104"/>
      <w:bookmarkStart w:id="318" w:name="_Toc74855997"/>
      <w:bookmarkStart w:id="319" w:name="_Toc2959"/>
      <w:bookmarkStart w:id="320" w:name="_Toc19993"/>
      <w:r>
        <w:rPr>
          <w:rFonts w:eastAsia="仿宋_GB2312"/>
          <w:sz w:val="28"/>
          <w:szCs w:val="28"/>
        </w:rPr>
        <w:t>5</w:t>
      </w:r>
      <w:r>
        <w:rPr>
          <w:rFonts w:hint="eastAsia" w:eastAsia="仿宋_GB2312"/>
          <w:sz w:val="28"/>
          <w:szCs w:val="28"/>
        </w:rPr>
        <w:t>.</w:t>
      </w:r>
      <w:r>
        <w:rPr>
          <w:rFonts w:eastAsia="仿宋_GB2312"/>
          <w:sz w:val="28"/>
          <w:szCs w:val="28"/>
        </w:rPr>
        <w:t>预防和预警</w:t>
      </w:r>
      <w:bookmarkEnd w:id="317"/>
      <w:bookmarkEnd w:id="318"/>
      <w:bookmarkEnd w:id="319"/>
      <w:bookmarkEnd w:id="320"/>
    </w:p>
    <w:p>
      <w:pPr>
        <w:pStyle w:val="6"/>
        <w:rPr>
          <w:rFonts w:eastAsia="仿宋_GB2312"/>
          <w:sz w:val="28"/>
          <w:szCs w:val="28"/>
        </w:rPr>
      </w:pPr>
      <w:bookmarkStart w:id="321" w:name="_Toc74855998"/>
      <w:bookmarkStart w:id="322" w:name="_Toc18287"/>
      <w:bookmarkStart w:id="323" w:name="_Toc9285"/>
      <w:bookmarkStart w:id="324" w:name="_Toc21266"/>
      <w:bookmarkStart w:id="325" w:name="_Toc304992554"/>
      <w:bookmarkStart w:id="326" w:name="_Toc11325"/>
      <w:bookmarkStart w:id="327" w:name="_Toc312767065"/>
      <w:bookmarkStart w:id="328" w:name="_Toc466379477"/>
      <w:bookmarkStart w:id="329" w:name="_Toc9702"/>
      <w:bookmarkStart w:id="330" w:name="_Toc522025660"/>
      <w:r>
        <w:rPr>
          <w:rFonts w:eastAsia="仿宋_GB2312"/>
          <w:sz w:val="28"/>
          <w:szCs w:val="28"/>
        </w:rPr>
        <w:t>5.1环境风险源监控</w:t>
      </w:r>
      <w:bookmarkEnd w:id="321"/>
      <w:bookmarkEnd w:id="322"/>
      <w:bookmarkEnd w:id="323"/>
    </w:p>
    <w:p>
      <w:pPr>
        <w:spacing w:after="0" w:line="360" w:lineRule="auto"/>
        <w:ind w:firstLine="482"/>
        <w:jc w:val="both"/>
        <w:rPr>
          <w:rFonts w:ascii="仿宋" w:hAnsi="仿宋" w:eastAsia="仿宋" w:cs="仿宋"/>
          <w:sz w:val="24"/>
          <w:szCs w:val="24"/>
        </w:rPr>
      </w:pPr>
      <w:r>
        <w:rPr>
          <w:rFonts w:hint="eastAsia" w:ascii="仿宋" w:hAnsi="仿宋" w:eastAsia="仿宋" w:cs="仿宋"/>
          <w:sz w:val="24"/>
          <w:szCs w:val="24"/>
        </w:rPr>
        <w:t>环境风险源分为安全生产事故可能引发突发环境事件的环境安全危险源、排污造成环境污染事故的环境污染源和自然灾害引发的突发环境事件风险源。</w:t>
      </w:r>
    </w:p>
    <w:p>
      <w:pPr>
        <w:spacing w:after="0" w:line="360" w:lineRule="auto"/>
        <w:ind w:firstLine="482"/>
        <w:jc w:val="both"/>
        <w:rPr>
          <w:rFonts w:eastAsia="仿宋_GB2312"/>
          <w:sz w:val="24"/>
          <w:szCs w:val="24"/>
        </w:rPr>
      </w:pPr>
      <w:r>
        <w:rPr>
          <w:rFonts w:hint="eastAsia" w:ascii="仿宋" w:hAnsi="仿宋" w:eastAsia="仿宋" w:cs="仿宋"/>
          <w:sz w:val="24"/>
          <w:szCs w:val="24"/>
        </w:rPr>
        <w:t>针对加油站存在的危险源，加油站采取了相应的安全防范措施，具体详见“3.4 风险事故管理”。对重要设备的运行状况、重点区域安排专人进行巡检，在事故未发生前预先发现隐患或事故发生时及时发现异常情况；另外，通过相关报警系统的设立，能够及时发现事故隐患进行报警，以便第一时间采取相应的紧急措施，避免事故的发生或事态的扩大，避免环境安全事故的发生</w:t>
      </w:r>
      <w:r>
        <w:rPr>
          <w:rFonts w:hint="eastAsia" w:eastAsia="仿宋_GB2312"/>
          <w:sz w:val="24"/>
          <w:szCs w:val="24"/>
        </w:rPr>
        <w:t>。</w:t>
      </w:r>
    </w:p>
    <w:bookmarkEnd w:id="324"/>
    <w:bookmarkEnd w:id="325"/>
    <w:bookmarkEnd w:id="326"/>
    <w:bookmarkEnd w:id="327"/>
    <w:p>
      <w:pPr>
        <w:pStyle w:val="7"/>
        <w:adjustRightInd w:val="0"/>
        <w:snapToGrid w:val="0"/>
        <w:rPr>
          <w:rFonts w:eastAsia="仿宋_GB2312"/>
          <w:szCs w:val="28"/>
        </w:rPr>
      </w:pPr>
      <w:bookmarkStart w:id="331" w:name="_Toc7722"/>
      <w:bookmarkStart w:id="332" w:name="_Toc19032"/>
      <w:bookmarkStart w:id="333" w:name="_Toc74855999"/>
      <w:r>
        <w:rPr>
          <w:rFonts w:eastAsia="仿宋_GB2312"/>
          <w:szCs w:val="28"/>
        </w:rPr>
        <w:t>5.1.1</w:t>
      </w:r>
      <w:bookmarkEnd w:id="331"/>
      <w:r>
        <w:rPr>
          <w:rFonts w:eastAsia="仿宋_GB2312"/>
          <w:szCs w:val="28"/>
        </w:rPr>
        <w:t>监控方法</w:t>
      </w:r>
      <w:bookmarkEnd w:id="332"/>
      <w:bookmarkEnd w:id="333"/>
    </w:p>
    <w:p>
      <w:pPr>
        <w:adjustRightInd/>
        <w:snapToGrid/>
        <w:spacing w:after="0" w:line="360" w:lineRule="auto"/>
        <w:ind w:firstLine="482"/>
        <w:jc w:val="both"/>
        <w:rPr>
          <w:rFonts w:ascii="仿宋" w:hAnsi="仿宋" w:eastAsia="仿宋" w:cs="仿宋"/>
          <w:sz w:val="24"/>
          <w:szCs w:val="24"/>
        </w:rPr>
      </w:pPr>
      <w:r>
        <w:rPr>
          <w:rFonts w:hint="eastAsia" w:ascii="仿宋" w:hAnsi="仿宋" w:eastAsia="仿宋" w:cs="仿宋"/>
          <w:sz w:val="24"/>
          <w:szCs w:val="24"/>
        </w:rPr>
        <w:t>加油站组织进行了危险源辨识、环境风险评价，以及环境因素的识别、评价，按环境风险源的风险程度，以及对环境的影响程度，由厂区、各环节操作人员分层次进行监控。并为防范事件的发生，加油站范围内应建立必要的安全、环境巡回检查制度，并制定环境风险隐患排查制度，确保出现异常情况及时发现，内容包括：</w:t>
      </w:r>
    </w:p>
    <w:p>
      <w:pPr>
        <w:spacing w:after="0" w:line="360" w:lineRule="auto"/>
        <w:ind w:firstLine="482"/>
        <w:jc w:val="both"/>
        <w:rPr>
          <w:rFonts w:ascii="仿宋" w:hAnsi="仿宋" w:eastAsia="仿宋" w:cs="仿宋"/>
          <w:sz w:val="24"/>
          <w:szCs w:val="24"/>
        </w:rPr>
      </w:pPr>
      <w:r>
        <w:rPr>
          <w:rFonts w:hint="eastAsia" w:ascii="仿宋" w:hAnsi="仿宋" w:eastAsia="仿宋" w:cs="仿宋"/>
          <w:sz w:val="24"/>
          <w:szCs w:val="24"/>
        </w:rPr>
        <w:t>（1）落实环境保护设施的管理与操作人员的培训，并确保设施正常运行。</w:t>
      </w:r>
    </w:p>
    <w:p>
      <w:pPr>
        <w:spacing w:after="0" w:line="360" w:lineRule="auto"/>
        <w:ind w:firstLine="482"/>
        <w:jc w:val="both"/>
        <w:rPr>
          <w:rFonts w:ascii="仿宋" w:hAnsi="仿宋" w:eastAsia="仿宋" w:cs="仿宋"/>
          <w:sz w:val="24"/>
          <w:szCs w:val="24"/>
        </w:rPr>
      </w:pPr>
      <w:r>
        <w:rPr>
          <w:rFonts w:hint="eastAsia" w:ascii="仿宋" w:hAnsi="仿宋" w:eastAsia="仿宋" w:cs="仿宋"/>
          <w:sz w:val="24"/>
          <w:szCs w:val="24"/>
        </w:rPr>
        <w:t>（2）做好日常环保检查工作，要求有检查记录。操作人员做好环境指标日常运行记录台帐及报表。</w:t>
      </w:r>
    </w:p>
    <w:p>
      <w:pPr>
        <w:spacing w:after="0" w:line="360" w:lineRule="auto"/>
        <w:ind w:firstLine="482"/>
        <w:jc w:val="both"/>
        <w:rPr>
          <w:rFonts w:ascii="仿宋" w:hAnsi="仿宋" w:eastAsia="仿宋" w:cs="仿宋"/>
          <w:sz w:val="24"/>
          <w:szCs w:val="24"/>
        </w:rPr>
      </w:pPr>
      <w:r>
        <w:rPr>
          <w:rFonts w:hint="eastAsia" w:ascii="仿宋" w:hAnsi="仿宋" w:eastAsia="仿宋" w:cs="仿宋"/>
          <w:sz w:val="24"/>
          <w:szCs w:val="24"/>
        </w:rPr>
        <w:t>（3）对储油、加油设备及时维修与保养，并做好维修与保养记录。</w:t>
      </w:r>
    </w:p>
    <w:p>
      <w:pPr>
        <w:spacing w:after="0" w:line="360" w:lineRule="auto"/>
        <w:ind w:firstLine="482"/>
        <w:jc w:val="both"/>
        <w:rPr>
          <w:rFonts w:ascii="仿宋" w:hAnsi="仿宋" w:eastAsia="仿宋" w:cs="仿宋"/>
          <w:sz w:val="24"/>
          <w:szCs w:val="24"/>
        </w:rPr>
      </w:pPr>
      <w:r>
        <w:rPr>
          <w:rFonts w:hint="eastAsia" w:ascii="仿宋" w:hAnsi="仿宋" w:eastAsia="仿宋" w:cs="仿宋"/>
          <w:sz w:val="24"/>
          <w:szCs w:val="24"/>
        </w:rPr>
        <w:t>（4）储罐设置液位监测仪及泄漏报警器，随时观察储罐液位，发现异常及时汇报并检修。</w:t>
      </w:r>
    </w:p>
    <w:p>
      <w:pPr>
        <w:spacing w:after="0" w:line="360" w:lineRule="auto"/>
        <w:ind w:firstLine="482"/>
        <w:jc w:val="both"/>
        <w:rPr>
          <w:rFonts w:ascii="仿宋" w:hAnsi="仿宋" w:eastAsia="仿宋" w:cs="仿宋"/>
          <w:sz w:val="24"/>
          <w:szCs w:val="24"/>
        </w:rPr>
      </w:pPr>
      <w:r>
        <w:rPr>
          <w:rFonts w:hint="eastAsia" w:ascii="仿宋" w:hAnsi="仿宋" w:eastAsia="仿宋" w:cs="仿宋"/>
          <w:sz w:val="24"/>
          <w:szCs w:val="24"/>
        </w:rPr>
        <w:t>（5）严格按照规范要求进行危险废物的暂存、转运与处置，确保危险废物交由有资质的处置单位。</w:t>
      </w:r>
    </w:p>
    <w:p>
      <w:pPr>
        <w:spacing w:after="0" w:line="360" w:lineRule="auto"/>
        <w:ind w:firstLine="482"/>
        <w:jc w:val="both"/>
        <w:rPr>
          <w:rFonts w:ascii="仿宋" w:hAnsi="仿宋" w:eastAsia="仿宋" w:cs="仿宋"/>
          <w:sz w:val="24"/>
          <w:szCs w:val="24"/>
        </w:rPr>
      </w:pPr>
      <w:r>
        <w:rPr>
          <w:rFonts w:hint="eastAsia" w:ascii="仿宋" w:hAnsi="仿宋" w:eastAsia="仿宋" w:cs="仿宋"/>
          <w:sz w:val="24"/>
          <w:szCs w:val="24"/>
        </w:rPr>
        <w:t>（6）建立健全安全管理制度。</w:t>
      </w:r>
    </w:p>
    <w:p>
      <w:pPr>
        <w:pStyle w:val="7"/>
        <w:adjustRightInd w:val="0"/>
        <w:snapToGrid w:val="0"/>
        <w:rPr>
          <w:rFonts w:eastAsia="仿宋_GB2312"/>
          <w:szCs w:val="28"/>
        </w:rPr>
      </w:pPr>
      <w:bookmarkStart w:id="334" w:name="_Toc5710"/>
      <w:bookmarkStart w:id="335" w:name="_Toc4690"/>
      <w:bookmarkStart w:id="336" w:name="_Toc74856000"/>
      <w:r>
        <w:rPr>
          <w:rFonts w:eastAsia="仿宋_GB2312"/>
          <w:szCs w:val="28"/>
        </w:rPr>
        <w:t>5.1.2</w:t>
      </w:r>
      <w:bookmarkEnd w:id="334"/>
      <w:r>
        <w:rPr>
          <w:rFonts w:eastAsia="仿宋_GB2312"/>
          <w:szCs w:val="28"/>
        </w:rPr>
        <w:t>防范措施</w:t>
      </w:r>
      <w:bookmarkEnd w:id="335"/>
      <w:bookmarkEnd w:id="336"/>
    </w:p>
    <w:p>
      <w:pPr>
        <w:spacing w:line="360" w:lineRule="auto"/>
        <w:ind w:firstLine="482"/>
      </w:pPr>
      <w:r>
        <w:rPr>
          <w:rFonts w:hint="eastAsia" w:eastAsia="仿宋_GB2312"/>
          <w:b/>
          <w:sz w:val="24"/>
          <w:szCs w:val="24"/>
        </w:rPr>
        <w:t>1 、加油站内风险防范措施</w:t>
      </w:r>
    </w:p>
    <w:p>
      <w:pPr>
        <w:spacing w:after="0" w:line="360" w:lineRule="auto"/>
        <w:ind w:firstLine="480"/>
        <w:rPr>
          <w:rFonts w:eastAsia="仿宋_GB2312"/>
          <w:sz w:val="24"/>
          <w:szCs w:val="24"/>
        </w:rPr>
      </w:pPr>
      <w:r>
        <w:rPr>
          <w:rFonts w:hint="eastAsia" w:eastAsia="仿宋_GB2312"/>
          <w:sz w:val="24"/>
          <w:szCs w:val="24"/>
        </w:rPr>
        <w:t>（1）加油站储罐区、加油区已设置醒目的安全标志、禁令、警语和告示牌，杜绝明火火源。加油站应加强设备（输油管道、静电接地报警器）的维修、保养，杜绝由于设备劳损、折旧带来的事故隐患。定期检测储罐的液位、温度。</w:t>
      </w:r>
    </w:p>
    <w:p>
      <w:pPr>
        <w:spacing w:after="0" w:line="360" w:lineRule="auto"/>
        <w:ind w:firstLine="480"/>
        <w:rPr>
          <w:rFonts w:eastAsia="仿宋_GB2312"/>
          <w:sz w:val="24"/>
          <w:szCs w:val="24"/>
        </w:rPr>
      </w:pPr>
      <w:r>
        <w:rPr>
          <w:rFonts w:hint="eastAsia" w:eastAsia="仿宋_GB2312"/>
          <w:sz w:val="24"/>
          <w:szCs w:val="24"/>
        </w:rPr>
        <w:t>（2）往储油罐卸油时流量不能过大，卸油管深入罐底部不大于0.2m，严禁喷溅卸油。</w:t>
      </w:r>
    </w:p>
    <w:p>
      <w:pPr>
        <w:spacing w:after="0" w:line="360" w:lineRule="auto"/>
        <w:ind w:firstLine="480"/>
        <w:rPr>
          <w:rFonts w:eastAsia="仿宋_GB2312"/>
          <w:sz w:val="24"/>
          <w:szCs w:val="24"/>
        </w:rPr>
      </w:pPr>
      <w:r>
        <w:rPr>
          <w:rFonts w:hint="eastAsia" w:eastAsia="仿宋_GB2312"/>
          <w:sz w:val="24"/>
          <w:szCs w:val="24"/>
        </w:rPr>
        <w:t>（3）不能在加油站内使用非防爆手电筒和手机。</w:t>
      </w:r>
    </w:p>
    <w:p>
      <w:pPr>
        <w:spacing w:after="0" w:line="360" w:lineRule="auto"/>
        <w:ind w:firstLine="480"/>
        <w:rPr>
          <w:rFonts w:eastAsia="仿宋_GB2312"/>
          <w:sz w:val="24"/>
          <w:szCs w:val="24"/>
        </w:rPr>
      </w:pPr>
      <w:r>
        <w:rPr>
          <w:rFonts w:hint="eastAsia" w:eastAsia="仿宋_GB2312"/>
          <w:sz w:val="24"/>
          <w:szCs w:val="24"/>
        </w:rPr>
        <w:t>（4）下雨雷电时，停止输送油品，地埋式储罐防雷接地应符合规定要求。</w:t>
      </w:r>
    </w:p>
    <w:p>
      <w:pPr>
        <w:spacing w:after="0" w:line="360" w:lineRule="auto"/>
        <w:ind w:firstLine="480"/>
        <w:rPr>
          <w:rFonts w:eastAsia="仿宋_GB2312"/>
          <w:sz w:val="24"/>
          <w:szCs w:val="24"/>
        </w:rPr>
      </w:pPr>
      <w:r>
        <w:rPr>
          <w:rFonts w:hint="eastAsia" w:eastAsia="仿宋_GB2312"/>
          <w:sz w:val="24"/>
          <w:szCs w:val="24"/>
        </w:rPr>
        <w:t>（5）卸油、加油作业完毕，操作人员应关闭、拧紧相关阀门，防止油蒸汽泄漏；</w:t>
      </w:r>
    </w:p>
    <w:p>
      <w:pPr>
        <w:spacing w:after="0" w:line="360" w:lineRule="auto"/>
        <w:ind w:firstLine="480"/>
        <w:rPr>
          <w:rFonts w:eastAsia="仿宋_GB2312"/>
          <w:sz w:val="24"/>
          <w:szCs w:val="24"/>
        </w:rPr>
      </w:pPr>
      <w:r>
        <w:rPr>
          <w:rFonts w:hint="eastAsia" w:eastAsia="仿宋_GB2312"/>
          <w:sz w:val="24"/>
          <w:szCs w:val="24"/>
        </w:rPr>
        <w:t>（6）加油站内设有手提式干粉灭火器、灭火毯、推车式干粉灭火器个、消防沙箱、消防铲，以便及时应对火灾、爆炸事故的发生；</w:t>
      </w:r>
    </w:p>
    <w:p>
      <w:pPr>
        <w:spacing w:after="0" w:line="360" w:lineRule="auto"/>
        <w:ind w:firstLine="480"/>
        <w:rPr>
          <w:rFonts w:eastAsia="仿宋_GB2312"/>
          <w:sz w:val="24"/>
          <w:szCs w:val="24"/>
        </w:rPr>
      </w:pPr>
      <w:r>
        <w:rPr>
          <w:rFonts w:hint="eastAsia" w:eastAsia="仿宋_GB2312"/>
          <w:sz w:val="24"/>
          <w:szCs w:val="24"/>
        </w:rPr>
        <w:t>（7）加油站卸油区设置移动式静电接地报警设备，汽车槽车卸油时，应先接地导除静电，以防范油因静电产生的爆炸事故；</w:t>
      </w:r>
    </w:p>
    <w:p>
      <w:pPr>
        <w:spacing w:after="0" w:line="360" w:lineRule="auto"/>
        <w:ind w:firstLine="480"/>
        <w:rPr>
          <w:rFonts w:eastAsia="仿宋_GB2312"/>
          <w:sz w:val="24"/>
          <w:szCs w:val="24"/>
        </w:rPr>
      </w:pPr>
      <w:bookmarkStart w:id="337" w:name="_Toc72068703"/>
      <w:r>
        <w:rPr>
          <w:rFonts w:hint="eastAsia" w:eastAsia="仿宋_GB2312"/>
          <w:sz w:val="24"/>
          <w:szCs w:val="24"/>
        </w:rPr>
        <w:t>（8）加油站站房内设置防爆开关，能够在事故发生时及时采取控制措施；</w:t>
      </w:r>
      <w:bookmarkEnd w:id="337"/>
    </w:p>
    <w:p>
      <w:pPr>
        <w:spacing w:after="0" w:line="360" w:lineRule="auto"/>
        <w:ind w:firstLine="480"/>
        <w:rPr>
          <w:rFonts w:eastAsia="仿宋_GB2312"/>
          <w:sz w:val="24"/>
          <w:szCs w:val="24"/>
        </w:rPr>
      </w:pPr>
      <w:r>
        <w:rPr>
          <w:rFonts w:hint="eastAsia" w:eastAsia="仿宋_GB2312"/>
          <w:sz w:val="24"/>
          <w:szCs w:val="24"/>
        </w:rPr>
        <w:t>（9）加油站内需设三级油水分离池，能够对废水进行收集；</w:t>
      </w:r>
    </w:p>
    <w:p>
      <w:pPr>
        <w:spacing w:after="0" w:line="360" w:lineRule="auto"/>
        <w:ind w:firstLine="480"/>
        <w:rPr>
          <w:rFonts w:eastAsia="仿宋_GB2312"/>
          <w:sz w:val="24"/>
          <w:szCs w:val="24"/>
        </w:rPr>
      </w:pPr>
      <w:r>
        <w:rPr>
          <w:rFonts w:hint="eastAsia" w:eastAsia="仿宋_GB2312"/>
          <w:sz w:val="24"/>
          <w:szCs w:val="24"/>
        </w:rPr>
        <w:t>（10）清罐选择有资质单位进行清罐，清罐人员应严格按照清罐时的安全操作进行清罐；</w:t>
      </w:r>
    </w:p>
    <w:p>
      <w:pPr>
        <w:spacing w:after="0" w:line="360" w:lineRule="auto"/>
        <w:ind w:firstLine="480"/>
        <w:rPr>
          <w:rFonts w:eastAsia="仿宋_GB2312"/>
          <w:sz w:val="24"/>
          <w:szCs w:val="24"/>
        </w:rPr>
      </w:pPr>
      <w:r>
        <w:rPr>
          <w:rFonts w:hint="eastAsia" w:eastAsia="仿宋_GB2312"/>
          <w:sz w:val="24"/>
          <w:szCs w:val="24"/>
        </w:rPr>
        <w:t>（11）随时通过观测井观察储罐内液位，设液位监测仪及泄漏报警器，出现油品泄漏，及时处理泄漏油品，并检修油罐；</w:t>
      </w:r>
    </w:p>
    <w:p>
      <w:pPr>
        <w:spacing w:after="0" w:line="360" w:lineRule="auto"/>
        <w:ind w:firstLine="480"/>
        <w:rPr>
          <w:rFonts w:eastAsia="仿宋_GB2312"/>
          <w:sz w:val="24"/>
          <w:szCs w:val="24"/>
        </w:rPr>
      </w:pPr>
      <w:bookmarkStart w:id="338" w:name="_Toc72068704"/>
      <w:r>
        <w:rPr>
          <w:rFonts w:hint="eastAsia" w:eastAsia="仿宋_GB2312"/>
          <w:sz w:val="24"/>
          <w:szCs w:val="24"/>
        </w:rPr>
        <w:t>（12）保证沉渣等危险废物交由有资质的单位进行处置，并签订协议；</w:t>
      </w:r>
      <w:bookmarkEnd w:id="338"/>
    </w:p>
    <w:p>
      <w:pPr>
        <w:spacing w:after="0" w:line="360" w:lineRule="auto"/>
        <w:ind w:firstLine="480"/>
        <w:rPr>
          <w:rFonts w:eastAsia="仿宋_GB2312"/>
          <w:sz w:val="24"/>
          <w:szCs w:val="24"/>
        </w:rPr>
      </w:pPr>
      <w:r>
        <w:rPr>
          <w:rFonts w:hint="eastAsia" w:eastAsia="仿宋_GB2312"/>
          <w:sz w:val="24"/>
          <w:szCs w:val="24"/>
        </w:rPr>
        <w:t>（13）储油罐为“单层罐+防渗池”，泄漏油品聚集在单层罐或防渗池内；</w:t>
      </w:r>
    </w:p>
    <w:p>
      <w:pPr>
        <w:spacing w:after="0" w:line="360" w:lineRule="auto"/>
        <w:ind w:firstLine="480"/>
        <w:rPr>
          <w:rFonts w:eastAsia="仿宋_GB2312"/>
          <w:sz w:val="24"/>
          <w:szCs w:val="24"/>
        </w:rPr>
      </w:pPr>
      <w:r>
        <w:rPr>
          <w:rFonts w:hint="eastAsia" w:eastAsia="仿宋_GB2312"/>
          <w:sz w:val="24"/>
          <w:szCs w:val="24"/>
        </w:rPr>
        <w:t>（14）加强对职工的教育培训，增强职工风险意识，提高事故自救能力，制定和强化各种安全管理、安全生产的规程，减少人为风险事故（如误操作）的发生。</w:t>
      </w:r>
    </w:p>
    <w:p>
      <w:pPr>
        <w:spacing w:after="0" w:line="360" w:lineRule="auto"/>
        <w:ind w:firstLine="482"/>
        <w:rPr>
          <w:rFonts w:eastAsia="仿宋_GB2312"/>
          <w:b/>
          <w:sz w:val="24"/>
          <w:szCs w:val="24"/>
        </w:rPr>
      </w:pPr>
      <w:bookmarkStart w:id="339" w:name="_Toc72068705"/>
      <w:r>
        <w:rPr>
          <w:rFonts w:hint="eastAsia" w:eastAsia="仿宋_GB2312"/>
          <w:b/>
          <w:sz w:val="24"/>
          <w:szCs w:val="24"/>
        </w:rPr>
        <w:t>2 、加油车辆风险防范措施</w:t>
      </w:r>
      <w:bookmarkEnd w:id="339"/>
    </w:p>
    <w:p>
      <w:pPr>
        <w:spacing w:after="0" w:line="360" w:lineRule="auto"/>
        <w:ind w:firstLine="480"/>
        <w:rPr>
          <w:rFonts w:eastAsia="仿宋_GB2312"/>
          <w:sz w:val="24"/>
          <w:szCs w:val="24"/>
        </w:rPr>
      </w:pPr>
      <w:r>
        <w:rPr>
          <w:rFonts w:hint="eastAsia" w:eastAsia="仿宋_GB2312"/>
          <w:sz w:val="24"/>
          <w:szCs w:val="24"/>
        </w:rPr>
        <w:t>（1）加油完毕以后，加油人员及车主需检查油箱是否拧紧，避免车辆在行驶过程中由于燃油泄漏发生安全事故；</w:t>
      </w:r>
    </w:p>
    <w:p>
      <w:pPr>
        <w:spacing w:after="0" w:line="360" w:lineRule="auto"/>
        <w:ind w:firstLine="480"/>
        <w:rPr>
          <w:rFonts w:eastAsia="仿宋_GB2312"/>
          <w:sz w:val="24"/>
          <w:szCs w:val="24"/>
        </w:rPr>
      </w:pPr>
      <w:r>
        <w:rPr>
          <w:rFonts w:hint="eastAsia" w:eastAsia="仿宋_GB2312"/>
          <w:sz w:val="24"/>
          <w:szCs w:val="24"/>
        </w:rPr>
        <w:t>（2）进入加油站的汽车要在熄火后方可加油，进入加油站的人员不得在加油区进行抽烟打电话等活动，避免火灾事故的发生，站内设置限速、熄火加油等标识，以加强车辆的管理；</w:t>
      </w:r>
    </w:p>
    <w:p>
      <w:pPr>
        <w:spacing w:after="0" w:line="360" w:lineRule="auto"/>
        <w:ind w:firstLine="480"/>
        <w:rPr>
          <w:rFonts w:eastAsia="仿宋_GB2312"/>
          <w:sz w:val="24"/>
          <w:szCs w:val="24"/>
        </w:rPr>
      </w:pPr>
      <w:r>
        <w:rPr>
          <w:rFonts w:hint="eastAsia" w:eastAsia="仿宋_GB2312"/>
          <w:sz w:val="24"/>
          <w:szCs w:val="24"/>
        </w:rPr>
        <w:t>（3）进出加油站的车辆须遵守交通规则，制止插队、逆行进出加油站，避免因车辆相撞造成影响。</w:t>
      </w:r>
    </w:p>
    <w:bookmarkEnd w:id="328"/>
    <w:bookmarkEnd w:id="329"/>
    <w:bookmarkEnd w:id="330"/>
    <w:p>
      <w:pPr>
        <w:pStyle w:val="6"/>
        <w:rPr>
          <w:rFonts w:eastAsia="仿宋_GB2312"/>
          <w:sz w:val="28"/>
          <w:szCs w:val="28"/>
        </w:rPr>
      </w:pPr>
      <w:bookmarkStart w:id="340" w:name="_Toc15504"/>
      <w:bookmarkStart w:id="341" w:name="_Toc17315"/>
      <w:bookmarkStart w:id="342" w:name="_Toc74856001"/>
      <w:bookmarkStart w:id="343" w:name="_Toc24949"/>
      <w:bookmarkStart w:id="344" w:name="_Toc466379478"/>
      <w:bookmarkStart w:id="345" w:name="_Toc522025661"/>
      <w:bookmarkStart w:id="346" w:name="_Toc7041"/>
      <w:r>
        <w:rPr>
          <w:rFonts w:eastAsia="仿宋_GB2312"/>
          <w:sz w:val="28"/>
          <w:szCs w:val="28"/>
        </w:rPr>
        <w:t>5.2预警分级与准备</w:t>
      </w:r>
      <w:bookmarkEnd w:id="340"/>
      <w:bookmarkEnd w:id="341"/>
      <w:bookmarkEnd w:id="342"/>
      <w:bookmarkEnd w:id="343"/>
    </w:p>
    <w:p>
      <w:pPr>
        <w:pStyle w:val="7"/>
        <w:adjustRightInd w:val="0"/>
        <w:snapToGrid w:val="0"/>
        <w:rPr>
          <w:rFonts w:eastAsia="仿宋_GB2312"/>
          <w:szCs w:val="28"/>
        </w:rPr>
      </w:pPr>
      <w:bookmarkStart w:id="347" w:name="_Toc74856002"/>
      <w:bookmarkStart w:id="348" w:name="_Toc18314"/>
      <w:bookmarkStart w:id="349" w:name="_Toc29510"/>
      <w:r>
        <w:rPr>
          <w:rFonts w:eastAsia="仿宋_GB2312"/>
          <w:szCs w:val="28"/>
        </w:rPr>
        <w:t>5.2.1预警分级</w:t>
      </w:r>
      <w:bookmarkEnd w:id="347"/>
      <w:bookmarkEnd w:id="348"/>
      <w:bookmarkEnd w:id="349"/>
    </w:p>
    <w:p>
      <w:pPr>
        <w:spacing w:after="0" w:line="360" w:lineRule="auto"/>
        <w:ind w:firstLine="480"/>
        <w:rPr>
          <w:rFonts w:ascii="仿宋" w:hAnsi="仿宋" w:eastAsia="仿宋" w:cs="仿宋"/>
          <w:color w:val="000000"/>
          <w:sz w:val="24"/>
          <w:szCs w:val="24"/>
        </w:rPr>
      </w:pPr>
      <w:r>
        <w:rPr>
          <w:rFonts w:hint="eastAsia" w:ascii="仿宋" w:hAnsi="仿宋" w:eastAsia="仿宋" w:cs="仿宋"/>
          <w:sz w:val="24"/>
          <w:szCs w:val="24"/>
        </w:rPr>
        <w:t>加油站根据突发环境事件类型情景和自身应急能力，内部生产工艺与风险控制水平、周边环境风险受体的敏感性以及环境风险物质的存储量，综合评估公司的环境风险等级，将加油站易或可能发生的突发环境事件分为：红色预警（社会级）、橙色预警（站级）和黄色预警（岗位级），</w:t>
      </w:r>
      <w:r>
        <w:rPr>
          <w:rFonts w:hint="eastAsia" w:ascii="仿宋" w:hAnsi="仿宋" w:eastAsia="仿宋" w:cs="仿宋"/>
          <w:color w:val="000000"/>
          <w:sz w:val="24"/>
          <w:szCs w:val="24"/>
        </w:rPr>
        <w:t>具体见表 5.2.1-1。</w:t>
      </w:r>
    </w:p>
    <w:p>
      <w:pPr>
        <w:spacing w:after="0" w:line="360" w:lineRule="auto"/>
        <w:jc w:val="center"/>
        <w:rPr>
          <w:rFonts w:ascii="仿宋" w:hAnsi="仿宋" w:eastAsia="仿宋" w:cs="仿宋"/>
          <w:b/>
          <w:color w:val="000000"/>
          <w:sz w:val="24"/>
          <w:szCs w:val="24"/>
        </w:rPr>
      </w:pPr>
      <w:r>
        <w:rPr>
          <w:rFonts w:hint="eastAsia" w:ascii="仿宋" w:hAnsi="仿宋" w:eastAsia="仿宋" w:cs="仿宋"/>
          <w:b/>
          <w:color w:val="000000"/>
          <w:sz w:val="24"/>
          <w:szCs w:val="24"/>
        </w:rPr>
        <w:t>表 5.2.1-1 预警分级情况一览表</w:t>
      </w:r>
    </w:p>
    <w:tbl>
      <w:tblPr>
        <w:tblStyle w:val="31"/>
        <w:tblW w:w="8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3"/>
        <w:gridCol w:w="3390"/>
        <w:gridCol w:w="893"/>
        <w:gridCol w:w="1085"/>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283" w:type="dxa"/>
            <w:noWrap/>
            <w:vAlign w:val="center"/>
          </w:tcPr>
          <w:p>
            <w:pPr>
              <w:jc w:val="center"/>
              <w:rPr>
                <w:rFonts w:eastAsia="仿宋_GB2312"/>
                <w:b/>
                <w:sz w:val="21"/>
                <w:szCs w:val="21"/>
              </w:rPr>
            </w:pPr>
            <w:r>
              <w:rPr>
                <w:rFonts w:eastAsia="仿宋_GB2312"/>
                <w:b/>
                <w:sz w:val="21"/>
                <w:szCs w:val="21"/>
              </w:rPr>
              <w:t>预警级别</w:t>
            </w:r>
          </w:p>
        </w:tc>
        <w:tc>
          <w:tcPr>
            <w:tcW w:w="3390" w:type="dxa"/>
            <w:noWrap/>
            <w:vAlign w:val="center"/>
          </w:tcPr>
          <w:p>
            <w:pPr>
              <w:pStyle w:val="73"/>
              <w:spacing w:line="240" w:lineRule="auto"/>
              <w:jc w:val="center"/>
              <w:rPr>
                <w:b/>
                <w:sz w:val="21"/>
                <w:szCs w:val="21"/>
              </w:rPr>
            </w:pPr>
            <w:r>
              <w:rPr>
                <w:b/>
                <w:sz w:val="21"/>
                <w:szCs w:val="21"/>
              </w:rPr>
              <w:t>发生事件类型</w:t>
            </w:r>
          </w:p>
        </w:tc>
        <w:tc>
          <w:tcPr>
            <w:tcW w:w="893" w:type="dxa"/>
            <w:noWrap/>
            <w:vAlign w:val="center"/>
          </w:tcPr>
          <w:p>
            <w:pPr>
              <w:pStyle w:val="73"/>
              <w:spacing w:line="240" w:lineRule="auto"/>
              <w:jc w:val="center"/>
              <w:rPr>
                <w:b/>
                <w:sz w:val="21"/>
                <w:szCs w:val="21"/>
              </w:rPr>
            </w:pPr>
            <w:r>
              <w:rPr>
                <w:b/>
                <w:sz w:val="21"/>
                <w:szCs w:val="21"/>
              </w:rPr>
              <w:t>事发点</w:t>
            </w:r>
          </w:p>
        </w:tc>
        <w:tc>
          <w:tcPr>
            <w:tcW w:w="1085" w:type="dxa"/>
            <w:noWrap/>
            <w:vAlign w:val="center"/>
          </w:tcPr>
          <w:p>
            <w:pPr>
              <w:jc w:val="center"/>
              <w:rPr>
                <w:rFonts w:eastAsia="仿宋_GB2312"/>
                <w:b/>
                <w:sz w:val="21"/>
                <w:szCs w:val="21"/>
              </w:rPr>
            </w:pPr>
            <w:r>
              <w:rPr>
                <w:rFonts w:eastAsia="仿宋_GB2312"/>
                <w:b/>
                <w:sz w:val="21"/>
                <w:szCs w:val="21"/>
              </w:rPr>
              <w:t>影响范围</w:t>
            </w:r>
          </w:p>
        </w:tc>
        <w:tc>
          <w:tcPr>
            <w:tcW w:w="1649" w:type="dxa"/>
            <w:noWrap/>
            <w:vAlign w:val="center"/>
          </w:tcPr>
          <w:p>
            <w:pPr>
              <w:pStyle w:val="73"/>
              <w:spacing w:line="240" w:lineRule="auto"/>
              <w:jc w:val="center"/>
              <w:rPr>
                <w:b/>
                <w:sz w:val="21"/>
                <w:szCs w:val="21"/>
              </w:rPr>
            </w:pPr>
            <w:r>
              <w:rPr>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jc w:val="center"/>
        </w:trPr>
        <w:tc>
          <w:tcPr>
            <w:tcW w:w="1283" w:type="dxa"/>
            <w:noWrap/>
            <w:vAlign w:val="center"/>
          </w:tcPr>
          <w:p>
            <w:pPr>
              <w:jc w:val="center"/>
              <w:rPr>
                <w:rFonts w:eastAsia="仿宋_GB2312"/>
                <w:sz w:val="21"/>
                <w:szCs w:val="21"/>
              </w:rPr>
            </w:pPr>
            <w:r>
              <w:rPr>
                <w:rFonts w:hint="eastAsia" w:eastAsia="仿宋_GB2312"/>
                <w:sz w:val="21"/>
                <w:szCs w:val="21"/>
              </w:rPr>
              <w:t>红色预警（社会级）</w:t>
            </w:r>
          </w:p>
        </w:tc>
        <w:tc>
          <w:tcPr>
            <w:tcW w:w="3390" w:type="dxa"/>
            <w:noWrap/>
            <w:vAlign w:val="center"/>
          </w:tcPr>
          <w:p>
            <w:pPr>
              <w:rPr>
                <w:rFonts w:eastAsia="仿宋_GB2312"/>
                <w:sz w:val="21"/>
                <w:szCs w:val="21"/>
              </w:rPr>
            </w:pPr>
            <w:r>
              <w:rPr>
                <w:rFonts w:hint="eastAsia" w:eastAsia="仿宋_GB2312"/>
                <w:sz w:val="21"/>
                <w:szCs w:val="21"/>
              </w:rPr>
              <w:t>加油站发生火灾、爆炸事故，发生人员伤亡、中毒; 事故环境污染影响扩散到厂界外，对周边的环境造成污染，引起群体性影响的，本油站已不可控制。</w:t>
            </w:r>
          </w:p>
        </w:tc>
        <w:tc>
          <w:tcPr>
            <w:tcW w:w="893" w:type="dxa"/>
            <w:noWrap/>
            <w:vAlign w:val="center"/>
          </w:tcPr>
          <w:p>
            <w:pPr>
              <w:jc w:val="center"/>
              <w:rPr>
                <w:rFonts w:eastAsia="仿宋_GB2312"/>
                <w:sz w:val="21"/>
                <w:szCs w:val="21"/>
              </w:rPr>
            </w:pPr>
            <w:r>
              <w:rPr>
                <w:rFonts w:eastAsia="仿宋_GB2312"/>
                <w:sz w:val="21"/>
                <w:szCs w:val="21"/>
              </w:rPr>
              <w:t>储罐区</w:t>
            </w:r>
          </w:p>
          <w:p>
            <w:pPr>
              <w:jc w:val="center"/>
              <w:rPr>
                <w:rFonts w:eastAsia="仿宋_GB2312"/>
                <w:sz w:val="21"/>
                <w:szCs w:val="21"/>
              </w:rPr>
            </w:pPr>
            <w:r>
              <w:rPr>
                <w:rFonts w:eastAsia="仿宋_GB2312"/>
                <w:sz w:val="21"/>
                <w:szCs w:val="21"/>
              </w:rPr>
              <w:t>加油区</w:t>
            </w:r>
          </w:p>
        </w:tc>
        <w:tc>
          <w:tcPr>
            <w:tcW w:w="1085" w:type="dxa"/>
            <w:noWrap/>
            <w:vAlign w:val="center"/>
          </w:tcPr>
          <w:p>
            <w:pPr>
              <w:jc w:val="center"/>
              <w:rPr>
                <w:rFonts w:eastAsia="仿宋_GB2312"/>
                <w:sz w:val="21"/>
                <w:szCs w:val="21"/>
              </w:rPr>
            </w:pPr>
            <w:r>
              <w:rPr>
                <w:rFonts w:eastAsia="仿宋_GB2312"/>
                <w:sz w:val="21"/>
                <w:szCs w:val="21"/>
              </w:rPr>
              <w:t>外环境</w:t>
            </w:r>
          </w:p>
        </w:tc>
        <w:tc>
          <w:tcPr>
            <w:tcW w:w="1649" w:type="dxa"/>
            <w:noWrap/>
            <w:vAlign w:val="center"/>
          </w:tcPr>
          <w:p>
            <w:pPr>
              <w:jc w:val="center"/>
              <w:rPr>
                <w:rFonts w:eastAsia="仿宋_GB2312"/>
                <w:sz w:val="21"/>
                <w:szCs w:val="21"/>
              </w:rPr>
            </w:pPr>
            <w:r>
              <w:rPr>
                <w:rFonts w:eastAsia="仿宋_GB2312"/>
                <w:sz w:val="21"/>
                <w:szCs w:val="21"/>
              </w:rPr>
              <w:t>第一时间上报</w:t>
            </w:r>
            <w:r>
              <w:rPr>
                <w:rFonts w:hint="eastAsia" w:eastAsia="仿宋_GB2312"/>
                <w:sz w:val="21"/>
                <w:szCs w:val="21"/>
              </w:rPr>
              <w:t>文山州生态环境局西畴分局</w:t>
            </w:r>
            <w:r>
              <w:rPr>
                <w:rFonts w:eastAsia="仿宋_GB2312"/>
                <w:sz w:val="21"/>
                <w:szCs w:val="21"/>
              </w:rPr>
              <w:t>及相关单位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jc w:val="center"/>
        </w:trPr>
        <w:tc>
          <w:tcPr>
            <w:tcW w:w="1283" w:type="dxa"/>
            <w:noWrap/>
            <w:vAlign w:val="center"/>
          </w:tcPr>
          <w:p>
            <w:pPr>
              <w:jc w:val="center"/>
              <w:rPr>
                <w:rFonts w:eastAsia="仿宋_GB2312"/>
                <w:sz w:val="21"/>
                <w:szCs w:val="21"/>
              </w:rPr>
            </w:pPr>
            <w:r>
              <w:rPr>
                <w:rFonts w:hint="eastAsia" w:eastAsia="仿宋_GB2312"/>
                <w:sz w:val="21"/>
                <w:szCs w:val="21"/>
              </w:rPr>
              <w:t>橙色预警（站级）</w:t>
            </w:r>
          </w:p>
        </w:tc>
        <w:tc>
          <w:tcPr>
            <w:tcW w:w="3390" w:type="dxa"/>
            <w:noWrap/>
            <w:vAlign w:val="center"/>
          </w:tcPr>
          <w:p>
            <w:pPr>
              <w:rPr>
                <w:rFonts w:eastAsia="仿宋_GB2312"/>
                <w:sz w:val="21"/>
                <w:szCs w:val="21"/>
              </w:rPr>
            </w:pPr>
            <w:r>
              <w:rPr>
                <w:rFonts w:hint="eastAsia" w:eastAsia="仿宋_GB2312"/>
                <w:sz w:val="21"/>
                <w:szCs w:val="21"/>
              </w:rPr>
              <w:t>加油站局部发生火灾未引发爆炸，或者局部发生安全事故引起厂界内的环境影响，影响正常运营，但未扩散到厂界外，经处理后可消除影响的，油站可以控制的。</w:t>
            </w:r>
          </w:p>
        </w:tc>
        <w:tc>
          <w:tcPr>
            <w:tcW w:w="893" w:type="dxa"/>
            <w:noWrap/>
            <w:vAlign w:val="center"/>
          </w:tcPr>
          <w:p>
            <w:pPr>
              <w:jc w:val="center"/>
              <w:rPr>
                <w:rFonts w:eastAsia="仿宋_GB2312"/>
                <w:sz w:val="21"/>
                <w:szCs w:val="21"/>
              </w:rPr>
            </w:pPr>
            <w:r>
              <w:rPr>
                <w:rFonts w:eastAsia="仿宋_GB2312"/>
                <w:sz w:val="21"/>
                <w:szCs w:val="21"/>
              </w:rPr>
              <w:t>储罐区</w:t>
            </w:r>
          </w:p>
          <w:p>
            <w:pPr>
              <w:pStyle w:val="73"/>
              <w:spacing w:line="240" w:lineRule="auto"/>
              <w:jc w:val="center"/>
              <w:rPr>
                <w:sz w:val="21"/>
                <w:szCs w:val="21"/>
              </w:rPr>
            </w:pPr>
            <w:r>
              <w:rPr>
                <w:sz w:val="21"/>
                <w:szCs w:val="21"/>
              </w:rPr>
              <w:t>加油区</w:t>
            </w:r>
          </w:p>
        </w:tc>
        <w:tc>
          <w:tcPr>
            <w:tcW w:w="1085" w:type="dxa"/>
            <w:noWrap/>
            <w:vAlign w:val="center"/>
          </w:tcPr>
          <w:p>
            <w:pPr>
              <w:jc w:val="center"/>
              <w:rPr>
                <w:rFonts w:eastAsia="仿宋_GB2312"/>
                <w:sz w:val="21"/>
                <w:szCs w:val="21"/>
              </w:rPr>
            </w:pPr>
            <w:r>
              <w:rPr>
                <w:rFonts w:eastAsia="仿宋_GB2312"/>
                <w:sz w:val="21"/>
                <w:szCs w:val="21"/>
              </w:rPr>
              <w:t>加油站内</w:t>
            </w:r>
          </w:p>
        </w:tc>
        <w:tc>
          <w:tcPr>
            <w:tcW w:w="1649" w:type="dxa"/>
            <w:noWrap/>
            <w:vAlign w:val="center"/>
          </w:tcPr>
          <w:p>
            <w:pPr>
              <w:jc w:val="center"/>
              <w:rPr>
                <w:rFonts w:eastAsia="仿宋_GB2312"/>
                <w:sz w:val="21"/>
                <w:szCs w:val="21"/>
              </w:rPr>
            </w:pPr>
            <w:r>
              <w:rPr>
                <w:rFonts w:eastAsia="仿宋_GB2312"/>
                <w:sz w:val="21"/>
                <w:szCs w:val="21"/>
              </w:rPr>
              <w:t>事故应急救援结束后</w:t>
            </w:r>
            <w:r>
              <w:rPr>
                <w:rFonts w:hint="eastAsia" w:eastAsia="仿宋_GB2312"/>
                <w:sz w:val="21"/>
                <w:szCs w:val="21"/>
              </w:rPr>
              <w:t>，</w:t>
            </w:r>
            <w:r>
              <w:rPr>
                <w:rFonts w:eastAsia="仿宋_GB2312"/>
                <w:sz w:val="21"/>
                <w:szCs w:val="21"/>
              </w:rPr>
              <w:t>上报</w:t>
            </w:r>
            <w:r>
              <w:rPr>
                <w:rFonts w:hint="eastAsia" w:eastAsia="仿宋_GB2312"/>
                <w:sz w:val="21"/>
                <w:szCs w:val="21"/>
              </w:rPr>
              <w:t>分公司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1283" w:type="dxa"/>
            <w:noWrap/>
            <w:vAlign w:val="center"/>
          </w:tcPr>
          <w:p>
            <w:pPr>
              <w:jc w:val="center"/>
              <w:rPr>
                <w:rFonts w:eastAsia="仿宋_GB2312"/>
                <w:sz w:val="21"/>
                <w:szCs w:val="21"/>
              </w:rPr>
            </w:pPr>
            <w:r>
              <w:rPr>
                <w:rFonts w:hint="eastAsia" w:eastAsia="仿宋_GB2312"/>
                <w:sz w:val="21"/>
                <w:szCs w:val="21"/>
              </w:rPr>
              <w:t>黄色预警（岗位级）</w:t>
            </w:r>
          </w:p>
        </w:tc>
        <w:tc>
          <w:tcPr>
            <w:tcW w:w="3390" w:type="dxa"/>
            <w:noWrap/>
            <w:vAlign w:val="center"/>
          </w:tcPr>
          <w:p>
            <w:pPr>
              <w:rPr>
                <w:rFonts w:eastAsia="仿宋_GB2312"/>
                <w:sz w:val="21"/>
                <w:szCs w:val="21"/>
              </w:rPr>
            </w:pPr>
            <w:r>
              <w:rPr>
                <w:rFonts w:hint="eastAsia" w:eastAsia="仿宋_GB2312"/>
                <w:sz w:val="21"/>
                <w:szCs w:val="21"/>
              </w:rPr>
              <w:t>加油站发环境事件引发事故不影响正常运营，可及时消除的较小的影响环境的事件，在班或者在岗人员可以控制的。</w:t>
            </w:r>
          </w:p>
        </w:tc>
        <w:tc>
          <w:tcPr>
            <w:tcW w:w="893" w:type="dxa"/>
            <w:noWrap/>
            <w:vAlign w:val="center"/>
          </w:tcPr>
          <w:p>
            <w:pPr>
              <w:jc w:val="center"/>
              <w:rPr>
                <w:rFonts w:eastAsia="仿宋_GB2312"/>
                <w:sz w:val="21"/>
                <w:szCs w:val="21"/>
              </w:rPr>
            </w:pPr>
            <w:r>
              <w:rPr>
                <w:rFonts w:eastAsia="仿宋_GB2312"/>
                <w:sz w:val="21"/>
                <w:szCs w:val="21"/>
              </w:rPr>
              <w:t>储罐区</w:t>
            </w:r>
          </w:p>
          <w:p>
            <w:pPr>
              <w:jc w:val="center"/>
              <w:rPr>
                <w:rFonts w:eastAsia="仿宋_GB2312"/>
                <w:sz w:val="21"/>
                <w:szCs w:val="21"/>
              </w:rPr>
            </w:pPr>
            <w:r>
              <w:rPr>
                <w:rFonts w:eastAsia="仿宋_GB2312"/>
                <w:sz w:val="21"/>
                <w:szCs w:val="21"/>
              </w:rPr>
              <w:t>加油区</w:t>
            </w:r>
          </w:p>
        </w:tc>
        <w:tc>
          <w:tcPr>
            <w:tcW w:w="1085" w:type="dxa"/>
            <w:noWrap/>
            <w:vAlign w:val="center"/>
          </w:tcPr>
          <w:p>
            <w:pPr>
              <w:jc w:val="center"/>
              <w:rPr>
                <w:rFonts w:eastAsia="仿宋_GB2312"/>
                <w:sz w:val="21"/>
                <w:szCs w:val="21"/>
              </w:rPr>
            </w:pPr>
            <w:r>
              <w:rPr>
                <w:rFonts w:eastAsia="仿宋_GB2312"/>
                <w:sz w:val="21"/>
                <w:szCs w:val="21"/>
              </w:rPr>
              <w:t>加油站内</w:t>
            </w:r>
          </w:p>
        </w:tc>
        <w:tc>
          <w:tcPr>
            <w:tcW w:w="1649" w:type="dxa"/>
            <w:noWrap/>
            <w:vAlign w:val="center"/>
          </w:tcPr>
          <w:p>
            <w:pPr>
              <w:jc w:val="center"/>
              <w:rPr>
                <w:rFonts w:eastAsia="仿宋_GB2312"/>
                <w:sz w:val="21"/>
                <w:szCs w:val="21"/>
              </w:rPr>
            </w:pPr>
            <w:r>
              <w:rPr>
                <w:rFonts w:eastAsia="仿宋_GB2312"/>
                <w:sz w:val="21"/>
                <w:szCs w:val="21"/>
              </w:rPr>
              <w:t>事故应急救援结束后</w:t>
            </w:r>
            <w:r>
              <w:rPr>
                <w:rFonts w:hint="eastAsia" w:eastAsia="仿宋_GB2312"/>
                <w:sz w:val="21"/>
                <w:szCs w:val="21"/>
              </w:rPr>
              <w:t>，</w:t>
            </w:r>
            <w:r>
              <w:rPr>
                <w:rFonts w:eastAsia="仿宋_GB2312"/>
                <w:sz w:val="21"/>
                <w:szCs w:val="21"/>
              </w:rPr>
              <w:t>上报</w:t>
            </w:r>
            <w:r>
              <w:rPr>
                <w:rFonts w:hint="eastAsia" w:eastAsia="仿宋_GB2312"/>
                <w:sz w:val="21"/>
                <w:szCs w:val="21"/>
              </w:rPr>
              <w:t>应急指挥部</w:t>
            </w:r>
          </w:p>
        </w:tc>
      </w:tr>
    </w:tbl>
    <w:p>
      <w:pPr>
        <w:pStyle w:val="7"/>
        <w:adjustRightInd w:val="0"/>
        <w:snapToGrid w:val="0"/>
        <w:spacing w:beforeLines="50"/>
        <w:rPr>
          <w:rFonts w:eastAsia="仿宋_GB2312"/>
          <w:szCs w:val="28"/>
        </w:rPr>
      </w:pPr>
      <w:bookmarkStart w:id="350" w:name="_Toc74856003"/>
      <w:bookmarkStart w:id="351" w:name="_Toc7094"/>
      <w:bookmarkStart w:id="352" w:name="_Toc25052"/>
      <w:bookmarkStart w:id="353" w:name="_Toc8921"/>
      <w:r>
        <w:rPr>
          <w:rFonts w:eastAsia="仿宋_GB2312"/>
          <w:szCs w:val="28"/>
        </w:rPr>
        <w:t>5.2.2预警准备</w:t>
      </w:r>
      <w:bookmarkEnd w:id="350"/>
      <w:bookmarkEnd w:id="351"/>
      <w:bookmarkEnd w:id="352"/>
      <w:bookmarkEnd w:id="353"/>
    </w:p>
    <w:p>
      <w:pPr>
        <w:spacing w:after="0" w:line="360" w:lineRule="auto"/>
        <w:ind w:firstLine="482"/>
        <w:jc w:val="both"/>
        <w:rPr>
          <w:rFonts w:eastAsia="仿宋_GB2312"/>
          <w:sz w:val="24"/>
          <w:szCs w:val="24"/>
        </w:rPr>
      </w:pPr>
      <w:r>
        <w:rPr>
          <w:rFonts w:eastAsia="仿宋_GB2312"/>
          <w:sz w:val="24"/>
          <w:szCs w:val="24"/>
        </w:rPr>
        <w:t>为保证突发环境事件应急处置的有效实施，应急指挥部及相关部门应做好如下准备。</w:t>
      </w:r>
    </w:p>
    <w:p>
      <w:pPr>
        <w:spacing w:after="0" w:line="360" w:lineRule="auto"/>
        <w:ind w:firstLine="482"/>
        <w:jc w:val="both"/>
        <w:rPr>
          <w:rFonts w:eastAsia="仿宋_GB2312"/>
          <w:sz w:val="24"/>
          <w:szCs w:val="24"/>
        </w:rPr>
      </w:pPr>
      <w:bookmarkStart w:id="354" w:name="_Toc72068709"/>
      <w:r>
        <w:rPr>
          <w:rFonts w:eastAsia="仿宋_GB2312"/>
          <w:sz w:val="24"/>
          <w:szCs w:val="24"/>
        </w:rPr>
        <w:t>（1）对应急部门、人员进行安排，明确各自的应急职责和任务；</w:t>
      </w:r>
      <w:bookmarkEnd w:id="354"/>
    </w:p>
    <w:p>
      <w:pPr>
        <w:spacing w:after="0" w:line="360" w:lineRule="auto"/>
        <w:ind w:firstLine="482"/>
        <w:jc w:val="both"/>
        <w:rPr>
          <w:rFonts w:eastAsia="仿宋_GB2312"/>
          <w:sz w:val="24"/>
          <w:szCs w:val="24"/>
        </w:rPr>
      </w:pPr>
      <w:r>
        <w:rPr>
          <w:rFonts w:eastAsia="仿宋_GB2312"/>
          <w:sz w:val="24"/>
          <w:szCs w:val="24"/>
        </w:rPr>
        <w:t>（2）制定、评审并更新本预案现场处置方案；</w:t>
      </w:r>
    </w:p>
    <w:p>
      <w:pPr>
        <w:spacing w:after="0" w:line="360" w:lineRule="auto"/>
        <w:ind w:firstLine="482"/>
        <w:jc w:val="both"/>
        <w:rPr>
          <w:rFonts w:eastAsia="仿宋_GB2312"/>
          <w:sz w:val="24"/>
          <w:szCs w:val="24"/>
        </w:rPr>
      </w:pPr>
      <w:r>
        <w:rPr>
          <w:rFonts w:eastAsia="仿宋_GB2312"/>
          <w:sz w:val="24"/>
          <w:szCs w:val="24"/>
        </w:rPr>
        <w:t>（3）加强有关人员的应急知识和技能的教育、培训；</w:t>
      </w:r>
    </w:p>
    <w:p>
      <w:pPr>
        <w:spacing w:after="0" w:line="360" w:lineRule="auto"/>
        <w:ind w:firstLine="482"/>
        <w:jc w:val="both"/>
        <w:rPr>
          <w:rFonts w:eastAsia="仿宋_GB2312"/>
          <w:sz w:val="24"/>
          <w:szCs w:val="24"/>
        </w:rPr>
      </w:pPr>
      <w:r>
        <w:rPr>
          <w:rFonts w:eastAsia="仿宋_GB2312"/>
          <w:sz w:val="24"/>
          <w:szCs w:val="24"/>
        </w:rPr>
        <w:t>（4）识别、准备并核对应急所需的设备、设施、物资、包括检测仪等；</w:t>
      </w:r>
    </w:p>
    <w:p>
      <w:pPr>
        <w:spacing w:after="0" w:line="360" w:lineRule="auto"/>
        <w:ind w:firstLine="482"/>
        <w:jc w:val="both"/>
        <w:rPr>
          <w:rFonts w:eastAsia="仿宋_GB2312"/>
          <w:sz w:val="24"/>
          <w:szCs w:val="24"/>
        </w:rPr>
      </w:pPr>
      <w:bookmarkStart w:id="355" w:name="_Toc72068710"/>
      <w:r>
        <w:rPr>
          <w:rFonts w:eastAsia="仿宋_GB2312"/>
          <w:sz w:val="24"/>
          <w:szCs w:val="24"/>
        </w:rPr>
        <w:t>（5）准备应急时使用的通信联络名单等资料；</w:t>
      </w:r>
      <w:bookmarkEnd w:id="355"/>
    </w:p>
    <w:p>
      <w:pPr>
        <w:spacing w:after="0" w:line="360" w:lineRule="auto"/>
        <w:ind w:firstLine="482"/>
        <w:jc w:val="both"/>
        <w:rPr>
          <w:rFonts w:eastAsia="仿宋_GB2312"/>
          <w:sz w:val="24"/>
          <w:szCs w:val="24"/>
        </w:rPr>
      </w:pPr>
      <w:r>
        <w:rPr>
          <w:rFonts w:eastAsia="仿宋_GB2312"/>
          <w:sz w:val="24"/>
          <w:szCs w:val="24"/>
        </w:rPr>
        <w:t>（6）与其他应急组织或部门、人员协作、协调、配合的沟通和交流。</w:t>
      </w:r>
    </w:p>
    <w:p>
      <w:pPr>
        <w:spacing w:after="0" w:line="360" w:lineRule="auto"/>
        <w:ind w:firstLine="482"/>
        <w:jc w:val="both"/>
        <w:rPr>
          <w:rFonts w:eastAsia="仿宋_GB2312"/>
          <w:sz w:val="24"/>
          <w:szCs w:val="24"/>
        </w:rPr>
      </w:pPr>
      <w:r>
        <w:rPr>
          <w:rFonts w:eastAsia="仿宋_GB2312"/>
          <w:sz w:val="24"/>
          <w:szCs w:val="24"/>
        </w:rPr>
        <w:t>根据危险源监控设备和监控人员提供的信息，按照</w:t>
      </w:r>
      <w:r>
        <w:rPr>
          <w:rFonts w:hint="eastAsia" w:eastAsia="仿宋_GB2312"/>
          <w:sz w:val="24"/>
          <w:szCs w:val="24"/>
        </w:rPr>
        <w:t>“</w:t>
      </w:r>
      <w:r>
        <w:rPr>
          <w:rFonts w:eastAsia="仿宋_GB2312"/>
          <w:sz w:val="24"/>
          <w:szCs w:val="24"/>
        </w:rPr>
        <w:t>早发现、早报告、早处置</w:t>
      </w:r>
      <w:r>
        <w:rPr>
          <w:rFonts w:hint="eastAsia" w:eastAsia="仿宋_GB2312"/>
          <w:sz w:val="24"/>
          <w:szCs w:val="24"/>
        </w:rPr>
        <w:t>”</w:t>
      </w:r>
      <w:r>
        <w:rPr>
          <w:rFonts w:eastAsia="仿宋_GB2312"/>
          <w:sz w:val="24"/>
          <w:szCs w:val="24"/>
        </w:rPr>
        <w:t>的原则，有关人员将信息汇总、分析后，报应急指挥部，应急指挥部及时组织有关人员分析事故发生发展态势，研究确定应对方案。</w:t>
      </w:r>
    </w:p>
    <w:p>
      <w:pPr>
        <w:pStyle w:val="6"/>
        <w:adjustRightInd w:val="0"/>
        <w:snapToGrid w:val="0"/>
        <w:rPr>
          <w:rFonts w:eastAsia="仿宋_GB2312"/>
          <w:sz w:val="28"/>
          <w:szCs w:val="28"/>
        </w:rPr>
      </w:pPr>
      <w:bookmarkStart w:id="356" w:name="_Toc74856004"/>
      <w:bookmarkStart w:id="357" w:name="_Toc30100"/>
      <w:bookmarkStart w:id="358" w:name="_Toc32277"/>
      <w:bookmarkStart w:id="359" w:name="_Toc31999"/>
      <w:bookmarkStart w:id="360" w:name="_Toc10662"/>
      <w:r>
        <w:rPr>
          <w:rFonts w:eastAsia="仿宋_GB2312"/>
          <w:sz w:val="28"/>
          <w:szCs w:val="28"/>
        </w:rPr>
        <w:t>5.3预警行动</w:t>
      </w:r>
      <w:bookmarkEnd w:id="356"/>
      <w:bookmarkEnd w:id="357"/>
    </w:p>
    <w:p>
      <w:pPr>
        <w:spacing w:after="0" w:line="360" w:lineRule="auto"/>
        <w:outlineLvl w:val="2"/>
        <w:rPr>
          <w:rFonts w:eastAsia="仿宋_GB2312"/>
          <w:b/>
          <w:bCs/>
          <w:kern w:val="2"/>
          <w:szCs w:val="28"/>
        </w:rPr>
      </w:pPr>
      <w:bookmarkStart w:id="361" w:name="_Toc74856005"/>
      <w:r>
        <w:rPr>
          <w:rFonts w:hint="eastAsia" w:eastAsia="仿宋_GB2312"/>
          <w:b/>
          <w:bCs/>
          <w:kern w:val="2"/>
          <w:szCs w:val="28"/>
        </w:rPr>
        <w:t>5.3.1</w:t>
      </w:r>
      <w:r>
        <w:rPr>
          <w:rFonts w:eastAsia="仿宋_GB2312"/>
          <w:b/>
          <w:bCs/>
          <w:kern w:val="2"/>
          <w:szCs w:val="28"/>
        </w:rPr>
        <w:t>预警</w:t>
      </w:r>
      <w:r>
        <w:rPr>
          <w:rFonts w:hint="eastAsia" w:eastAsia="仿宋_GB2312"/>
          <w:b/>
          <w:bCs/>
          <w:kern w:val="2"/>
          <w:szCs w:val="28"/>
        </w:rPr>
        <w:t>方式</w:t>
      </w:r>
      <w:bookmarkEnd w:id="361"/>
    </w:p>
    <w:p>
      <w:pPr>
        <w:pStyle w:val="73"/>
        <w:spacing w:after="0"/>
        <w:ind w:firstLine="482"/>
        <w:rPr>
          <w:sz w:val="24"/>
          <w:szCs w:val="24"/>
        </w:rPr>
      </w:pPr>
      <w:bookmarkStart w:id="362" w:name="_Toc72068713"/>
      <w:r>
        <w:rPr>
          <w:rFonts w:hint="eastAsia"/>
          <w:sz w:val="24"/>
          <w:szCs w:val="24"/>
        </w:rPr>
        <w:t>1 、红色</w:t>
      </w:r>
      <w:r>
        <w:rPr>
          <w:sz w:val="24"/>
          <w:szCs w:val="24"/>
        </w:rPr>
        <w:t>预警（</w:t>
      </w:r>
      <w:r>
        <w:rPr>
          <w:rFonts w:hint="eastAsia"/>
          <w:sz w:val="24"/>
          <w:szCs w:val="24"/>
        </w:rPr>
        <w:t>社会级</w:t>
      </w:r>
      <w:r>
        <w:rPr>
          <w:sz w:val="24"/>
          <w:szCs w:val="24"/>
        </w:rPr>
        <w:t>）</w:t>
      </w:r>
      <w:bookmarkEnd w:id="362"/>
    </w:p>
    <w:p>
      <w:pPr>
        <w:pStyle w:val="73"/>
        <w:spacing w:after="0"/>
        <w:ind w:firstLine="482"/>
        <w:rPr>
          <w:sz w:val="24"/>
          <w:szCs w:val="24"/>
        </w:rPr>
      </w:pPr>
      <w:r>
        <w:rPr>
          <w:rFonts w:hint="eastAsia"/>
          <w:sz w:val="24"/>
          <w:szCs w:val="24"/>
        </w:rPr>
        <w:t>现场人员在 10 分钟内报告值班人员，值班人员核实情况后立即报告常态下的应急指挥办公室，再上报给总指挥，由总指挥决定是否启动相关预案并成立现场指挥部，依据现场情况决定通知相关机构及上级部门协助应急救援，通报加油站内的员工和加油站附近受影响的保护目标。</w:t>
      </w:r>
    </w:p>
    <w:p>
      <w:pPr>
        <w:pStyle w:val="73"/>
        <w:spacing w:after="0"/>
        <w:ind w:firstLine="482"/>
        <w:rPr>
          <w:sz w:val="24"/>
          <w:szCs w:val="24"/>
        </w:rPr>
      </w:pPr>
      <w:bookmarkStart w:id="363" w:name="_Toc72068714"/>
      <w:r>
        <w:rPr>
          <w:rFonts w:hint="eastAsia"/>
          <w:sz w:val="24"/>
          <w:szCs w:val="24"/>
        </w:rPr>
        <w:t>2 、橙色</w:t>
      </w:r>
      <w:r>
        <w:rPr>
          <w:sz w:val="24"/>
          <w:szCs w:val="24"/>
        </w:rPr>
        <w:t>预警（</w:t>
      </w:r>
      <w:r>
        <w:rPr>
          <w:rFonts w:hint="eastAsia"/>
          <w:sz w:val="24"/>
          <w:szCs w:val="24"/>
        </w:rPr>
        <w:t>站</w:t>
      </w:r>
      <w:r>
        <w:rPr>
          <w:sz w:val="24"/>
          <w:szCs w:val="24"/>
        </w:rPr>
        <w:t>级）</w:t>
      </w:r>
      <w:bookmarkEnd w:id="363"/>
    </w:p>
    <w:p>
      <w:pPr>
        <w:pStyle w:val="73"/>
        <w:spacing w:after="0"/>
        <w:ind w:firstLine="482"/>
        <w:rPr>
          <w:sz w:val="24"/>
          <w:szCs w:val="24"/>
        </w:rPr>
      </w:pPr>
      <w:r>
        <w:rPr>
          <w:rFonts w:hint="eastAsia"/>
          <w:sz w:val="24"/>
          <w:szCs w:val="24"/>
        </w:rPr>
        <w:t>现场人员在 10 分钟内向值班人员报告，值班人员核实情况后报告常态下的应急指挥办公室，再上报给总指挥，由总指挥决定是否启动相关预案并成立现场指挥部启动预案，通知各应急救援小组，不同情况采取相应的应急救援措。</w:t>
      </w:r>
    </w:p>
    <w:p>
      <w:pPr>
        <w:numPr>
          <w:ilvl w:val="0"/>
          <w:numId w:val="6"/>
        </w:numPr>
        <w:spacing w:after="0" w:line="360" w:lineRule="auto"/>
        <w:ind w:firstLine="482"/>
      </w:pPr>
      <w:bookmarkStart w:id="364" w:name="_Toc72068715"/>
      <w:r>
        <w:rPr>
          <w:rFonts w:hint="eastAsia" w:eastAsia="仿宋_GB2312"/>
          <w:sz w:val="24"/>
          <w:szCs w:val="24"/>
        </w:rPr>
        <w:t>黄色</w:t>
      </w:r>
      <w:r>
        <w:rPr>
          <w:rFonts w:eastAsia="仿宋_GB2312"/>
          <w:sz w:val="24"/>
          <w:szCs w:val="24"/>
        </w:rPr>
        <w:t>预警</w:t>
      </w:r>
      <w:r>
        <w:rPr>
          <w:rFonts w:hint="eastAsia" w:eastAsia="仿宋_GB2312"/>
          <w:sz w:val="24"/>
          <w:szCs w:val="24"/>
        </w:rPr>
        <w:t>（岗位级）</w:t>
      </w:r>
      <w:bookmarkEnd w:id="364"/>
    </w:p>
    <w:p>
      <w:pPr>
        <w:pStyle w:val="73"/>
        <w:spacing w:after="0"/>
        <w:ind w:firstLine="482"/>
        <w:rPr>
          <w:sz w:val="24"/>
          <w:szCs w:val="24"/>
        </w:rPr>
      </w:pPr>
      <w:r>
        <w:rPr>
          <w:rFonts w:hint="eastAsia"/>
          <w:sz w:val="24"/>
          <w:szCs w:val="24"/>
        </w:rPr>
        <w:t>现场人员在 10 分钟内向值班人员报告，值班人员核实情况后报告常态下的应急指挥办公室，并组织救援排险</w:t>
      </w:r>
      <w:r>
        <w:rPr>
          <w:rFonts w:hint="eastAsia"/>
          <w:sz w:val="24"/>
          <w:szCs w:val="28"/>
        </w:rPr>
        <w:t>，</w:t>
      </w:r>
      <w:r>
        <w:rPr>
          <w:sz w:val="24"/>
          <w:szCs w:val="28"/>
        </w:rPr>
        <w:t xml:space="preserve"> 各事故应急小组人员按照组长要求，全力配合，服从统一指挥</w:t>
      </w:r>
      <w:r>
        <w:rPr>
          <w:rFonts w:hint="eastAsia"/>
          <w:sz w:val="24"/>
          <w:szCs w:val="24"/>
        </w:rPr>
        <w:t>。若事态扩大，再上报给总指挥，由总指挥决定是否启动相关预案并成立现场指挥部启动预案，采取相应的应急救援措。</w:t>
      </w:r>
    </w:p>
    <w:p>
      <w:pPr>
        <w:spacing w:after="0" w:line="360" w:lineRule="auto"/>
        <w:outlineLvl w:val="2"/>
        <w:rPr>
          <w:rFonts w:eastAsia="仿宋_GB2312"/>
          <w:b/>
          <w:bCs/>
          <w:kern w:val="2"/>
          <w:szCs w:val="28"/>
        </w:rPr>
      </w:pPr>
      <w:bookmarkStart w:id="365" w:name="_Toc74856006"/>
      <w:r>
        <w:rPr>
          <w:rFonts w:hint="eastAsia" w:eastAsia="仿宋_GB2312"/>
          <w:b/>
          <w:bCs/>
          <w:kern w:val="2"/>
          <w:szCs w:val="28"/>
        </w:rPr>
        <w:t>5.3.2预警行动</w:t>
      </w:r>
      <w:bookmarkEnd w:id="365"/>
    </w:p>
    <w:p>
      <w:pPr>
        <w:spacing w:after="0" w:line="360" w:lineRule="auto"/>
        <w:ind w:firstLine="482"/>
        <w:jc w:val="both"/>
        <w:rPr>
          <w:rFonts w:eastAsia="仿宋_GB2312"/>
          <w:sz w:val="24"/>
          <w:szCs w:val="24"/>
        </w:rPr>
      </w:pPr>
      <w:r>
        <w:rPr>
          <w:rFonts w:eastAsia="仿宋_GB2312"/>
          <w:sz w:val="24"/>
          <w:szCs w:val="24"/>
        </w:rPr>
        <w:t>当发生突发环境事件时，应立即预警，突发环境事件应急指挥部根据事态的发展情况和采取措施的效果，进入预警状态后，公司应急指挥部应当对应相应的预警分级采取相应的措施：</w:t>
      </w:r>
    </w:p>
    <w:p>
      <w:pPr>
        <w:spacing w:after="0" w:line="360" w:lineRule="auto"/>
        <w:ind w:firstLine="482"/>
        <w:jc w:val="both"/>
        <w:rPr>
          <w:rFonts w:eastAsia="仿宋_GB2312"/>
          <w:sz w:val="24"/>
          <w:szCs w:val="24"/>
        </w:rPr>
      </w:pPr>
      <w:r>
        <w:rPr>
          <w:rFonts w:eastAsia="仿宋_GB2312"/>
          <w:sz w:val="24"/>
          <w:szCs w:val="24"/>
        </w:rPr>
        <w:fldChar w:fldCharType="begin"/>
      </w:r>
      <w:r>
        <w:rPr>
          <w:rFonts w:eastAsia="仿宋_GB2312"/>
          <w:sz w:val="24"/>
          <w:szCs w:val="24"/>
        </w:rPr>
        <w:instrText xml:space="preserve"> = 1 \* GB2 </w:instrText>
      </w:r>
      <w:r>
        <w:rPr>
          <w:rFonts w:eastAsia="仿宋_GB2312"/>
          <w:sz w:val="24"/>
          <w:szCs w:val="24"/>
        </w:rPr>
        <w:fldChar w:fldCharType="separate"/>
      </w:r>
      <w:r>
        <w:rPr>
          <w:rFonts w:hint="eastAsia" w:ascii="宋体" w:hAnsi="宋体" w:eastAsia="宋体" w:cs="宋体"/>
          <w:sz w:val="24"/>
          <w:szCs w:val="24"/>
        </w:rPr>
        <w:t>⑴</w:t>
      </w:r>
      <w:r>
        <w:rPr>
          <w:rFonts w:eastAsia="仿宋_GB2312"/>
          <w:sz w:val="24"/>
          <w:szCs w:val="24"/>
        </w:rPr>
        <w:fldChar w:fldCharType="end"/>
      </w:r>
      <w:r>
        <w:rPr>
          <w:rFonts w:eastAsia="仿宋_GB2312"/>
          <w:sz w:val="24"/>
          <w:szCs w:val="24"/>
        </w:rPr>
        <w:t>立即启动本应急预案；</w:t>
      </w:r>
    </w:p>
    <w:p>
      <w:pPr>
        <w:spacing w:after="0" w:line="360" w:lineRule="auto"/>
        <w:ind w:firstLine="482"/>
        <w:jc w:val="both"/>
        <w:rPr>
          <w:rFonts w:eastAsia="仿宋_GB2312"/>
          <w:sz w:val="24"/>
          <w:szCs w:val="24"/>
        </w:rPr>
      </w:pPr>
      <w:r>
        <w:rPr>
          <w:rFonts w:eastAsia="仿宋_GB2312"/>
          <w:sz w:val="24"/>
          <w:szCs w:val="24"/>
        </w:rPr>
        <w:fldChar w:fldCharType="begin"/>
      </w:r>
      <w:r>
        <w:rPr>
          <w:rFonts w:eastAsia="仿宋_GB2312"/>
          <w:sz w:val="24"/>
          <w:szCs w:val="24"/>
        </w:rPr>
        <w:instrText xml:space="preserve"> = 2 \* GB2 </w:instrText>
      </w:r>
      <w:r>
        <w:rPr>
          <w:rFonts w:eastAsia="仿宋_GB2312"/>
          <w:sz w:val="24"/>
          <w:szCs w:val="24"/>
        </w:rPr>
        <w:fldChar w:fldCharType="separate"/>
      </w:r>
      <w:r>
        <w:rPr>
          <w:rFonts w:hint="eastAsia" w:ascii="宋体" w:hAnsi="宋体" w:eastAsia="宋体" w:cs="宋体"/>
          <w:sz w:val="24"/>
          <w:szCs w:val="24"/>
        </w:rPr>
        <w:t>⑵</w:t>
      </w:r>
      <w:r>
        <w:rPr>
          <w:rFonts w:eastAsia="仿宋_GB2312"/>
          <w:sz w:val="24"/>
          <w:szCs w:val="24"/>
        </w:rPr>
        <w:fldChar w:fldCharType="end"/>
      </w:r>
      <w:r>
        <w:rPr>
          <w:rFonts w:eastAsia="仿宋_GB2312"/>
          <w:sz w:val="24"/>
          <w:szCs w:val="24"/>
        </w:rPr>
        <w:t>发布预警公告，告知事故情况；</w:t>
      </w:r>
    </w:p>
    <w:p>
      <w:pPr>
        <w:spacing w:after="0" w:line="360" w:lineRule="auto"/>
        <w:ind w:firstLine="482"/>
        <w:jc w:val="both"/>
        <w:rPr>
          <w:rFonts w:eastAsia="仿宋_GB2312"/>
          <w:sz w:val="24"/>
          <w:szCs w:val="24"/>
        </w:rPr>
      </w:pPr>
      <w:r>
        <w:rPr>
          <w:rFonts w:eastAsia="仿宋_GB2312"/>
          <w:sz w:val="24"/>
          <w:szCs w:val="24"/>
        </w:rPr>
        <w:fldChar w:fldCharType="begin"/>
      </w:r>
      <w:r>
        <w:rPr>
          <w:rFonts w:eastAsia="仿宋_GB2312"/>
          <w:sz w:val="24"/>
          <w:szCs w:val="24"/>
        </w:rPr>
        <w:instrText xml:space="preserve"> = 3 \* GB2 </w:instrText>
      </w:r>
      <w:r>
        <w:rPr>
          <w:rFonts w:eastAsia="仿宋_GB2312"/>
          <w:sz w:val="24"/>
          <w:szCs w:val="24"/>
        </w:rPr>
        <w:fldChar w:fldCharType="separate"/>
      </w:r>
      <w:r>
        <w:rPr>
          <w:rFonts w:hint="eastAsia" w:ascii="宋体" w:hAnsi="宋体" w:eastAsia="宋体" w:cs="宋体"/>
          <w:sz w:val="24"/>
          <w:szCs w:val="24"/>
        </w:rPr>
        <w:t>⑶</w:t>
      </w:r>
      <w:r>
        <w:rPr>
          <w:rFonts w:eastAsia="仿宋_GB2312"/>
          <w:sz w:val="24"/>
          <w:szCs w:val="24"/>
        </w:rPr>
        <w:fldChar w:fldCharType="end"/>
      </w:r>
      <w:r>
        <w:rPr>
          <w:rFonts w:eastAsia="仿宋_GB2312"/>
          <w:sz w:val="24"/>
          <w:szCs w:val="24"/>
        </w:rPr>
        <w:t>切断污染源继续外排（泄漏）污染物；</w:t>
      </w:r>
    </w:p>
    <w:p>
      <w:pPr>
        <w:spacing w:after="0" w:line="360" w:lineRule="auto"/>
        <w:ind w:firstLine="482"/>
        <w:jc w:val="both"/>
        <w:rPr>
          <w:rFonts w:eastAsia="仿宋_GB2312"/>
          <w:sz w:val="24"/>
          <w:szCs w:val="24"/>
        </w:rPr>
      </w:pPr>
      <w:r>
        <w:rPr>
          <w:rFonts w:eastAsia="仿宋_GB2312"/>
          <w:sz w:val="24"/>
          <w:szCs w:val="24"/>
        </w:rPr>
        <w:fldChar w:fldCharType="begin"/>
      </w:r>
      <w:r>
        <w:rPr>
          <w:rFonts w:eastAsia="仿宋_GB2312"/>
          <w:sz w:val="24"/>
          <w:szCs w:val="24"/>
        </w:rPr>
        <w:instrText xml:space="preserve"> = 4 \* GB2 </w:instrText>
      </w:r>
      <w:r>
        <w:rPr>
          <w:rFonts w:eastAsia="仿宋_GB2312"/>
          <w:sz w:val="24"/>
          <w:szCs w:val="24"/>
        </w:rPr>
        <w:fldChar w:fldCharType="separate"/>
      </w:r>
      <w:r>
        <w:rPr>
          <w:rFonts w:hint="eastAsia" w:ascii="宋体" w:hAnsi="宋体" w:eastAsia="宋体" w:cs="宋体"/>
          <w:sz w:val="24"/>
          <w:szCs w:val="24"/>
        </w:rPr>
        <w:t>⑷</w:t>
      </w:r>
      <w:r>
        <w:rPr>
          <w:rFonts w:eastAsia="仿宋_GB2312"/>
          <w:sz w:val="24"/>
          <w:szCs w:val="24"/>
        </w:rPr>
        <w:fldChar w:fldCharType="end"/>
      </w:r>
      <w:r>
        <w:rPr>
          <w:rFonts w:eastAsia="仿宋_GB2312"/>
          <w:sz w:val="24"/>
          <w:szCs w:val="24"/>
        </w:rPr>
        <w:t>转移未泄漏风险物质，疏散可能受到危害的人员，并进行妥善安置；</w:t>
      </w:r>
    </w:p>
    <w:p>
      <w:pPr>
        <w:spacing w:after="0" w:line="360" w:lineRule="auto"/>
        <w:ind w:firstLine="482"/>
        <w:jc w:val="both"/>
        <w:rPr>
          <w:rFonts w:eastAsia="仿宋_GB2312"/>
          <w:sz w:val="24"/>
          <w:szCs w:val="24"/>
        </w:rPr>
      </w:pPr>
      <w:r>
        <w:rPr>
          <w:rFonts w:eastAsia="仿宋_GB2312"/>
          <w:sz w:val="24"/>
          <w:szCs w:val="24"/>
        </w:rPr>
        <w:fldChar w:fldCharType="begin"/>
      </w:r>
      <w:r>
        <w:rPr>
          <w:rFonts w:eastAsia="仿宋_GB2312"/>
          <w:sz w:val="24"/>
          <w:szCs w:val="24"/>
        </w:rPr>
        <w:instrText xml:space="preserve"> = 5 \* GB2 </w:instrText>
      </w:r>
      <w:r>
        <w:rPr>
          <w:rFonts w:eastAsia="仿宋_GB2312"/>
          <w:sz w:val="24"/>
          <w:szCs w:val="24"/>
        </w:rPr>
        <w:fldChar w:fldCharType="separate"/>
      </w:r>
      <w:r>
        <w:rPr>
          <w:rFonts w:hint="eastAsia" w:ascii="宋体" w:hAnsi="宋体" w:eastAsia="宋体" w:cs="宋体"/>
          <w:sz w:val="24"/>
          <w:szCs w:val="24"/>
        </w:rPr>
        <w:t>⑸</w:t>
      </w:r>
      <w:r>
        <w:rPr>
          <w:rFonts w:eastAsia="仿宋_GB2312"/>
          <w:sz w:val="24"/>
          <w:szCs w:val="24"/>
        </w:rPr>
        <w:fldChar w:fldCharType="end"/>
      </w:r>
      <w:r>
        <w:rPr>
          <w:rFonts w:eastAsia="仿宋_GB2312"/>
          <w:sz w:val="24"/>
          <w:szCs w:val="24"/>
        </w:rPr>
        <w:t>指令各应急职能小组进入应急状态，立即展开应急救援、处置，随时掌握并报告事态的进展情况给应急指挥部；</w:t>
      </w:r>
    </w:p>
    <w:p>
      <w:pPr>
        <w:spacing w:after="0" w:line="360" w:lineRule="auto"/>
        <w:ind w:firstLine="482"/>
        <w:jc w:val="both"/>
        <w:rPr>
          <w:rFonts w:eastAsia="仿宋_GB2312"/>
          <w:sz w:val="24"/>
          <w:szCs w:val="24"/>
        </w:rPr>
      </w:pPr>
      <w:r>
        <w:rPr>
          <w:rFonts w:eastAsia="仿宋_GB2312"/>
          <w:sz w:val="24"/>
          <w:szCs w:val="24"/>
        </w:rPr>
        <w:fldChar w:fldCharType="begin"/>
      </w:r>
      <w:r>
        <w:rPr>
          <w:rFonts w:eastAsia="仿宋_GB2312"/>
          <w:sz w:val="24"/>
          <w:szCs w:val="24"/>
        </w:rPr>
        <w:instrText xml:space="preserve"> = 6 \* GB2 </w:instrText>
      </w:r>
      <w:r>
        <w:rPr>
          <w:rFonts w:eastAsia="仿宋_GB2312"/>
          <w:sz w:val="24"/>
          <w:szCs w:val="24"/>
        </w:rPr>
        <w:fldChar w:fldCharType="separate"/>
      </w:r>
      <w:r>
        <w:rPr>
          <w:rFonts w:hint="eastAsia" w:ascii="宋体" w:hAnsi="宋体" w:eastAsia="宋体" w:cs="宋体"/>
          <w:sz w:val="24"/>
          <w:szCs w:val="24"/>
        </w:rPr>
        <w:t>⑹</w:t>
      </w:r>
      <w:r>
        <w:rPr>
          <w:rFonts w:eastAsia="仿宋_GB2312"/>
          <w:sz w:val="24"/>
          <w:szCs w:val="24"/>
        </w:rPr>
        <w:fldChar w:fldCharType="end"/>
      </w:r>
      <w:r>
        <w:rPr>
          <w:rFonts w:eastAsia="仿宋_GB2312"/>
          <w:sz w:val="24"/>
          <w:szCs w:val="24"/>
        </w:rPr>
        <w:t>针对突发事故可能造成的危害，封闭、隔离或者限制使用有关场所，终止可能导致污染扩大的行为和活动；</w:t>
      </w:r>
    </w:p>
    <w:p>
      <w:pPr>
        <w:spacing w:after="0" w:line="360" w:lineRule="auto"/>
        <w:ind w:firstLine="482"/>
        <w:jc w:val="both"/>
        <w:rPr>
          <w:rFonts w:eastAsia="仿宋_GB2312"/>
          <w:sz w:val="24"/>
          <w:szCs w:val="24"/>
        </w:rPr>
      </w:pPr>
      <w:r>
        <w:rPr>
          <w:rFonts w:eastAsia="仿宋_GB2312"/>
          <w:sz w:val="24"/>
          <w:szCs w:val="24"/>
        </w:rPr>
        <w:fldChar w:fldCharType="begin"/>
      </w:r>
      <w:r>
        <w:rPr>
          <w:rFonts w:eastAsia="仿宋_GB2312"/>
          <w:sz w:val="24"/>
          <w:szCs w:val="24"/>
        </w:rPr>
        <w:instrText xml:space="preserve"> = 7 \* GB2 </w:instrText>
      </w:r>
      <w:r>
        <w:rPr>
          <w:rFonts w:eastAsia="仿宋_GB2312"/>
          <w:sz w:val="24"/>
          <w:szCs w:val="24"/>
        </w:rPr>
        <w:fldChar w:fldCharType="separate"/>
      </w:r>
      <w:r>
        <w:rPr>
          <w:rFonts w:hint="eastAsia" w:ascii="宋体" w:hAnsi="宋体" w:eastAsia="宋体" w:cs="宋体"/>
          <w:sz w:val="24"/>
          <w:szCs w:val="24"/>
        </w:rPr>
        <w:t>⑺</w:t>
      </w:r>
      <w:r>
        <w:rPr>
          <w:rFonts w:eastAsia="仿宋_GB2312"/>
          <w:sz w:val="24"/>
          <w:szCs w:val="24"/>
        </w:rPr>
        <w:fldChar w:fldCharType="end"/>
      </w:r>
      <w:r>
        <w:rPr>
          <w:rFonts w:eastAsia="仿宋_GB2312"/>
          <w:sz w:val="24"/>
          <w:szCs w:val="24"/>
        </w:rPr>
        <w:t>调集环境应急救援处置所需的物资和设备，确保救援、处置工作的顺利开展。</w:t>
      </w:r>
    </w:p>
    <w:p>
      <w:pPr>
        <w:spacing w:after="0" w:line="360" w:lineRule="auto"/>
        <w:outlineLvl w:val="2"/>
        <w:rPr>
          <w:rFonts w:eastAsia="仿宋_GB2312"/>
          <w:b/>
          <w:bCs/>
          <w:kern w:val="2"/>
          <w:szCs w:val="28"/>
        </w:rPr>
      </w:pPr>
      <w:bookmarkStart w:id="366" w:name="_Toc74856007"/>
      <w:r>
        <w:rPr>
          <w:rFonts w:hint="eastAsia" w:eastAsia="仿宋_GB2312"/>
          <w:b/>
          <w:bCs/>
          <w:kern w:val="2"/>
          <w:szCs w:val="28"/>
        </w:rPr>
        <w:t>5.3.3</w:t>
      </w:r>
      <w:r>
        <w:rPr>
          <w:rFonts w:eastAsia="仿宋_GB2312"/>
          <w:b/>
          <w:bCs/>
          <w:kern w:val="2"/>
          <w:szCs w:val="28"/>
        </w:rPr>
        <w:t>预警</w:t>
      </w:r>
      <w:r>
        <w:rPr>
          <w:rFonts w:hint="eastAsia" w:ascii="仿宋_GB2312" w:hAnsi="仿宋_GB2312" w:eastAsia="仿宋_GB2312" w:cs="仿宋_GB2312"/>
          <w:b/>
          <w:bCs/>
          <w:kern w:val="2"/>
          <w:szCs w:val="20"/>
        </w:rPr>
        <w:t>信息</w:t>
      </w:r>
      <w:bookmarkEnd w:id="366"/>
    </w:p>
    <w:p>
      <w:pPr>
        <w:spacing w:after="0" w:line="360" w:lineRule="auto"/>
        <w:ind w:firstLine="480"/>
        <w:rPr>
          <w:rFonts w:eastAsia="仿宋_GB2312"/>
          <w:sz w:val="24"/>
          <w:szCs w:val="24"/>
        </w:rPr>
      </w:pPr>
      <w:r>
        <w:rPr>
          <w:rFonts w:hint="eastAsia" w:eastAsia="仿宋_GB2312"/>
          <w:sz w:val="24"/>
          <w:szCs w:val="24"/>
        </w:rPr>
        <w:t>预警信息</w:t>
      </w:r>
      <w:r>
        <w:rPr>
          <w:rFonts w:eastAsia="仿宋_GB2312"/>
          <w:sz w:val="24"/>
          <w:szCs w:val="24"/>
        </w:rPr>
        <w:t>包括突发环境事件的类型、预警级别、起始时间、可能影响范围、警示事项、应采取的措施和发布机关等。主要发布途径有电视台、广播、各类公共显示屏、短信息、互联网、内外部有线电话和无线通信等。预警</w:t>
      </w:r>
      <w:r>
        <w:rPr>
          <w:rFonts w:hint="eastAsia" w:eastAsia="仿宋_GB2312"/>
          <w:sz w:val="24"/>
          <w:szCs w:val="24"/>
        </w:rPr>
        <w:t>信息</w:t>
      </w:r>
      <w:r>
        <w:rPr>
          <w:rFonts w:eastAsia="仿宋_GB2312"/>
          <w:sz w:val="24"/>
          <w:szCs w:val="24"/>
        </w:rPr>
        <w:t>内容详见表5.</w:t>
      </w:r>
      <w:r>
        <w:rPr>
          <w:rFonts w:hint="eastAsia" w:eastAsia="仿宋_GB2312"/>
          <w:sz w:val="24"/>
          <w:szCs w:val="24"/>
        </w:rPr>
        <w:t>3.3</w:t>
      </w:r>
      <w:r>
        <w:rPr>
          <w:rFonts w:eastAsia="仿宋_GB2312"/>
          <w:sz w:val="24"/>
          <w:szCs w:val="24"/>
        </w:rPr>
        <w:t>-1。</w:t>
      </w:r>
    </w:p>
    <w:p>
      <w:pPr>
        <w:pStyle w:val="76"/>
        <w:spacing w:line="360" w:lineRule="auto"/>
        <w:ind w:firstLine="482"/>
        <w:jc w:val="center"/>
        <w:rPr>
          <w:rFonts w:ascii="Times New Roman" w:eastAsia="仿宋_GB2312"/>
          <w:b/>
          <w:color w:val="FF0000"/>
          <w:sz w:val="24"/>
          <w:szCs w:val="24"/>
        </w:rPr>
      </w:pPr>
      <w:r>
        <w:rPr>
          <w:rFonts w:ascii="Times New Roman" w:eastAsia="仿宋_GB2312"/>
          <w:b/>
          <w:sz w:val="24"/>
          <w:szCs w:val="24"/>
        </w:rPr>
        <w:t>表5.</w:t>
      </w:r>
      <w:r>
        <w:rPr>
          <w:rFonts w:hint="eastAsia" w:ascii="Times New Roman" w:eastAsia="仿宋_GB2312"/>
          <w:b/>
          <w:sz w:val="24"/>
          <w:szCs w:val="24"/>
        </w:rPr>
        <w:t>3.3</w:t>
      </w:r>
      <w:r>
        <w:rPr>
          <w:rFonts w:ascii="Times New Roman" w:eastAsia="仿宋_GB2312"/>
          <w:b/>
          <w:sz w:val="24"/>
          <w:szCs w:val="24"/>
        </w:rPr>
        <w:t>-1  突发事件预警</w:t>
      </w:r>
      <w:r>
        <w:rPr>
          <w:rFonts w:hint="eastAsia" w:ascii="Times New Roman" w:eastAsia="仿宋_GB2312"/>
          <w:b/>
          <w:sz w:val="24"/>
          <w:szCs w:val="24"/>
        </w:rPr>
        <w:t>信息内容</w:t>
      </w:r>
    </w:p>
    <w:tbl>
      <w:tblPr>
        <w:tblStyle w:val="31"/>
        <w:tblW w:w="8339"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2746"/>
        <w:gridCol w:w="2878"/>
        <w:gridCol w:w="2715"/>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2746" w:type="dxa"/>
            <w:noWrap/>
            <w:vAlign w:val="center"/>
          </w:tcPr>
          <w:p>
            <w:pPr>
              <w:pStyle w:val="28"/>
              <w:spacing w:before="0" w:beforeAutospacing="0" w:after="0" w:afterAutospacing="0" w:line="240" w:lineRule="auto"/>
              <w:ind w:firstLine="0" w:firstLineChars="0"/>
              <w:jc w:val="center"/>
              <w:rPr>
                <w:rFonts w:eastAsia="仿宋_GB2312"/>
                <w:sz w:val="21"/>
              </w:rPr>
            </w:pPr>
            <w:r>
              <w:rPr>
                <w:rFonts w:eastAsia="仿宋_GB2312"/>
                <w:sz w:val="21"/>
              </w:rPr>
              <w:t>序号</w:t>
            </w:r>
          </w:p>
        </w:tc>
        <w:tc>
          <w:tcPr>
            <w:tcW w:w="2878" w:type="dxa"/>
            <w:noWrap/>
            <w:vAlign w:val="center"/>
          </w:tcPr>
          <w:p>
            <w:pPr>
              <w:pStyle w:val="28"/>
              <w:spacing w:before="0" w:beforeAutospacing="0" w:after="0" w:afterAutospacing="0" w:line="240" w:lineRule="auto"/>
              <w:ind w:firstLine="0" w:firstLineChars="0"/>
              <w:jc w:val="center"/>
              <w:rPr>
                <w:rFonts w:eastAsia="仿宋_GB2312"/>
                <w:sz w:val="21"/>
              </w:rPr>
            </w:pPr>
            <w:r>
              <w:rPr>
                <w:rFonts w:eastAsia="仿宋_GB2312"/>
                <w:sz w:val="21"/>
              </w:rPr>
              <w:t>项目</w:t>
            </w:r>
          </w:p>
        </w:tc>
        <w:tc>
          <w:tcPr>
            <w:tcW w:w="2715" w:type="dxa"/>
            <w:noWrap/>
            <w:vAlign w:val="center"/>
          </w:tcPr>
          <w:p>
            <w:pPr>
              <w:pStyle w:val="28"/>
              <w:spacing w:before="0" w:beforeAutospacing="0" w:after="0" w:afterAutospacing="0" w:line="240" w:lineRule="auto"/>
              <w:ind w:firstLine="0" w:firstLineChars="0"/>
              <w:jc w:val="center"/>
              <w:rPr>
                <w:rFonts w:eastAsia="仿宋_GB2312"/>
                <w:sz w:val="21"/>
              </w:rPr>
            </w:pPr>
            <w:r>
              <w:rPr>
                <w:rFonts w:eastAsia="仿宋_GB2312"/>
                <w:sz w:val="21"/>
              </w:rPr>
              <w:t>备注</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2746" w:type="dxa"/>
            <w:noWrap/>
            <w:vAlign w:val="center"/>
          </w:tcPr>
          <w:p>
            <w:pPr>
              <w:pStyle w:val="28"/>
              <w:spacing w:before="0" w:beforeAutospacing="0" w:after="0" w:afterAutospacing="0" w:line="240" w:lineRule="auto"/>
              <w:ind w:firstLine="0" w:firstLineChars="0"/>
              <w:jc w:val="center"/>
              <w:rPr>
                <w:rFonts w:eastAsia="仿宋_GB2312"/>
                <w:sz w:val="21"/>
              </w:rPr>
            </w:pPr>
            <w:r>
              <w:rPr>
                <w:rFonts w:eastAsia="仿宋_GB2312"/>
                <w:sz w:val="21"/>
              </w:rPr>
              <w:t>1</w:t>
            </w:r>
          </w:p>
        </w:tc>
        <w:tc>
          <w:tcPr>
            <w:tcW w:w="2878" w:type="dxa"/>
            <w:noWrap/>
            <w:vAlign w:val="center"/>
          </w:tcPr>
          <w:p>
            <w:pPr>
              <w:pStyle w:val="28"/>
              <w:spacing w:before="0" w:beforeAutospacing="0" w:after="0" w:afterAutospacing="0" w:line="240" w:lineRule="auto"/>
              <w:ind w:firstLine="0" w:firstLineChars="0"/>
              <w:jc w:val="center"/>
              <w:rPr>
                <w:rFonts w:eastAsia="仿宋_GB2312"/>
                <w:sz w:val="21"/>
              </w:rPr>
            </w:pPr>
            <w:r>
              <w:rPr>
                <w:rFonts w:eastAsia="仿宋_GB2312"/>
                <w:sz w:val="21"/>
              </w:rPr>
              <w:t>突发环境事件的类型</w:t>
            </w:r>
          </w:p>
        </w:tc>
        <w:tc>
          <w:tcPr>
            <w:tcW w:w="2715" w:type="dxa"/>
            <w:noWrap/>
            <w:vAlign w:val="center"/>
          </w:tcPr>
          <w:p>
            <w:pPr>
              <w:pStyle w:val="28"/>
              <w:spacing w:before="0" w:beforeAutospacing="0" w:after="0" w:afterAutospacing="0" w:line="240" w:lineRule="auto"/>
              <w:ind w:firstLine="0" w:firstLineChars="0"/>
              <w:jc w:val="center"/>
              <w:rPr>
                <w:rFonts w:eastAsia="仿宋_GB2312"/>
                <w:sz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2746" w:type="dxa"/>
            <w:noWrap/>
            <w:vAlign w:val="center"/>
          </w:tcPr>
          <w:p>
            <w:pPr>
              <w:pStyle w:val="28"/>
              <w:spacing w:before="0" w:beforeAutospacing="0" w:after="0" w:afterAutospacing="0" w:line="240" w:lineRule="auto"/>
              <w:ind w:firstLine="0" w:firstLineChars="0"/>
              <w:jc w:val="center"/>
              <w:rPr>
                <w:rFonts w:eastAsia="仿宋_GB2312"/>
                <w:sz w:val="21"/>
              </w:rPr>
            </w:pPr>
            <w:r>
              <w:rPr>
                <w:rFonts w:eastAsia="仿宋_GB2312"/>
                <w:sz w:val="21"/>
              </w:rPr>
              <w:t>2</w:t>
            </w:r>
          </w:p>
        </w:tc>
        <w:tc>
          <w:tcPr>
            <w:tcW w:w="2878" w:type="dxa"/>
            <w:noWrap/>
            <w:vAlign w:val="center"/>
          </w:tcPr>
          <w:p>
            <w:pPr>
              <w:pStyle w:val="28"/>
              <w:spacing w:before="0" w:beforeAutospacing="0" w:after="0" w:afterAutospacing="0" w:line="240" w:lineRule="auto"/>
              <w:ind w:firstLine="0" w:firstLineChars="0"/>
              <w:jc w:val="center"/>
              <w:rPr>
                <w:rFonts w:eastAsia="仿宋_GB2312"/>
                <w:sz w:val="21"/>
              </w:rPr>
            </w:pPr>
            <w:r>
              <w:rPr>
                <w:rFonts w:eastAsia="仿宋_GB2312"/>
                <w:sz w:val="21"/>
              </w:rPr>
              <w:t>预警级别</w:t>
            </w:r>
          </w:p>
        </w:tc>
        <w:tc>
          <w:tcPr>
            <w:tcW w:w="2715" w:type="dxa"/>
            <w:noWrap/>
            <w:vAlign w:val="center"/>
          </w:tcPr>
          <w:p>
            <w:pPr>
              <w:pStyle w:val="28"/>
              <w:spacing w:before="0" w:beforeAutospacing="0" w:after="0" w:afterAutospacing="0" w:line="240" w:lineRule="auto"/>
              <w:ind w:firstLine="0" w:firstLineChars="0"/>
              <w:jc w:val="center"/>
              <w:rPr>
                <w:rFonts w:eastAsia="仿宋_GB2312"/>
                <w:sz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2746" w:type="dxa"/>
            <w:noWrap/>
            <w:vAlign w:val="center"/>
          </w:tcPr>
          <w:p>
            <w:pPr>
              <w:pStyle w:val="28"/>
              <w:spacing w:before="0" w:beforeAutospacing="0" w:after="0" w:afterAutospacing="0" w:line="240" w:lineRule="auto"/>
              <w:ind w:firstLine="0" w:firstLineChars="0"/>
              <w:jc w:val="center"/>
              <w:rPr>
                <w:rFonts w:eastAsia="仿宋_GB2312"/>
                <w:sz w:val="21"/>
              </w:rPr>
            </w:pPr>
            <w:r>
              <w:rPr>
                <w:rFonts w:eastAsia="仿宋_GB2312"/>
                <w:sz w:val="21"/>
              </w:rPr>
              <w:t>3</w:t>
            </w:r>
          </w:p>
        </w:tc>
        <w:tc>
          <w:tcPr>
            <w:tcW w:w="2878" w:type="dxa"/>
            <w:noWrap/>
            <w:vAlign w:val="center"/>
          </w:tcPr>
          <w:p>
            <w:pPr>
              <w:pStyle w:val="28"/>
              <w:spacing w:before="0" w:beforeAutospacing="0" w:after="0" w:afterAutospacing="0" w:line="240" w:lineRule="auto"/>
              <w:ind w:firstLine="0" w:firstLineChars="0"/>
              <w:jc w:val="center"/>
              <w:rPr>
                <w:rFonts w:eastAsia="仿宋_GB2312"/>
                <w:sz w:val="21"/>
              </w:rPr>
            </w:pPr>
            <w:r>
              <w:rPr>
                <w:rFonts w:eastAsia="仿宋_GB2312"/>
                <w:sz w:val="21"/>
              </w:rPr>
              <w:t>预警区域或场所</w:t>
            </w:r>
          </w:p>
        </w:tc>
        <w:tc>
          <w:tcPr>
            <w:tcW w:w="2715" w:type="dxa"/>
            <w:noWrap/>
            <w:vAlign w:val="center"/>
          </w:tcPr>
          <w:p>
            <w:pPr>
              <w:pStyle w:val="28"/>
              <w:spacing w:before="0" w:beforeAutospacing="0" w:after="0" w:afterAutospacing="0" w:line="240" w:lineRule="auto"/>
              <w:ind w:firstLine="0" w:firstLineChars="0"/>
              <w:jc w:val="center"/>
              <w:rPr>
                <w:rFonts w:eastAsia="仿宋_GB2312"/>
                <w:sz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2746" w:type="dxa"/>
            <w:noWrap/>
            <w:vAlign w:val="center"/>
          </w:tcPr>
          <w:p>
            <w:pPr>
              <w:pStyle w:val="28"/>
              <w:spacing w:before="0" w:beforeAutospacing="0" w:after="0" w:afterAutospacing="0" w:line="240" w:lineRule="auto"/>
              <w:ind w:firstLine="0" w:firstLineChars="0"/>
              <w:jc w:val="center"/>
              <w:rPr>
                <w:rFonts w:eastAsia="仿宋_GB2312"/>
                <w:sz w:val="21"/>
              </w:rPr>
            </w:pPr>
            <w:r>
              <w:rPr>
                <w:rFonts w:eastAsia="仿宋_GB2312"/>
                <w:sz w:val="21"/>
              </w:rPr>
              <w:t>4</w:t>
            </w:r>
          </w:p>
        </w:tc>
        <w:tc>
          <w:tcPr>
            <w:tcW w:w="2878" w:type="dxa"/>
            <w:noWrap/>
            <w:vAlign w:val="center"/>
          </w:tcPr>
          <w:p>
            <w:pPr>
              <w:pStyle w:val="28"/>
              <w:spacing w:before="0" w:beforeAutospacing="0" w:after="0" w:afterAutospacing="0" w:line="240" w:lineRule="auto"/>
              <w:ind w:firstLine="0" w:firstLineChars="0"/>
              <w:jc w:val="center"/>
              <w:rPr>
                <w:rFonts w:eastAsia="仿宋_GB2312"/>
                <w:sz w:val="21"/>
              </w:rPr>
            </w:pPr>
            <w:r>
              <w:rPr>
                <w:rFonts w:eastAsia="仿宋_GB2312"/>
                <w:sz w:val="21"/>
              </w:rPr>
              <w:t>预警起始时间</w:t>
            </w:r>
          </w:p>
        </w:tc>
        <w:tc>
          <w:tcPr>
            <w:tcW w:w="2715" w:type="dxa"/>
            <w:noWrap/>
            <w:vAlign w:val="center"/>
          </w:tcPr>
          <w:p>
            <w:pPr>
              <w:pStyle w:val="28"/>
              <w:spacing w:before="0" w:beforeAutospacing="0" w:after="0" w:afterAutospacing="0" w:line="240" w:lineRule="auto"/>
              <w:ind w:firstLine="0" w:firstLineChars="0"/>
              <w:jc w:val="center"/>
              <w:rPr>
                <w:rFonts w:eastAsia="仿宋_GB2312"/>
                <w:sz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2746" w:type="dxa"/>
            <w:noWrap/>
            <w:vAlign w:val="center"/>
          </w:tcPr>
          <w:p>
            <w:pPr>
              <w:pStyle w:val="28"/>
              <w:spacing w:before="0" w:beforeAutospacing="0" w:after="0" w:afterAutospacing="0" w:line="240" w:lineRule="auto"/>
              <w:ind w:firstLine="0" w:firstLineChars="0"/>
              <w:jc w:val="center"/>
              <w:rPr>
                <w:rFonts w:eastAsia="仿宋_GB2312"/>
                <w:sz w:val="21"/>
              </w:rPr>
            </w:pPr>
            <w:r>
              <w:rPr>
                <w:rFonts w:eastAsia="仿宋_GB2312"/>
                <w:sz w:val="21"/>
              </w:rPr>
              <w:t>5</w:t>
            </w:r>
          </w:p>
        </w:tc>
        <w:tc>
          <w:tcPr>
            <w:tcW w:w="2878" w:type="dxa"/>
            <w:noWrap/>
            <w:vAlign w:val="center"/>
          </w:tcPr>
          <w:p>
            <w:pPr>
              <w:pStyle w:val="28"/>
              <w:spacing w:before="0" w:beforeAutospacing="0" w:after="0" w:afterAutospacing="0" w:line="240" w:lineRule="auto"/>
              <w:ind w:firstLine="0" w:firstLineChars="0"/>
              <w:jc w:val="center"/>
              <w:rPr>
                <w:rFonts w:eastAsia="仿宋_GB2312"/>
                <w:sz w:val="21"/>
              </w:rPr>
            </w:pPr>
            <w:r>
              <w:rPr>
                <w:rFonts w:eastAsia="仿宋_GB2312"/>
                <w:sz w:val="21"/>
              </w:rPr>
              <w:t>可能影响范围</w:t>
            </w:r>
          </w:p>
        </w:tc>
        <w:tc>
          <w:tcPr>
            <w:tcW w:w="2715" w:type="dxa"/>
            <w:noWrap/>
            <w:vAlign w:val="center"/>
          </w:tcPr>
          <w:p>
            <w:pPr>
              <w:pStyle w:val="28"/>
              <w:spacing w:before="0" w:beforeAutospacing="0" w:after="0" w:afterAutospacing="0" w:line="240" w:lineRule="auto"/>
              <w:ind w:firstLine="0" w:firstLineChars="0"/>
              <w:jc w:val="center"/>
              <w:rPr>
                <w:rFonts w:eastAsia="仿宋_GB2312"/>
                <w:sz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2746" w:type="dxa"/>
            <w:noWrap/>
            <w:vAlign w:val="center"/>
          </w:tcPr>
          <w:p>
            <w:pPr>
              <w:pStyle w:val="28"/>
              <w:spacing w:before="0" w:beforeAutospacing="0" w:after="0" w:afterAutospacing="0" w:line="240" w:lineRule="auto"/>
              <w:ind w:firstLine="0" w:firstLineChars="0"/>
              <w:jc w:val="center"/>
              <w:rPr>
                <w:rFonts w:eastAsia="仿宋_GB2312"/>
                <w:sz w:val="21"/>
              </w:rPr>
            </w:pPr>
            <w:r>
              <w:rPr>
                <w:rFonts w:eastAsia="仿宋_GB2312"/>
                <w:sz w:val="21"/>
              </w:rPr>
              <w:t>6</w:t>
            </w:r>
          </w:p>
        </w:tc>
        <w:tc>
          <w:tcPr>
            <w:tcW w:w="2878" w:type="dxa"/>
            <w:noWrap/>
            <w:vAlign w:val="center"/>
          </w:tcPr>
          <w:p>
            <w:pPr>
              <w:pStyle w:val="28"/>
              <w:spacing w:before="0" w:beforeAutospacing="0" w:after="0" w:afterAutospacing="0" w:line="240" w:lineRule="auto"/>
              <w:ind w:firstLine="0" w:firstLineChars="0"/>
              <w:jc w:val="center"/>
              <w:rPr>
                <w:rFonts w:eastAsia="仿宋_GB2312"/>
                <w:sz w:val="21"/>
              </w:rPr>
            </w:pPr>
            <w:r>
              <w:rPr>
                <w:rFonts w:eastAsia="仿宋_GB2312"/>
                <w:sz w:val="21"/>
              </w:rPr>
              <w:t>警示事项</w:t>
            </w:r>
          </w:p>
        </w:tc>
        <w:tc>
          <w:tcPr>
            <w:tcW w:w="2715" w:type="dxa"/>
            <w:noWrap/>
            <w:vAlign w:val="center"/>
          </w:tcPr>
          <w:p>
            <w:pPr>
              <w:pStyle w:val="28"/>
              <w:spacing w:before="0" w:beforeAutospacing="0" w:after="0" w:afterAutospacing="0" w:line="240" w:lineRule="auto"/>
              <w:ind w:firstLine="0" w:firstLineChars="0"/>
              <w:jc w:val="center"/>
              <w:rPr>
                <w:rFonts w:eastAsia="仿宋_GB2312"/>
                <w:sz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2746" w:type="dxa"/>
            <w:noWrap/>
            <w:vAlign w:val="center"/>
          </w:tcPr>
          <w:p>
            <w:pPr>
              <w:pStyle w:val="28"/>
              <w:spacing w:before="0" w:beforeAutospacing="0" w:after="0" w:afterAutospacing="0" w:line="240" w:lineRule="auto"/>
              <w:ind w:firstLine="0" w:firstLineChars="0"/>
              <w:jc w:val="center"/>
              <w:rPr>
                <w:rFonts w:eastAsia="仿宋_GB2312"/>
                <w:sz w:val="21"/>
              </w:rPr>
            </w:pPr>
            <w:r>
              <w:rPr>
                <w:rFonts w:eastAsia="仿宋_GB2312"/>
                <w:sz w:val="21"/>
              </w:rPr>
              <w:t>7</w:t>
            </w:r>
          </w:p>
        </w:tc>
        <w:tc>
          <w:tcPr>
            <w:tcW w:w="2878" w:type="dxa"/>
            <w:noWrap/>
            <w:vAlign w:val="center"/>
          </w:tcPr>
          <w:p>
            <w:pPr>
              <w:pStyle w:val="28"/>
              <w:spacing w:before="0" w:beforeAutospacing="0" w:after="0" w:afterAutospacing="0" w:line="240" w:lineRule="auto"/>
              <w:ind w:firstLine="0" w:firstLineChars="0"/>
              <w:jc w:val="center"/>
              <w:rPr>
                <w:rFonts w:eastAsia="仿宋_GB2312"/>
                <w:sz w:val="21"/>
              </w:rPr>
            </w:pPr>
            <w:r>
              <w:rPr>
                <w:rFonts w:eastAsia="仿宋_GB2312"/>
                <w:sz w:val="21"/>
              </w:rPr>
              <w:t>应采取的措施</w:t>
            </w:r>
          </w:p>
        </w:tc>
        <w:tc>
          <w:tcPr>
            <w:tcW w:w="2715" w:type="dxa"/>
            <w:noWrap/>
            <w:vAlign w:val="center"/>
          </w:tcPr>
          <w:p>
            <w:pPr>
              <w:pStyle w:val="28"/>
              <w:spacing w:before="0" w:beforeAutospacing="0" w:after="0" w:afterAutospacing="0" w:line="240" w:lineRule="auto"/>
              <w:ind w:firstLine="0" w:firstLineChars="0"/>
              <w:jc w:val="center"/>
              <w:rPr>
                <w:rFonts w:eastAsia="仿宋_GB2312"/>
                <w:sz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2746" w:type="dxa"/>
            <w:noWrap/>
            <w:vAlign w:val="center"/>
          </w:tcPr>
          <w:p>
            <w:pPr>
              <w:pStyle w:val="28"/>
              <w:spacing w:before="0" w:beforeAutospacing="0" w:after="0" w:afterAutospacing="0" w:line="240" w:lineRule="auto"/>
              <w:ind w:firstLine="0" w:firstLineChars="0"/>
              <w:jc w:val="center"/>
              <w:rPr>
                <w:rFonts w:eastAsia="仿宋_GB2312"/>
                <w:sz w:val="21"/>
              </w:rPr>
            </w:pPr>
            <w:r>
              <w:rPr>
                <w:rFonts w:eastAsia="仿宋_GB2312"/>
                <w:sz w:val="21"/>
              </w:rPr>
              <w:t>8</w:t>
            </w:r>
          </w:p>
        </w:tc>
        <w:tc>
          <w:tcPr>
            <w:tcW w:w="2878" w:type="dxa"/>
            <w:noWrap/>
            <w:vAlign w:val="center"/>
          </w:tcPr>
          <w:p>
            <w:pPr>
              <w:pStyle w:val="28"/>
              <w:spacing w:before="0" w:beforeAutospacing="0" w:after="0" w:afterAutospacing="0" w:line="240" w:lineRule="auto"/>
              <w:ind w:firstLine="0" w:firstLineChars="0"/>
              <w:jc w:val="center"/>
              <w:rPr>
                <w:rFonts w:eastAsia="仿宋_GB2312"/>
                <w:sz w:val="21"/>
              </w:rPr>
            </w:pPr>
            <w:r>
              <w:rPr>
                <w:rFonts w:eastAsia="仿宋_GB2312"/>
                <w:sz w:val="21"/>
              </w:rPr>
              <w:t>发布机关</w:t>
            </w:r>
          </w:p>
        </w:tc>
        <w:tc>
          <w:tcPr>
            <w:tcW w:w="2715" w:type="dxa"/>
            <w:noWrap/>
            <w:vAlign w:val="center"/>
          </w:tcPr>
          <w:p>
            <w:pPr>
              <w:pStyle w:val="28"/>
              <w:spacing w:before="0" w:beforeAutospacing="0" w:after="0" w:afterAutospacing="0" w:line="240" w:lineRule="auto"/>
              <w:ind w:firstLine="0" w:firstLineChars="0"/>
              <w:jc w:val="center"/>
              <w:rPr>
                <w:rFonts w:eastAsia="仿宋_GB2312"/>
                <w:sz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2746" w:type="dxa"/>
            <w:noWrap/>
            <w:vAlign w:val="center"/>
          </w:tcPr>
          <w:p>
            <w:pPr>
              <w:pStyle w:val="28"/>
              <w:spacing w:before="0" w:beforeAutospacing="0" w:after="0" w:afterAutospacing="0" w:line="240" w:lineRule="auto"/>
              <w:ind w:firstLine="0" w:firstLineChars="0"/>
              <w:jc w:val="center"/>
              <w:rPr>
                <w:rFonts w:eastAsia="仿宋_GB2312"/>
                <w:sz w:val="21"/>
              </w:rPr>
            </w:pPr>
            <w:r>
              <w:rPr>
                <w:rFonts w:eastAsia="仿宋_GB2312"/>
                <w:sz w:val="21"/>
              </w:rPr>
              <w:t>9</w:t>
            </w:r>
          </w:p>
        </w:tc>
        <w:tc>
          <w:tcPr>
            <w:tcW w:w="2878" w:type="dxa"/>
            <w:noWrap/>
            <w:vAlign w:val="center"/>
          </w:tcPr>
          <w:p>
            <w:pPr>
              <w:pStyle w:val="28"/>
              <w:spacing w:before="0" w:beforeAutospacing="0" w:after="0" w:afterAutospacing="0" w:line="240" w:lineRule="auto"/>
              <w:ind w:firstLine="0" w:firstLineChars="0"/>
              <w:jc w:val="center"/>
              <w:rPr>
                <w:rFonts w:eastAsia="仿宋_GB2312"/>
                <w:sz w:val="21"/>
              </w:rPr>
            </w:pPr>
            <w:r>
              <w:rPr>
                <w:rFonts w:eastAsia="仿宋_GB2312"/>
                <w:sz w:val="21"/>
              </w:rPr>
              <w:t>备注</w:t>
            </w:r>
          </w:p>
        </w:tc>
        <w:tc>
          <w:tcPr>
            <w:tcW w:w="2715" w:type="dxa"/>
            <w:noWrap/>
            <w:vAlign w:val="center"/>
          </w:tcPr>
          <w:p>
            <w:pPr>
              <w:pStyle w:val="28"/>
              <w:spacing w:before="0" w:beforeAutospacing="0" w:after="0" w:afterAutospacing="0" w:line="240" w:lineRule="auto"/>
              <w:ind w:firstLine="0" w:firstLineChars="0"/>
              <w:jc w:val="center"/>
              <w:rPr>
                <w:rFonts w:eastAsia="仿宋_GB2312"/>
                <w:sz w:val="21"/>
              </w:rPr>
            </w:pPr>
          </w:p>
        </w:tc>
      </w:tr>
    </w:tbl>
    <w:p>
      <w:pPr>
        <w:pStyle w:val="6"/>
        <w:adjustRightInd w:val="0"/>
        <w:snapToGrid w:val="0"/>
        <w:spacing w:beforeLines="50"/>
        <w:rPr>
          <w:rFonts w:eastAsia="仿宋_GB2312"/>
          <w:sz w:val="28"/>
          <w:szCs w:val="28"/>
        </w:rPr>
      </w:pPr>
      <w:bookmarkStart w:id="367" w:name="_Toc74856008"/>
      <w:bookmarkStart w:id="368" w:name="_Toc3730"/>
      <w:r>
        <w:rPr>
          <w:rFonts w:eastAsia="仿宋_GB2312"/>
          <w:sz w:val="28"/>
          <w:szCs w:val="28"/>
        </w:rPr>
        <w:t>5.</w:t>
      </w:r>
      <w:r>
        <w:rPr>
          <w:rFonts w:hint="eastAsia" w:eastAsia="仿宋_GB2312"/>
          <w:sz w:val="28"/>
          <w:szCs w:val="28"/>
        </w:rPr>
        <w:t>4</w:t>
      </w:r>
      <w:r>
        <w:rPr>
          <w:rFonts w:eastAsia="仿宋_GB2312"/>
          <w:sz w:val="28"/>
          <w:szCs w:val="28"/>
        </w:rPr>
        <w:t>预警发布</w:t>
      </w:r>
      <w:bookmarkEnd w:id="358"/>
      <w:bookmarkEnd w:id="359"/>
      <w:bookmarkEnd w:id="360"/>
      <w:bookmarkEnd w:id="367"/>
      <w:bookmarkEnd w:id="368"/>
    </w:p>
    <w:p>
      <w:pPr>
        <w:spacing w:after="0" w:line="360" w:lineRule="auto"/>
        <w:ind w:firstLine="482"/>
        <w:jc w:val="both"/>
        <w:rPr>
          <w:rFonts w:eastAsia="仿宋_GB2312"/>
          <w:sz w:val="24"/>
          <w:szCs w:val="24"/>
        </w:rPr>
      </w:pPr>
      <w:r>
        <w:rPr>
          <w:rFonts w:eastAsia="仿宋_GB2312"/>
          <w:sz w:val="24"/>
          <w:szCs w:val="24"/>
        </w:rPr>
        <w:t>（1）现场作业人员发现各种事故的预兆时要立即向应急</w:t>
      </w:r>
      <w:r>
        <w:rPr>
          <w:rFonts w:hint="eastAsia" w:eastAsia="仿宋_GB2312"/>
          <w:sz w:val="24"/>
          <w:szCs w:val="24"/>
        </w:rPr>
        <w:t>指挥</w:t>
      </w:r>
      <w:r>
        <w:rPr>
          <w:rFonts w:eastAsia="仿宋_GB2312"/>
          <w:sz w:val="24"/>
          <w:szCs w:val="24"/>
        </w:rPr>
        <w:t>办公室报告，报告内容包括以下内容：</w:t>
      </w:r>
    </w:p>
    <w:p>
      <w:pPr>
        <w:spacing w:after="0" w:line="360" w:lineRule="auto"/>
        <w:ind w:firstLine="482"/>
        <w:jc w:val="both"/>
        <w:rPr>
          <w:rFonts w:eastAsia="仿宋_GB2312"/>
          <w:sz w:val="24"/>
          <w:szCs w:val="24"/>
        </w:rPr>
      </w:pPr>
      <w:r>
        <w:rPr>
          <w:rFonts w:eastAsia="仿宋_GB2312"/>
          <w:sz w:val="24"/>
          <w:szCs w:val="24"/>
        </w:rPr>
        <w:t>①事故发生的时间、地点；</w:t>
      </w:r>
    </w:p>
    <w:p>
      <w:pPr>
        <w:spacing w:after="0" w:line="360" w:lineRule="auto"/>
        <w:ind w:firstLine="482"/>
        <w:jc w:val="both"/>
        <w:rPr>
          <w:rFonts w:eastAsia="仿宋_GB2312"/>
          <w:sz w:val="24"/>
          <w:szCs w:val="24"/>
        </w:rPr>
      </w:pPr>
      <w:r>
        <w:rPr>
          <w:rFonts w:eastAsia="仿宋_GB2312"/>
          <w:sz w:val="24"/>
          <w:szCs w:val="24"/>
        </w:rPr>
        <w:t>②预兆的现场实际情况及已采取的措施；</w:t>
      </w:r>
    </w:p>
    <w:p>
      <w:pPr>
        <w:spacing w:after="0" w:line="360" w:lineRule="auto"/>
        <w:ind w:firstLine="482"/>
        <w:jc w:val="both"/>
        <w:rPr>
          <w:rFonts w:eastAsia="仿宋_GB2312"/>
          <w:sz w:val="24"/>
          <w:szCs w:val="24"/>
        </w:rPr>
      </w:pPr>
      <w:r>
        <w:rPr>
          <w:rFonts w:eastAsia="仿宋_GB2312"/>
          <w:sz w:val="24"/>
          <w:szCs w:val="24"/>
        </w:rPr>
        <w:t>③如果预兆明显，马上可能发生事故，则应先避险后报告；</w:t>
      </w:r>
    </w:p>
    <w:p>
      <w:pPr>
        <w:spacing w:after="0" w:line="360" w:lineRule="auto"/>
        <w:ind w:firstLine="482"/>
        <w:jc w:val="both"/>
        <w:rPr>
          <w:rFonts w:eastAsia="仿宋_GB2312"/>
          <w:sz w:val="24"/>
          <w:szCs w:val="24"/>
        </w:rPr>
      </w:pPr>
      <w:r>
        <w:rPr>
          <w:rFonts w:eastAsia="仿宋_GB2312"/>
          <w:sz w:val="24"/>
          <w:szCs w:val="24"/>
        </w:rPr>
        <w:t>④地面着火可能蔓延形成火灾时，现场人员立即向应急办公室汇报。</w:t>
      </w:r>
    </w:p>
    <w:p>
      <w:pPr>
        <w:spacing w:after="0" w:line="360" w:lineRule="auto"/>
        <w:ind w:firstLine="482"/>
        <w:jc w:val="both"/>
        <w:rPr>
          <w:rFonts w:eastAsia="仿宋_GB2312"/>
          <w:sz w:val="24"/>
          <w:szCs w:val="24"/>
        </w:rPr>
      </w:pPr>
      <w:r>
        <w:rPr>
          <w:rFonts w:eastAsia="仿宋_GB2312"/>
          <w:sz w:val="24"/>
          <w:szCs w:val="24"/>
        </w:rPr>
        <w:t>（2）预警发布程序及要求如下：</w:t>
      </w:r>
    </w:p>
    <w:p>
      <w:pPr>
        <w:spacing w:after="0" w:line="360" w:lineRule="auto"/>
        <w:ind w:firstLine="482"/>
        <w:jc w:val="both"/>
        <w:rPr>
          <w:rFonts w:eastAsia="仿宋_GB2312"/>
          <w:sz w:val="24"/>
          <w:szCs w:val="24"/>
        </w:rPr>
      </w:pPr>
      <w:r>
        <w:rPr>
          <w:rFonts w:eastAsia="仿宋_GB2312"/>
          <w:sz w:val="24"/>
          <w:szCs w:val="24"/>
        </w:rPr>
        <w:t>①应急</w:t>
      </w:r>
      <w:r>
        <w:rPr>
          <w:rFonts w:hint="eastAsia" w:eastAsia="仿宋_GB2312"/>
          <w:sz w:val="24"/>
          <w:szCs w:val="24"/>
        </w:rPr>
        <w:t>指挥</w:t>
      </w:r>
      <w:r>
        <w:rPr>
          <w:rFonts w:eastAsia="仿宋_GB2312"/>
          <w:sz w:val="24"/>
          <w:szCs w:val="24"/>
        </w:rPr>
        <w:t>办公室值班人员接到事故预兆报警电话后，应立即向应急办公室主任汇报</w:t>
      </w:r>
      <w:r>
        <w:rPr>
          <w:rFonts w:eastAsia="MS Mincho"/>
          <w:sz w:val="24"/>
          <w:szCs w:val="24"/>
        </w:rPr>
        <w:t>｡</w:t>
      </w:r>
    </w:p>
    <w:p>
      <w:pPr>
        <w:spacing w:after="0" w:line="360" w:lineRule="auto"/>
        <w:ind w:firstLine="482"/>
        <w:jc w:val="both"/>
        <w:rPr>
          <w:rFonts w:eastAsia="仿宋_GB2312"/>
          <w:sz w:val="24"/>
          <w:szCs w:val="24"/>
        </w:rPr>
      </w:pPr>
      <w:r>
        <w:rPr>
          <w:rFonts w:eastAsia="仿宋_GB2312"/>
          <w:sz w:val="24"/>
          <w:szCs w:val="24"/>
        </w:rPr>
        <w:t>②应急</w:t>
      </w:r>
      <w:r>
        <w:rPr>
          <w:rFonts w:hint="eastAsia" w:eastAsia="仿宋_GB2312"/>
          <w:sz w:val="24"/>
          <w:szCs w:val="24"/>
        </w:rPr>
        <w:t>指挥</w:t>
      </w:r>
      <w:r>
        <w:rPr>
          <w:rFonts w:eastAsia="仿宋_GB2312"/>
          <w:sz w:val="24"/>
          <w:szCs w:val="24"/>
        </w:rPr>
        <w:t>办公室主任应立即汇报值班领导。根据事故预兆的性质、严重程度、事态发展趋势，由值班领导向总指挥汇报，并由应急总指挥确定进行预警。如果不足以启动应急预案的最低响应级别，响应停止</w:t>
      </w:r>
      <w:r>
        <w:rPr>
          <w:rFonts w:eastAsia="MS Mincho"/>
          <w:sz w:val="24"/>
          <w:szCs w:val="24"/>
        </w:rPr>
        <w:t>｡</w:t>
      </w:r>
    </w:p>
    <w:p>
      <w:pPr>
        <w:spacing w:after="0" w:line="360" w:lineRule="auto"/>
        <w:ind w:firstLine="482"/>
        <w:jc w:val="both"/>
        <w:rPr>
          <w:rFonts w:eastAsia="仿宋_GB2312"/>
          <w:sz w:val="24"/>
          <w:szCs w:val="24"/>
        </w:rPr>
      </w:pPr>
      <w:r>
        <w:rPr>
          <w:rFonts w:eastAsia="仿宋_GB2312"/>
          <w:sz w:val="24"/>
          <w:szCs w:val="24"/>
        </w:rPr>
        <w:t>③应急指挥部研究分析事故信息，确定预警级别后立即发出预警信息。利用通讯设备，第一时间发布到环境事件可能影响区域居民或其它企业单位。</w:t>
      </w:r>
    </w:p>
    <w:p>
      <w:pPr>
        <w:spacing w:after="0" w:line="360" w:lineRule="auto"/>
        <w:ind w:firstLine="482"/>
        <w:jc w:val="both"/>
        <w:rPr>
          <w:rFonts w:eastAsia="仿宋_GB2312"/>
          <w:sz w:val="24"/>
          <w:szCs w:val="24"/>
        </w:rPr>
      </w:pPr>
      <w:r>
        <w:rPr>
          <w:rFonts w:eastAsia="仿宋_GB2312"/>
          <w:sz w:val="24"/>
          <w:szCs w:val="24"/>
        </w:rPr>
        <w:t>④应急指挥部、各应急救援专业队伍及有关部门负责人应保持手机24小时开机，防止出现应急事件时不能及时沟通。</w:t>
      </w:r>
    </w:p>
    <w:p>
      <w:pPr>
        <w:spacing w:after="0" w:line="360" w:lineRule="auto"/>
        <w:ind w:firstLine="482"/>
        <w:jc w:val="both"/>
        <w:rPr>
          <w:rFonts w:eastAsia="仿宋_GB2312"/>
          <w:sz w:val="24"/>
          <w:szCs w:val="24"/>
        </w:rPr>
      </w:pPr>
      <w:r>
        <w:rPr>
          <w:rFonts w:eastAsia="仿宋_GB2312"/>
          <w:sz w:val="24"/>
          <w:szCs w:val="24"/>
        </w:rPr>
        <w:t>突发环境事件的预警信息由办公室报至指挥部批准后，发布预警信息，并按照公司救援预案组织救援，现场指挥人员立即派专人进行警戒，防止非抢救人员进入危险区。</w:t>
      </w:r>
    </w:p>
    <w:p>
      <w:pPr>
        <w:pStyle w:val="6"/>
        <w:adjustRightInd w:val="0"/>
        <w:snapToGrid w:val="0"/>
        <w:rPr>
          <w:rFonts w:eastAsia="仿宋_GB2312"/>
          <w:sz w:val="28"/>
          <w:szCs w:val="28"/>
        </w:rPr>
      </w:pPr>
      <w:bookmarkStart w:id="369" w:name="_Toc20712"/>
      <w:bookmarkStart w:id="370" w:name="_Toc28697"/>
      <w:bookmarkStart w:id="371" w:name="_Toc15755"/>
      <w:bookmarkStart w:id="372" w:name="_Toc74856009"/>
      <w:bookmarkStart w:id="373" w:name="_Toc23131"/>
      <w:r>
        <w:rPr>
          <w:rFonts w:eastAsia="仿宋_GB2312"/>
          <w:sz w:val="28"/>
          <w:szCs w:val="28"/>
        </w:rPr>
        <w:t>5.</w:t>
      </w:r>
      <w:r>
        <w:rPr>
          <w:rFonts w:hint="eastAsia" w:eastAsia="仿宋_GB2312"/>
          <w:sz w:val="28"/>
          <w:szCs w:val="28"/>
        </w:rPr>
        <w:t>5</w:t>
      </w:r>
      <w:r>
        <w:rPr>
          <w:rFonts w:eastAsia="仿宋_GB2312"/>
          <w:sz w:val="28"/>
          <w:szCs w:val="28"/>
        </w:rPr>
        <w:t>预警</w:t>
      </w:r>
      <w:bookmarkEnd w:id="369"/>
      <w:bookmarkEnd w:id="370"/>
      <w:bookmarkEnd w:id="371"/>
      <w:r>
        <w:rPr>
          <w:rFonts w:eastAsia="仿宋_GB2312"/>
          <w:sz w:val="28"/>
          <w:szCs w:val="28"/>
        </w:rPr>
        <w:t>结束</w:t>
      </w:r>
      <w:bookmarkEnd w:id="372"/>
      <w:bookmarkEnd w:id="373"/>
    </w:p>
    <w:p>
      <w:pPr>
        <w:spacing w:after="0" w:line="360" w:lineRule="auto"/>
        <w:ind w:firstLine="482"/>
        <w:jc w:val="both"/>
        <w:rPr>
          <w:rFonts w:eastAsia="仿宋_GB2312"/>
          <w:sz w:val="24"/>
          <w:szCs w:val="24"/>
        </w:rPr>
      </w:pPr>
      <w:r>
        <w:rPr>
          <w:rFonts w:eastAsia="仿宋_GB2312"/>
          <w:sz w:val="24"/>
          <w:szCs w:val="24"/>
        </w:rPr>
        <w:t>（1）预警结束的条件</w:t>
      </w:r>
    </w:p>
    <w:p>
      <w:pPr>
        <w:spacing w:after="0" w:line="360" w:lineRule="auto"/>
        <w:ind w:firstLine="482"/>
        <w:jc w:val="both"/>
        <w:rPr>
          <w:rFonts w:eastAsia="仿宋_GB2312"/>
          <w:sz w:val="24"/>
          <w:szCs w:val="24"/>
        </w:rPr>
      </w:pPr>
      <w:r>
        <w:rPr>
          <w:rFonts w:eastAsia="仿宋_GB2312"/>
          <w:sz w:val="24"/>
          <w:szCs w:val="24"/>
        </w:rPr>
        <w:t>符合下列条件之一的，即满足预警结束的条件：</w:t>
      </w:r>
    </w:p>
    <w:p>
      <w:pPr>
        <w:spacing w:after="0" w:line="360" w:lineRule="auto"/>
        <w:ind w:firstLine="482"/>
        <w:jc w:val="both"/>
        <w:rPr>
          <w:rFonts w:eastAsia="仿宋_GB2312"/>
          <w:sz w:val="24"/>
          <w:szCs w:val="24"/>
        </w:rPr>
      </w:pPr>
      <w:r>
        <w:rPr>
          <w:rFonts w:eastAsia="仿宋_GB2312"/>
          <w:sz w:val="24"/>
          <w:szCs w:val="24"/>
        </w:rPr>
        <w:t>①事件现场得到控制，事件隐患已经消除；</w:t>
      </w:r>
    </w:p>
    <w:p>
      <w:pPr>
        <w:spacing w:after="0" w:line="360" w:lineRule="auto"/>
        <w:ind w:firstLine="482"/>
        <w:jc w:val="both"/>
        <w:rPr>
          <w:rFonts w:eastAsia="仿宋_GB2312"/>
          <w:szCs w:val="28"/>
        </w:rPr>
      </w:pPr>
      <w:r>
        <w:rPr>
          <w:rFonts w:eastAsia="仿宋_GB2312"/>
          <w:sz w:val="24"/>
          <w:szCs w:val="24"/>
        </w:rPr>
        <w:t>②污染采取了必要的防护措施，事件不会对环境造成影响</w:t>
      </w:r>
      <w:r>
        <w:rPr>
          <w:rFonts w:eastAsia="仿宋_GB2312"/>
          <w:szCs w:val="28"/>
        </w:rPr>
        <w:t>。</w:t>
      </w:r>
    </w:p>
    <w:p>
      <w:pPr>
        <w:spacing w:after="0" w:line="360" w:lineRule="auto"/>
        <w:ind w:firstLine="482"/>
        <w:jc w:val="both"/>
        <w:rPr>
          <w:rFonts w:eastAsia="仿宋_GB2312"/>
          <w:sz w:val="24"/>
          <w:szCs w:val="24"/>
        </w:rPr>
      </w:pPr>
      <w:r>
        <w:rPr>
          <w:rFonts w:eastAsia="仿宋_GB2312"/>
          <w:sz w:val="24"/>
          <w:szCs w:val="24"/>
        </w:rPr>
        <w:t>（2）预警结束的程序</w:t>
      </w:r>
    </w:p>
    <w:p>
      <w:pPr>
        <w:spacing w:after="0" w:line="360" w:lineRule="auto"/>
        <w:ind w:firstLine="482"/>
        <w:jc w:val="both"/>
        <w:rPr>
          <w:rFonts w:eastAsia="仿宋_GB2312"/>
          <w:sz w:val="24"/>
          <w:szCs w:val="24"/>
        </w:rPr>
      </w:pPr>
      <w:r>
        <w:rPr>
          <w:rFonts w:eastAsia="仿宋_GB2312"/>
          <w:sz w:val="24"/>
          <w:szCs w:val="24"/>
        </w:rPr>
        <w:t>根据事件发展态势，根据现场情况分析，</w:t>
      </w:r>
      <w:r>
        <w:rPr>
          <w:rFonts w:hint="eastAsia" w:eastAsia="仿宋_GB2312"/>
          <w:sz w:val="24"/>
          <w:szCs w:val="24"/>
        </w:rPr>
        <w:t>加油站</w:t>
      </w:r>
      <w:r>
        <w:rPr>
          <w:rFonts w:eastAsia="仿宋_GB2312"/>
          <w:sz w:val="24"/>
          <w:szCs w:val="24"/>
        </w:rPr>
        <w:t>应急处置组提出预警结束建议，报</w:t>
      </w:r>
      <w:r>
        <w:rPr>
          <w:rFonts w:hint="eastAsia" w:eastAsia="仿宋_GB2312"/>
          <w:sz w:val="24"/>
          <w:szCs w:val="24"/>
        </w:rPr>
        <w:t>加油站</w:t>
      </w:r>
      <w:r>
        <w:rPr>
          <w:rFonts w:eastAsia="仿宋_GB2312"/>
          <w:sz w:val="24"/>
          <w:szCs w:val="24"/>
        </w:rPr>
        <w:t>应急指挥部，经应急总指挥批准后发布结束命令。</w:t>
      </w:r>
    </w:p>
    <w:p>
      <w:pPr>
        <w:pStyle w:val="6"/>
        <w:adjustRightInd w:val="0"/>
        <w:snapToGrid w:val="0"/>
        <w:rPr>
          <w:rFonts w:eastAsia="仿宋_GB2312"/>
          <w:sz w:val="28"/>
          <w:szCs w:val="28"/>
        </w:rPr>
      </w:pPr>
      <w:bookmarkStart w:id="374" w:name="_Toc2342"/>
      <w:bookmarkStart w:id="375" w:name="_Toc74856010"/>
      <w:r>
        <w:rPr>
          <w:rFonts w:eastAsia="仿宋_GB2312"/>
          <w:sz w:val="28"/>
          <w:szCs w:val="28"/>
        </w:rPr>
        <w:t>5.</w:t>
      </w:r>
      <w:r>
        <w:rPr>
          <w:rFonts w:hint="eastAsia" w:eastAsia="仿宋_GB2312"/>
          <w:sz w:val="28"/>
          <w:szCs w:val="28"/>
        </w:rPr>
        <w:t>6</w:t>
      </w:r>
      <w:r>
        <w:rPr>
          <w:rFonts w:eastAsia="仿宋_GB2312"/>
          <w:sz w:val="28"/>
          <w:szCs w:val="28"/>
        </w:rPr>
        <w:t>预警结束后行动</w:t>
      </w:r>
      <w:bookmarkEnd w:id="374"/>
      <w:bookmarkEnd w:id="375"/>
    </w:p>
    <w:p>
      <w:pPr>
        <w:spacing w:after="0" w:line="360" w:lineRule="auto"/>
        <w:ind w:firstLine="482"/>
        <w:jc w:val="both"/>
        <w:rPr>
          <w:rFonts w:eastAsia="仿宋_GB2312"/>
          <w:sz w:val="24"/>
          <w:szCs w:val="24"/>
        </w:rPr>
      </w:pPr>
      <w:r>
        <w:rPr>
          <w:rFonts w:eastAsia="仿宋_GB2312"/>
          <w:sz w:val="24"/>
          <w:szCs w:val="24"/>
        </w:rPr>
        <w:t>（1）预警结束后，应急</w:t>
      </w:r>
      <w:r>
        <w:rPr>
          <w:rFonts w:hint="eastAsia" w:eastAsia="仿宋_GB2312"/>
          <w:sz w:val="24"/>
          <w:szCs w:val="24"/>
        </w:rPr>
        <w:t>指挥</w:t>
      </w:r>
      <w:r>
        <w:rPr>
          <w:rFonts w:eastAsia="仿宋_GB2312"/>
          <w:sz w:val="24"/>
          <w:szCs w:val="24"/>
        </w:rPr>
        <w:t>办公室根据应急指挥部指示和实际情况，安排相关部门继续进行突发环境事件事态跟踪，直至事态隐患完全消除为止。</w:t>
      </w:r>
    </w:p>
    <w:p>
      <w:pPr>
        <w:spacing w:after="0" w:line="360" w:lineRule="auto"/>
        <w:ind w:firstLine="482"/>
        <w:jc w:val="both"/>
        <w:rPr>
          <w:rFonts w:eastAsia="仿宋_GB2312"/>
          <w:sz w:val="24"/>
          <w:szCs w:val="24"/>
        </w:rPr>
      </w:pPr>
      <w:r>
        <w:rPr>
          <w:rFonts w:eastAsia="仿宋_GB2312"/>
          <w:sz w:val="24"/>
          <w:szCs w:val="24"/>
        </w:rPr>
        <w:t>（2）应急</w:t>
      </w:r>
      <w:r>
        <w:rPr>
          <w:rFonts w:hint="eastAsia" w:eastAsia="仿宋_GB2312"/>
          <w:sz w:val="24"/>
          <w:szCs w:val="24"/>
        </w:rPr>
        <w:t>指挥</w:t>
      </w:r>
      <w:r>
        <w:rPr>
          <w:rFonts w:eastAsia="仿宋_GB2312"/>
          <w:sz w:val="24"/>
          <w:szCs w:val="24"/>
        </w:rPr>
        <w:t>办公室指导有关部门进行检查，查找可能引发突发环境事件的隐患，提出预防措施，明确落实责任，防止类似问题的重复出现。</w:t>
      </w:r>
    </w:p>
    <w:p>
      <w:pPr>
        <w:pStyle w:val="6"/>
        <w:rPr>
          <w:rFonts w:eastAsia="仿宋_GB2312"/>
          <w:sz w:val="28"/>
          <w:szCs w:val="28"/>
        </w:rPr>
      </w:pPr>
      <w:bookmarkStart w:id="376" w:name="_Toc768"/>
      <w:bookmarkStart w:id="377" w:name="_Toc74856011"/>
      <w:bookmarkStart w:id="378" w:name="_Toc26275"/>
      <w:r>
        <w:rPr>
          <w:rFonts w:eastAsia="仿宋_GB2312"/>
          <w:sz w:val="28"/>
          <w:szCs w:val="28"/>
        </w:rPr>
        <w:t>5.</w:t>
      </w:r>
      <w:r>
        <w:rPr>
          <w:rFonts w:hint="eastAsia" w:eastAsia="仿宋_GB2312"/>
          <w:sz w:val="28"/>
          <w:szCs w:val="28"/>
        </w:rPr>
        <w:t>7</w:t>
      </w:r>
      <w:r>
        <w:rPr>
          <w:rFonts w:eastAsia="仿宋_GB2312"/>
          <w:sz w:val="28"/>
          <w:szCs w:val="28"/>
        </w:rPr>
        <w:t>报警、通讯及联络方式</w:t>
      </w:r>
      <w:bookmarkEnd w:id="344"/>
      <w:bookmarkEnd w:id="345"/>
      <w:bookmarkEnd w:id="346"/>
      <w:bookmarkEnd w:id="376"/>
      <w:bookmarkEnd w:id="377"/>
      <w:bookmarkEnd w:id="378"/>
    </w:p>
    <w:p>
      <w:pPr>
        <w:pStyle w:val="7"/>
        <w:rPr>
          <w:rFonts w:eastAsia="仿宋_GB2312"/>
          <w:szCs w:val="28"/>
        </w:rPr>
      </w:pPr>
      <w:bookmarkStart w:id="379" w:name="_Toc29148"/>
      <w:bookmarkStart w:id="380" w:name="_Toc522025662"/>
      <w:bookmarkStart w:id="381" w:name="_Toc74856012"/>
      <w:bookmarkStart w:id="382" w:name="_Toc26130"/>
      <w:bookmarkStart w:id="383" w:name="_Toc466379479"/>
      <w:r>
        <w:rPr>
          <w:rFonts w:eastAsia="仿宋_GB2312"/>
          <w:szCs w:val="28"/>
        </w:rPr>
        <w:t>5.</w:t>
      </w:r>
      <w:r>
        <w:rPr>
          <w:rFonts w:hint="eastAsia" w:eastAsia="仿宋_GB2312"/>
          <w:szCs w:val="28"/>
        </w:rPr>
        <w:t>7</w:t>
      </w:r>
      <w:r>
        <w:rPr>
          <w:rFonts w:eastAsia="仿宋_GB2312"/>
          <w:szCs w:val="28"/>
        </w:rPr>
        <w:t>.1报警联络方式</w:t>
      </w:r>
      <w:bookmarkEnd w:id="379"/>
      <w:bookmarkEnd w:id="380"/>
      <w:bookmarkEnd w:id="381"/>
      <w:bookmarkEnd w:id="382"/>
      <w:bookmarkEnd w:id="383"/>
    </w:p>
    <w:p>
      <w:pPr>
        <w:spacing w:after="0" w:line="360" w:lineRule="auto"/>
        <w:ind w:firstLine="482"/>
        <w:jc w:val="both"/>
        <w:rPr>
          <w:rFonts w:ascii="仿宋" w:hAnsi="仿宋" w:eastAsia="仿宋" w:cs="仿宋"/>
          <w:sz w:val="24"/>
          <w:szCs w:val="24"/>
        </w:rPr>
      </w:pPr>
      <w:r>
        <w:rPr>
          <w:rFonts w:hint="eastAsia" w:ascii="仿宋" w:hAnsi="仿宋" w:eastAsia="仿宋" w:cs="仿宋"/>
          <w:sz w:val="24"/>
          <w:szCs w:val="24"/>
        </w:rPr>
        <w:t>加油站应急指挥部总指挥由</w:t>
      </w:r>
      <w:r>
        <w:rPr>
          <w:rFonts w:hint="eastAsia" w:ascii="仿宋" w:hAnsi="仿宋" w:eastAsia="仿宋" w:cs="仿宋"/>
          <w:sz w:val="24"/>
        </w:rPr>
        <w:t>站长</w:t>
      </w:r>
      <w:r>
        <w:rPr>
          <w:rFonts w:hint="eastAsia" w:ascii="仿宋" w:hAnsi="仿宋" w:eastAsia="仿宋" w:cs="仿宋"/>
          <w:sz w:val="24"/>
          <w:szCs w:val="24"/>
        </w:rPr>
        <w:t>吴玉娟（13508765250）担任。加油站设昼夜值班人员，当发现有隐患时，现场人员要第一时间拨打值班长和应急指挥办公室电话，值班长接到报告后，应立即向应急指挥部领导汇报。</w:t>
      </w:r>
    </w:p>
    <w:p>
      <w:pPr>
        <w:pStyle w:val="7"/>
        <w:rPr>
          <w:rFonts w:eastAsia="仿宋_GB2312"/>
          <w:szCs w:val="28"/>
        </w:rPr>
      </w:pPr>
      <w:bookmarkStart w:id="384" w:name="_Toc522025663"/>
      <w:bookmarkStart w:id="385" w:name="_Toc74856013"/>
      <w:bookmarkStart w:id="386" w:name="_Toc16315"/>
      <w:bookmarkStart w:id="387" w:name="_Toc32461"/>
      <w:bookmarkStart w:id="388" w:name="_Toc466379480"/>
      <w:r>
        <w:rPr>
          <w:rFonts w:eastAsia="仿宋_GB2312"/>
          <w:szCs w:val="28"/>
        </w:rPr>
        <w:t>5.</w:t>
      </w:r>
      <w:r>
        <w:rPr>
          <w:rFonts w:hint="eastAsia" w:eastAsia="仿宋_GB2312"/>
          <w:szCs w:val="28"/>
        </w:rPr>
        <w:t>7</w:t>
      </w:r>
      <w:r>
        <w:rPr>
          <w:rFonts w:eastAsia="仿宋_GB2312"/>
          <w:szCs w:val="28"/>
        </w:rPr>
        <w:t>.2内部通讯方式</w:t>
      </w:r>
      <w:bookmarkEnd w:id="384"/>
      <w:bookmarkEnd w:id="385"/>
      <w:bookmarkEnd w:id="386"/>
      <w:bookmarkEnd w:id="387"/>
      <w:bookmarkEnd w:id="388"/>
    </w:p>
    <w:p>
      <w:pPr>
        <w:spacing w:after="0" w:line="360" w:lineRule="auto"/>
        <w:ind w:firstLine="482"/>
        <w:jc w:val="both"/>
        <w:rPr>
          <w:rFonts w:ascii="仿宋" w:hAnsi="仿宋" w:eastAsia="仿宋" w:cs="仿宋"/>
          <w:sz w:val="24"/>
          <w:szCs w:val="24"/>
        </w:rPr>
      </w:pPr>
      <w:bookmarkStart w:id="389" w:name="_Toc522025664"/>
      <w:bookmarkStart w:id="390" w:name="_Toc466379481"/>
      <w:bookmarkStart w:id="391" w:name="_Toc16383"/>
      <w:r>
        <w:rPr>
          <w:rFonts w:hint="eastAsia" w:ascii="仿宋" w:hAnsi="仿宋" w:eastAsia="仿宋" w:cs="仿宋"/>
          <w:sz w:val="24"/>
          <w:szCs w:val="24"/>
        </w:rPr>
        <w:t>加油站应急救援人员之间采用电话进行联系，电话必须 24 小时开机，禁止随意更换电话号码。特殊情况下，电话号码发生变更，必须在变更之日起 48 小时内向站长和办公室主任报告，办公室主任必须在 24 小时内向各成员发布变更通知。当发生突发环境事件时，事件发现者应根据本预案相关要求立即报告。应急通讯录见附</w:t>
      </w:r>
      <w:r>
        <w:rPr>
          <w:rFonts w:hint="eastAsia" w:ascii="仿宋" w:hAnsi="仿宋" w:eastAsia="仿宋" w:cs="仿宋"/>
          <w:sz w:val="24"/>
          <w:szCs w:val="24"/>
          <w:lang w:val="en-US" w:eastAsia="zh-CN"/>
        </w:rPr>
        <w:t>件1</w:t>
      </w:r>
      <w:r>
        <w:rPr>
          <w:rFonts w:hint="eastAsia" w:ascii="仿宋" w:hAnsi="仿宋" w:eastAsia="仿宋" w:cs="仿宋"/>
          <w:sz w:val="24"/>
          <w:szCs w:val="24"/>
        </w:rPr>
        <w:t>：</w:t>
      </w:r>
      <w:r>
        <w:rPr>
          <w:rFonts w:hint="eastAsia" w:ascii="仿宋" w:hAnsi="仿宋" w:eastAsia="仿宋" w:cs="仿宋"/>
          <w:sz w:val="24"/>
          <w:szCs w:val="24"/>
          <w:lang w:val="en-US" w:eastAsia="zh-CN"/>
        </w:rPr>
        <w:t>突发环境事故内部联系清单</w:t>
      </w:r>
      <w:r>
        <w:rPr>
          <w:rFonts w:hint="eastAsia" w:ascii="仿宋" w:hAnsi="仿宋" w:eastAsia="仿宋" w:cs="仿宋"/>
          <w:sz w:val="24"/>
          <w:szCs w:val="24"/>
        </w:rPr>
        <w:t>。</w:t>
      </w:r>
    </w:p>
    <w:p>
      <w:pPr>
        <w:pStyle w:val="7"/>
        <w:rPr>
          <w:rFonts w:eastAsia="仿宋_GB2312"/>
          <w:szCs w:val="28"/>
        </w:rPr>
      </w:pPr>
      <w:bookmarkStart w:id="392" w:name="_Toc74856014"/>
      <w:bookmarkStart w:id="393" w:name="_Toc6645"/>
      <w:r>
        <w:rPr>
          <w:rFonts w:eastAsia="仿宋_GB2312"/>
          <w:szCs w:val="28"/>
        </w:rPr>
        <w:t>5.</w:t>
      </w:r>
      <w:r>
        <w:rPr>
          <w:rFonts w:hint="eastAsia" w:eastAsia="仿宋_GB2312"/>
          <w:szCs w:val="28"/>
        </w:rPr>
        <w:t>7</w:t>
      </w:r>
      <w:r>
        <w:rPr>
          <w:rFonts w:eastAsia="仿宋_GB2312"/>
          <w:szCs w:val="28"/>
        </w:rPr>
        <w:t>.3外部通讯方式</w:t>
      </w:r>
      <w:bookmarkEnd w:id="389"/>
      <w:bookmarkEnd w:id="390"/>
      <w:bookmarkEnd w:id="391"/>
      <w:bookmarkEnd w:id="392"/>
      <w:bookmarkEnd w:id="393"/>
    </w:p>
    <w:p>
      <w:pPr>
        <w:spacing w:after="0" w:line="360" w:lineRule="auto"/>
        <w:ind w:firstLine="482"/>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当发生突发环境事件超出内部应急救援力量，需要外界支援时，在应急指挥部的统一安排下向文山州生态环境局西畴分局、西畴县应急管理局等相关单位求救，请求外界支援。外部通讯方式见附件2 突发环境事故应急救援外部联系清单。</w:t>
      </w:r>
    </w:p>
    <w:p>
      <w:pPr>
        <w:spacing w:after="0" w:line="360" w:lineRule="auto"/>
        <w:ind w:firstLine="482"/>
        <w:jc w:val="both"/>
        <w:rPr>
          <w:rFonts w:hint="eastAsia" w:ascii="仿宋" w:hAnsi="仿宋" w:eastAsia="仿宋" w:cs="仿宋"/>
          <w:sz w:val="24"/>
          <w:szCs w:val="24"/>
          <w:lang w:val="en-US" w:eastAsia="zh-CN"/>
        </w:rPr>
        <w:sectPr>
          <w:footerReference r:id="rId8" w:type="default"/>
          <w:pgSz w:w="11906" w:h="16838"/>
          <w:pgMar w:top="1440" w:right="1800" w:bottom="1118" w:left="1800" w:header="708" w:footer="708" w:gutter="0"/>
          <w:cols w:space="720" w:num="1"/>
          <w:docGrid w:linePitch="360" w:charSpace="0"/>
        </w:sectPr>
      </w:pPr>
    </w:p>
    <w:p>
      <w:pPr>
        <w:pStyle w:val="5"/>
        <w:rPr>
          <w:rFonts w:eastAsia="仿宋_GB2312"/>
          <w:sz w:val="28"/>
          <w:szCs w:val="28"/>
        </w:rPr>
      </w:pPr>
      <w:bookmarkStart w:id="394" w:name="_Toc3252"/>
      <w:bookmarkStart w:id="395" w:name="_Toc22819"/>
      <w:bookmarkStart w:id="396" w:name="_Toc11133"/>
      <w:bookmarkStart w:id="397" w:name="_Toc466379482"/>
      <w:bookmarkStart w:id="398" w:name="_Toc522025665"/>
      <w:bookmarkStart w:id="399" w:name="_Toc74856015"/>
      <w:bookmarkStart w:id="400" w:name="OLE_LINK13"/>
      <w:bookmarkStart w:id="401" w:name="OLE_LINK12"/>
      <w:r>
        <w:rPr>
          <w:rFonts w:eastAsia="仿宋_GB2312"/>
          <w:sz w:val="28"/>
          <w:szCs w:val="28"/>
        </w:rPr>
        <w:t>6</w:t>
      </w:r>
      <w:r>
        <w:rPr>
          <w:rFonts w:hint="eastAsia" w:eastAsia="仿宋_GB2312"/>
          <w:sz w:val="28"/>
          <w:szCs w:val="28"/>
        </w:rPr>
        <w:t>.</w:t>
      </w:r>
      <w:r>
        <w:rPr>
          <w:rFonts w:eastAsia="仿宋_GB2312"/>
          <w:sz w:val="28"/>
          <w:szCs w:val="28"/>
        </w:rPr>
        <w:t>信息报告与通报</w:t>
      </w:r>
      <w:bookmarkEnd w:id="394"/>
      <w:bookmarkEnd w:id="395"/>
      <w:bookmarkEnd w:id="396"/>
      <w:bookmarkEnd w:id="397"/>
      <w:bookmarkEnd w:id="398"/>
      <w:bookmarkEnd w:id="399"/>
    </w:p>
    <w:p>
      <w:pPr>
        <w:pStyle w:val="6"/>
        <w:rPr>
          <w:rFonts w:eastAsia="仿宋_GB2312"/>
          <w:sz w:val="28"/>
          <w:szCs w:val="28"/>
        </w:rPr>
      </w:pPr>
      <w:bookmarkStart w:id="402" w:name="_Toc522025666"/>
      <w:bookmarkStart w:id="403" w:name="_Toc26194"/>
      <w:bookmarkStart w:id="404" w:name="_Toc466379483"/>
      <w:bookmarkStart w:id="405" w:name="_Toc26516"/>
      <w:bookmarkStart w:id="406" w:name="_Toc74856016"/>
      <w:bookmarkStart w:id="407" w:name="_Toc11265"/>
      <w:r>
        <w:rPr>
          <w:rFonts w:eastAsia="仿宋_GB2312"/>
          <w:sz w:val="28"/>
          <w:szCs w:val="28"/>
        </w:rPr>
        <w:t>6.1内部报告</w:t>
      </w:r>
      <w:bookmarkEnd w:id="402"/>
      <w:bookmarkEnd w:id="403"/>
      <w:bookmarkEnd w:id="404"/>
      <w:bookmarkEnd w:id="405"/>
      <w:bookmarkEnd w:id="406"/>
      <w:bookmarkEnd w:id="407"/>
    </w:p>
    <w:p>
      <w:pPr>
        <w:widowControl w:val="0"/>
        <w:spacing w:after="0" w:line="360" w:lineRule="auto"/>
        <w:ind w:firstLine="480"/>
        <w:jc w:val="both"/>
        <w:rPr>
          <w:rFonts w:eastAsia="仿宋_GB2312"/>
          <w:sz w:val="24"/>
          <w:szCs w:val="24"/>
        </w:rPr>
      </w:pPr>
      <w:bookmarkStart w:id="408" w:name="_Toc522025667"/>
      <w:bookmarkStart w:id="409" w:name="_Toc466379484"/>
      <w:r>
        <w:rPr>
          <w:rFonts w:eastAsia="仿宋_GB2312"/>
          <w:sz w:val="24"/>
          <w:szCs w:val="24"/>
        </w:rPr>
        <w:t>当发生环境事件或发现有隐患时，应在第一时间通知值班人员或公司应急指挥部。</w:t>
      </w:r>
    </w:p>
    <w:p>
      <w:pPr>
        <w:pStyle w:val="7"/>
        <w:rPr>
          <w:rFonts w:eastAsia="仿宋_GB2312"/>
          <w:szCs w:val="28"/>
        </w:rPr>
      </w:pPr>
      <w:bookmarkStart w:id="410" w:name="_Toc74856017"/>
      <w:bookmarkStart w:id="411" w:name="_Toc14166"/>
      <w:bookmarkStart w:id="412" w:name="_Toc7806"/>
      <w:r>
        <w:rPr>
          <w:rFonts w:eastAsia="仿宋_GB2312"/>
          <w:szCs w:val="28"/>
        </w:rPr>
        <w:t>6.1.1事件信息报告</w:t>
      </w:r>
      <w:bookmarkEnd w:id="408"/>
      <w:bookmarkEnd w:id="409"/>
      <w:bookmarkEnd w:id="410"/>
      <w:bookmarkEnd w:id="411"/>
      <w:bookmarkEnd w:id="412"/>
    </w:p>
    <w:p>
      <w:pPr>
        <w:pStyle w:val="73"/>
        <w:spacing w:after="0"/>
        <w:ind w:firstLine="480"/>
        <w:rPr>
          <w:sz w:val="24"/>
          <w:szCs w:val="24"/>
        </w:rPr>
      </w:pPr>
      <w:r>
        <w:rPr>
          <w:rFonts w:hint="eastAsia"/>
          <w:sz w:val="24"/>
          <w:szCs w:val="24"/>
        </w:rPr>
        <w:t>（1）发生黄色</w:t>
      </w:r>
      <w:r>
        <w:rPr>
          <w:sz w:val="24"/>
          <w:szCs w:val="24"/>
        </w:rPr>
        <w:t>预警</w:t>
      </w:r>
      <w:r>
        <w:rPr>
          <w:rFonts w:hint="eastAsia"/>
          <w:sz w:val="24"/>
          <w:szCs w:val="24"/>
        </w:rPr>
        <w:t>（岗位级）环境事件:</w:t>
      </w:r>
    </w:p>
    <w:p>
      <w:pPr>
        <w:pStyle w:val="73"/>
        <w:spacing w:after="0"/>
        <w:ind w:firstLine="480"/>
        <w:rPr>
          <w:sz w:val="24"/>
          <w:szCs w:val="24"/>
        </w:rPr>
      </w:pPr>
      <w:r>
        <w:rPr>
          <w:rFonts w:hint="eastAsia"/>
          <w:sz w:val="24"/>
          <w:szCs w:val="24"/>
        </w:rPr>
        <w:t>事件发现人员应立即汇报值班人员或相关领导，值班人员或相关领导收到事件信息后立即向应急指挥办公室汇报，并组织救援排险。事件排除（应急救援结束），将整个事件原因及过程上报应急指挥部。</w:t>
      </w:r>
    </w:p>
    <w:p>
      <w:pPr>
        <w:pStyle w:val="73"/>
        <w:spacing w:after="0"/>
        <w:ind w:firstLine="480"/>
        <w:rPr>
          <w:sz w:val="24"/>
          <w:szCs w:val="24"/>
        </w:rPr>
      </w:pPr>
      <w:r>
        <w:rPr>
          <w:rFonts w:hint="eastAsia"/>
          <w:sz w:val="24"/>
          <w:szCs w:val="24"/>
        </w:rPr>
        <w:t>（2）发生橙色</w:t>
      </w:r>
      <w:r>
        <w:rPr>
          <w:sz w:val="24"/>
          <w:szCs w:val="24"/>
        </w:rPr>
        <w:t>预警（</w:t>
      </w:r>
      <w:r>
        <w:rPr>
          <w:rFonts w:hint="eastAsia"/>
          <w:sz w:val="24"/>
          <w:szCs w:val="24"/>
        </w:rPr>
        <w:t>站</w:t>
      </w:r>
      <w:r>
        <w:rPr>
          <w:sz w:val="24"/>
          <w:szCs w:val="24"/>
        </w:rPr>
        <w:t>级）</w:t>
      </w:r>
      <w:r>
        <w:rPr>
          <w:rFonts w:hint="eastAsia"/>
          <w:sz w:val="24"/>
          <w:szCs w:val="24"/>
        </w:rPr>
        <w:t>环境事件:</w:t>
      </w:r>
    </w:p>
    <w:p>
      <w:pPr>
        <w:pStyle w:val="73"/>
        <w:spacing w:after="0"/>
        <w:ind w:firstLine="480"/>
        <w:rPr>
          <w:sz w:val="24"/>
          <w:szCs w:val="24"/>
        </w:rPr>
      </w:pPr>
      <w:r>
        <w:rPr>
          <w:rFonts w:hint="eastAsia"/>
          <w:sz w:val="24"/>
          <w:szCs w:val="24"/>
        </w:rPr>
        <w:t>事件发现人员应立即汇报值班人员或相关领导，值班人员或相关领导收到事件信息后立即向应急指挥部汇报，并组织救援排险。事件排除（应急救援结束），将整个事件原因及过程上报</w:t>
      </w:r>
      <w:r>
        <w:rPr>
          <w:sz w:val="24"/>
          <w:szCs w:val="24"/>
        </w:rPr>
        <w:t>中国石化销售股份有限公司云南文山石油分公司</w:t>
      </w:r>
      <w:r>
        <w:rPr>
          <w:rFonts w:hint="eastAsia"/>
          <w:sz w:val="24"/>
          <w:szCs w:val="24"/>
        </w:rPr>
        <w:t>。</w:t>
      </w:r>
    </w:p>
    <w:p>
      <w:pPr>
        <w:pStyle w:val="73"/>
        <w:spacing w:after="0"/>
        <w:ind w:firstLine="480"/>
        <w:rPr>
          <w:sz w:val="24"/>
          <w:szCs w:val="24"/>
        </w:rPr>
      </w:pPr>
      <w:r>
        <w:rPr>
          <w:rFonts w:hint="eastAsia"/>
          <w:sz w:val="24"/>
          <w:szCs w:val="24"/>
        </w:rPr>
        <w:t>（3）发生红色</w:t>
      </w:r>
      <w:r>
        <w:rPr>
          <w:sz w:val="24"/>
          <w:szCs w:val="24"/>
        </w:rPr>
        <w:t>预警（</w:t>
      </w:r>
      <w:r>
        <w:rPr>
          <w:rFonts w:hint="eastAsia"/>
          <w:sz w:val="24"/>
          <w:szCs w:val="24"/>
        </w:rPr>
        <w:t>社会级</w:t>
      </w:r>
      <w:r>
        <w:rPr>
          <w:sz w:val="24"/>
          <w:szCs w:val="24"/>
        </w:rPr>
        <w:t>）</w:t>
      </w:r>
      <w:r>
        <w:rPr>
          <w:rFonts w:hint="eastAsia"/>
          <w:sz w:val="24"/>
          <w:szCs w:val="24"/>
        </w:rPr>
        <w:t>环境级事件:</w:t>
      </w:r>
    </w:p>
    <w:p>
      <w:pPr>
        <w:pStyle w:val="73"/>
        <w:spacing w:after="0"/>
        <w:ind w:firstLine="480"/>
        <w:rPr>
          <w:sz w:val="24"/>
          <w:szCs w:val="24"/>
        </w:rPr>
      </w:pPr>
      <w:r>
        <w:rPr>
          <w:rFonts w:hint="eastAsia"/>
          <w:sz w:val="24"/>
          <w:szCs w:val="24"/>
        </w:rPr>
        <w:t>事件发现人员应立即汇报值班人员或相关领导，值班人员或相关领导收到事件信息后立即向应急指挥部汇报，应急指挥部立即通报</w:t>
      </w:r>
      <w:r>
        <w:rPr>
          <w:sz w:val="24"/>
          <w:szCs w:val="24"/>
        </w:rPr>
        <w:t>中国石化销售股份有限公司云南文山石油分公司</w:t>
      </w:r>
      <w:r>
        <w:rPr>
          <w:rFonts w:hint="eastAsia"/>
          <w:sz w:val="24"/>
          <w:szCs w:val="24"/>
        </w:rPr>
        <w:t>，同时根据事发情形立即向文山州生态环境局西畴分局及相关政府部门报告事件情况，请求外部力量应急救援。</w:t>
      </w:r>
    </w:p>
    <w:p>
      <w:pPr>
        <w:pStyle w:val="7"/>
        <w:rPr>
          <w:rFonts w:eastAsia="仿宋_GB2312"/>
          <w:szCs w:val="28"/>
        </w:rPr>
      </w:pPr>
      <w:bookmarkStart w:id="413" w:name="_Toc74856018"/>
      <w:bookmarkStart w:id="414" w:name="_Toc4981"/>
      <w:bookmarkStart w:id="415" w:name="_Toc466379485"/>
      <w:bookmarkStart w:id="416" w:name="_Toc16506"/>
      <w:bookmarkStart w:id="417" w:name="_Toc522025668"/>
      <w:r>
        <w:rPr>
          <w:rFonts w:eastAsia="仿宋_GB2312"/>
          <w:szCs w:val="28"/>
        </w:rPr>
        <w:t>6.1.2事件信息通报</w:t>
      </w:r>
      <w:bookmarkEnd w:id="413"/>
      <w:bookmarkEnd w:id="414"/>
      <w:bookmarkEnd w:id="415"/>
      <w:bookmarkEnd w:id="416"/>
      <w:bookmarkEnd w:id="417"/>
    </w:p>
    <w:p>
      <w:pPr>
        <w:widowControl w:val="0"/>
        <w:spacing w:after="0" w:line="360" w:lineRule="auto"/>
        <w:ind w:firstLine="480"/>
        <w:jc w:val="both"/>
        <w:rPr>
          <w:rFonts w:eastAsia="仿宋_GB2312"/>
          <w:sz w:val="24"/>
          <w:szCs w:val="24"/>
        </w:rPr>
      </w:pPr>
      <w:bookmarkStart w:id="418" w:name="_Toc466379486"/>
      <w:bookmarkStart w:id="419" w:name="_Toc22147"/>
      <w:bookmarkStart w:id="420" w:name="_Toc522025669"/>
      <w:r>
        <w:rPr>
          <w:rFonts w:eastAsia="仿宋_GB2312"/>
          <w:sz w:val="24"/>
          <w:szCs w:val="24"/>
        </w:rPr>
        <w:t>若事故严重，需要公司附近人员、车辆疏散时，应通知</w:t>
      </w:r>
      <w:r>
        <w:rPr>
          <w:rFonts w:hint="eastAsia" w:eastAsia="仿宋_GB2312"/>
          <w:sz w:val="24"/>
          <w:szCs w:val="24"/>
        </w:rPr>
        <w:t>西畴县</w:t>
      </w:r>
      <w:r>
        <w:rPr>
          <w:rFonts w:eastAsia="仿宋_GB2312"/>
          <w:sz w:val="24"/>
          <w:szCs w:val="24"/>
        </w:rPr>
        <w:t>公安局、消防大队等，应急指挥部配合政府有关部门执行疏散计划，应急总指挥对外发布事件情况公告。</w:t>
      </w:r>
    </w:p>
    <w:p>
      <w:pPr>
        <w:widowControl w:val="0"/>
        <w:spacing w:after="0" w:line="360" w:lineRule="auto"/>
        <w:jc w:val="both"/>
        <w:outlineLvl w:val="3"/>
        <w:rPr>
          <w:rFonts w:eastAsia="仿宋_GB2312"/>
          <w:b/>
          <w:kern w:val="2"/>
          <w:szCs w:val="20"/>
        </w:rPr>
      </w:pPr>
      <w:r>
        <w:rPr>
          <w:rFonts w:eastAsia="仿宋_GB2312"/>
          <w:b/>
          <w:kern w:val="2"/>
          <w:szCs w:val="20"/>
        </w:rPr>
        <w:t>6.1.2.1通知协议单位协助应急救援</w:t>
      </w:r>
    </w:p>
    <w:p>
      <w:pPr>
        <w:widowControl w:val="0"/>
        <w:spacing w:after="0" w:line="360" w:lineRule="auto"/>
        <w:ind w:firstLine="480"/>
        <w:rPr>
          <w:rFonts w:eastAsia="仿宋_GB2312"/>
          <w:sz w:val="24"/>
          <w:szCs w:val="24"/>
        </w:rPr>
      </w:pPr>
      <w:r>
        <w:rPr>
          <w:rFonts w:eastAsia="仿宋_GB2312"/>
          <w:sz w:val="24"/>
          <w:szCs w:val="24"/>
        </w:rPr>
        <w:t>公司在发生突发环境事故后，半个小时内由应急指挥办公室向协议单位传递事件情况、前期处置情况、需要协议单位配合的内容（应急物资和人员需求等）。</w:t>
      </w:r>
    </w:p>
    <w:p>
      <w:pPr>
        <w:widowControl w:val="0"/>
        <w:spacing w:after="0" w:line="360" w:lineRule="auto"/>
        <w:outlineLvl w:val="3"/>
        <w:rPr>
          <w:rFonts w:eastAsia="仿宋_GB2312"/>
          <w:b/>
          <w:kern w:val="2"/>
          <w:szCs w:val="20"/>
        </w:rPr>
      </w:pPr>
      <w:r>
        <w:rPr>
          <w:rFonts w:eastAsia="仿宋_GB2312"/>
          <w:b/>
          <w:kern w:val="2"/>
          <w:szCs w:val="20"/>
        </w:rPr>
        <w:t>6.1.2.2向事发地人民政府和环保部门报告</w:t>
      </w:r>
    </w:p>
    <w:p>
      <w:pPr>
        <w:widowControl w:val="0"/>
        <w:adjustRightInd/>
        <w:snapToGrid/>
        <w:spacing w:after="0" w:line="360" w:lineRule="auto"/>
        <w:ind w:firstLine="480"/>
        <w:rPr>
          <w:rFonts w:eastAsia="仿宋_GB2312"/>
          <w:sz w:val="24"/>
          <w:szCs w:val="24"/>
        </w:rPr>
      </w:pPr>
      <w:r>
        <w:rPr>
          <w:rFonts w:eastAsia="仿宋_GB2312"/>
          <w:sz w:val="24"/>
          <w:szCs w:val="24"/>
        </w:rPr>
        <w:t>一旦确认事故发生时，</w:t>
      </w:r>
      <w:r>
        <w:rPr>
          <w:rFonts w:hint="eastAsia" w:eastAsia="仿宋_GB2312"/>
          <w:sz w:val="24"/>
          <w:szCs w:val="24"/>
        </w:rPr>
        <w:t>加油站</w:t>
      </w:r>
      <w:r>
        <w:rPr>
          <w:rFonts w:eastAsia="仿宋_GB2312"/>
          <w:sz w:val="24"/>
          <w:szCs w:val="24"/>
        </w:rPr>
        <w:t>不可控的情况下，半个小时内向</w:t>
      </w:r>
      <w:r>
        <w:rPr>
          <w:rFonts w:hint="eastAsia" w:eastAsia="仿宋_GB2312"/>
          <w:sz w:val="24"/>
          <w:szCs w:val="24"/>
        </w:rPr>
        <w:t>西畴县</w:t>
      </w:r>
      <w:r>
        <w:rPr>
          <w:rFonts w:eastAsia="仿宋_GB2312"/>
          <w:sz w:val="24"/>
          <w:szCs w:val="24"/>
        </w:rPr>
        <w:t>人民政府及其相关部门报告（如环保、公安消防、水务、卫生等部门），报告通常包括但不限于以下几点内容：</w:t>
      </w:r>
    </w:p>
    <w:p>
      <w:pPr>
        <w:widowControl w:val="0"/>
        <w:adjustRightInd/>
        <w:snapToGrid/>
        <w:spacing w:after="0" w:line="360" w:lineRule="auto"/>
        <w:ind w:firstLine="480"/>
        <w:rPr>
          <w:rFonts w:eastAsia="仿宋_GB2312"/>
          <w:sz w:val="24"/>
          <w:szCs w:val="24"/>
        </w:rPr>
      </w:pPr>
      <w:r>
        <w:rPr>
          <w:rFonts w:eastAsia="仿宋_GB2312"/>
          <w:sz w:val="24"/>
          <w:szCs w:val="24"/>
        </w:rPr>
        <w:t>（1）发生事件的单位名称和地址；</w:t>
      </w:r>
    </w:p>
    <w:p>
      <w:pPr>
        <w:widowControl w:val="0"/>
        <w:adjustRightInd/>
        <w:snapToGrid/>
        <w:spacing w:after="0" w:line="360" w:lineRule="auto"/>
        <w:ind w:firstLine="480"/>
        <w:rPr>
          <w:rFonts w:eastAsia="仿宋_GB2312"/>
          <w:sz w:val="24"/>
          <w:szCs w:val="24"/>
        </w:rPr>
      </w:pPr>
      <w:r>
        <w:rPr>
          <w:rFonts w:eastAsia="仿宋_GB2312"/>
          <w:sz w:val="24"/>
          <w:szCs w:val="24"/>
        </w:rPr>
        <w:t>（2）事件发生的时间和具体位置；</w:t>
      </w:r>
    </w:p>
    <w:p>
      <w:pPr>
        <w:widowControl w:val="0"/>
        <w:adjustRightInd/>
        <w:snapToGrid/>
        <w:spacing w:after="0" w:line="360" w:lineRule="auto"/>
        <w:ind w:firstLine="480"/>
        <w:rPr>
          <w:rFonts w:eastAsia="仿宋_GB2312"/>
          <w:sz w:val="24"/>
          <w:szCs w:val="24"/>
        </w:rPr>
      </w:pPr>
      <w:r>
        <w:rPr>
          <w:rFonts w:eastAsia="仿宋_GB2312"/>
          <w:sz w:val="24"/>
          <w:szCs w:val="24"/>
        </w:rPr>
        <w:t>（3）事件类型：例如有毒有害气体中毒事件、废水非正常排放事件、泄漏、火灾、爆炸等；</w:t>
      </w:r>
    </w:p>
    <w:p>
      <w:pPr>
        <w:widowControl w:val="0"/>
        <w:adjustRightInd/>
        <w:snapToGrid/>
        <w:spacing w:after="0" w:line="360" w:lineRule="auto"/>
        <w:ind w:firstLine="480"/>
        <w:rPr>
          <w:rFonts w:eastAsia="仿宋_GB2312"/>
          <w:sz w:val="24"/>
          <w:szCs w:val="24"/>
        </w:rPr>
      </w:pPr>
      <w:bookmarkStart w:id="421" w:name="_Toc72068731"/>
      <w:r>
        <w:rPr>
          <w:rFonts w:eastAsia="仿宋_GB2312"/>
          <w:sz w:val="24"/>
          <w:szCs w:val="24"/>
        </w:rPr>
        <w:t>（4）主要污染物特征、污染物质的量；</w:t>
      </w:r>
      <w:bookmarkEnd w:id="421"/>
    </w:p>
    <w:p>
      <w:pPr>
        <w:widowControl w:val="0"/>
        <w:adjustRightInd/>
        <w:snapToGrid/>
        <w:spacing w:after="0" w:line="360" w:lineRule="auto"/>
        <w:ind w:firstLine="480"/>
        <w:rPr>
          <w:rFonts w:eastAsia="仿宋_GB2312"/>
          <w:sz w:val="24"/>
          <w:szCs w:val="24"/>
        </w:rPr>
      </w:pPr>
      <w:r>
        <w:rPr>
          <w:rFonts w:eastAsia="仿宋_GB2312"/>
          <w:sz w:val="24"/>
          <w:szCs w:val="24"/>
        </w:rPr>
        <w:t>（5）事件发生的原因、过程、进展情况及采取的应急措施等基本情况以及仍需进一步采取应急措施和预防措施的建议；</w:t>
      </w:r>
    </w:p>
    <w:p>
      <w:pPr>
        <w:widowControl w:val="0"/>
        <w:adjustRightInd/>
        <w:snapToGrid/>
        <w:spacing w:after="0" w:line="360" w:lineRule="auto"/>
        <w:ind w:firstLine="480"/>
        <w:rPr>
          <w:rFonts w:eastAsia="仿宋_GB2312"/>
          <w:sz w:val="24"/>
          <w:szCs w:val="24"/>
        </w:rPr>
      </w:pPr>
      <w:r>
        <w:rPr>
          <w:rFonts w:eastAsia="仿宋_GB2312"/>
          <w:sz w:val="24"/>
          <w:szCs w:val="24"/>
        </w:rPr>
        <w:t>（6）涉及到有毒有害气体事故应重点报告泄漏物质名称、泄漏量、影响范围、近地面风向、疏散建议；</w:t>
      </w:r>
    </w:p>
    <w:p>
      <w:pPr>
        <w:widowControl w:val="0"/>
        <w:adjustRightInd/>
        <w:snapToGrid/>
        <w:spacing w:after="0" w:line="360" w:lineRule="auto"/>
        <w:ind w:firstLine="480"/>
        <w:rPr>
          <w:rFonts w:eastAsia="仿宋_GB2312"/>
          <w:sz w:val="24"/>
          <w:szCs w:val="24"/>
        </w:rPr>
      </w:pPr>
      <w:r>
        <w:rPr>
          <w:rFonts w:eastAsia="仿宋_GB2312"/>
          <w:sz w:val="24"/>
          <w:szCs w:val="24"/>
        </w:rPr>
        <w:t>（7）已污染的范围、潜在的危害程度、转化方式趋向，并提供可能受影响的敏感点分布示意图；</w:t>
      </w:r>
    </w:p>
    <w:p>
      <w:pPr>
        <w:widowControl w:val="0"/>
        <w:adjustRightInd/>
        <w:snapToGrid/>
        <w:spacing w:after="0" w:line="360" w:lineRule="auto"/>
        <w:ind w:firstLine="480"/>
        <w:rPr>
          <w:rFonts w:eastAsia="仿宋_GB2312"/>
          <w:sz w:val="24"/>
          <w:szCs w:val="24"/>
        </w:rPr>
      </w:pPr>
      <w:r>
        <w:rPr>
          <w:rFonts w:eastAsia="仿宋_GB2312"/>
          <w:sz w:val="24"/>
          <w:szCs w:val="24"/>
        </w:rPr>
        <w:t>（8）已监测的数据及仍需进一步监测的方案建议等；</w:t>
      </w:r>
    </w:p>
    <w:p>
      <w:pPr>
        <w:widowControl w:val="0"/>
        <w:adjustRightInd/>
        <w:snapToGrid/>
        <w:spacing w:after="0" w:line="360" w:lineRule="auto"/>
        <w:ind w:firstLine="480"/>
        <w:rPr>
          <w:rFonts w:eastAsia="仿宋_GB2312"/>
          <w:sz w:val="24"/>
          <w:szCs w:val="24"/>
        </w:rPr>
      </w:pPr>
      <w:r>
        <w:rPr>
          <w:rFonts w:eastAsia="仿宋_GB2312"/>
          <w:sz w:val="24"/>
          <w:szCs w:val="24"/>
        </w:rPr>
        <w:t>（9）联系人姓名和电话。</w:t>
      </w:r>
    </w:p>
    <w:p>
      <w:pPr>
        <w:pStyle w:val="77"/>
        <w:spacing w:after="0"/>
      </w:pPr>
      <w:r>
        <w:t>6.1.2.3向邻近单位通报</w:t>
      </w:r>
    </w:p>
    <w:p>
      <w:pPr>
        <w:widowControl w:val="0"/>
        <w:spacing w:after="0" w:line="360" w:lineRule="auto"/>
        <w:ind w:firstLine="480"/>
        <w:jc w:val="both"/>
        <w:rPr>
          <w:rFonts w:eastAsia="仿宋_GB2312"/>
          <w:sz w:val="24"/>
          <w:szCs w:val="24"/>
        </w:rPr>
      </w:pPr>
      <w:r>
        <w:rPr>
          <w:rFonts w:eastAsia="仿宋_GB2312"/>
          <w:sz w:val="24"/>
          <w:szCs w:val="24"/>
        </w:rPr>
        <w:t>根据实际情况，应急指挥办公室应在事件发生5分钟内，向</w:t>
      </w:r>
      <w:r>
        <w:rPr>
          <w:rFonts w:hint="eastAsia" w:eastAsia="仿宋_GB2312"/>
          <w:sz w:val="24"/>
          <w:szCs w:val="24"/>
        </w:rPr>
        <w:t>西畴县人民政府</w:t>
      </w:r>
      <w:r>
        <w:rPr>
          <w:rFonts w:eastAsia="仿宋_GB2312"/>
          <w:sz w:val="24"/>
          <w:szCs w:val="24"/>
        </w:rPr>
        <w:t>报告，在政府授权的情况下自行或协助政府向公司周边邻近单位、社区、受影响区域人群通报事件信息，发出警报。通报方式可以采取电话或现场口头通知，并拍照或录音为证。如果决定疏散，应当通知居民避难所位置和疏散路线。</w:t>
      </w:r>
    </w:p>
    <w:p>
      <w:pPr>
        <w:pStyle w:val="7"/>
        <w:rPr>
          <w:rFonts w:eastAsia="仿宋_GB2312"/>
          <w:szCs w:val="28"/>
        </w:rPr>
      </w:pPr>
      <w:bookmarkStart w:id="422" w:name="_Toc32265"/>
      <w:bookmarkStart w:id="423" w:name="_Toc74856019"/>
      <w:r>
        <w:rPr>
          <w:rFonts w:eastAsia="仿宋_GB2312"/>
          <w:szCs w:val="28"/>
        </w:rPr>
        <w:t>6.1.3电话通报及联系内容</w:t>
      </w:r>
      <w:bookmarkEnd w:id="418"/>
      <w:bookmarkEnd w:id="419"/>
      <w:bookmarkEnd w:id="420"/>
      <w:bookmarkEnd w:id="422"/>
      <w:bookmarkEnd w:id="423"/>
    </w:p>
    <w:p>
      <w:pPr>
        <w:widowControl w:val="0"/>
        <w:spacing w:after="0" w:line="360" w:lineRule="auto"/>
        <w:ind w:firstLine="480"/>
        <w:jc w:val="both"/>
        <w:rPr>
          <w:rFonts w:eastAsia="仿宋_GB2312"/>
          <w:sz w:val="24"/>
          <w:szCs w:val="24"/>
        </w:rPr>
      </w:pPr>
      <w:r>
        <w:rPr>
          <w:rFonts w:eastAsia="仿宋_GB2312"/>
          <w:sz w:val="24"/>
          <w:szCs w:val="24"/>
        </w:rPr>
        <w:t>电话通知内容必须清楚、简明。注意内容包括：</w:t>
      </w:r>
    </w:p>
    <w:p>
      <w:pPr>
        <w:widowControl w:val="0"/>
        <w:spacing w:after="0" w:line="360" w:lineRule="auto"/>
        <w:ind w:firstLine="480"/>
        <w:jc w:val="both"/>
        <w:rPr>
          <w:rFonts w:eastAsia="仿宋_GB2312"/>
          <w:sz w:val="24"/>
          <w:szCs w:val="24"/>
        </w:rPr>
      </w:pPr>
      <w:r>
        <w:rPr>
          <w:rFonts w:eastAsia="仿宋_GB2312"/>
          <w:sz w:val="24"/>
          <w:szCs w:val="24"/>
        </w:rPr>
        <w:t>（1）通报人姓名</w:t>
      </w:r>
    </w:p>
    <w:p>
      <w:pPr>
        <w:widowControl w:val="0"/>
        <w:spacing w:after="0" w:line="360" w:lineRule="auto"/>
        <w:ind w:firstLine="480"/>
        <w:jc w:val="both"/>
        <w:rPr>
          <w:rFonts w:eastAsia="仿宋_GB2312"/>
          <w:sz w:val="24"/>
          <w:szCs w:val="24"/>
        </w:rPr>
      </w:pPr>
      <w:r>
        <w:rPr>
          <w:rFonts w:eastAsia="仿宋_GB2312"/>
          <w:sz w:val="24"/>
          <w:szCs w:val="24"/>
        </w:rPr>
        <w:t>（2）污染事件发生时间、地点、类型</w:t>
      </w:r>
    </w:p>
    <w:p>
      <w:pPr>
        <w:widowControl w:val="0"/>
        <w:spacing w:after="0" w:line="360" w:lineRule="auto"/>
        <w:ind w:firstLine="480"/>
        <w:jc w:val="both"/>
        <w:rPr>
          <w:rFonts w:eastAsia="仿宋_GB2312"/>
          <w:sz w:val="24"/>
          <w:szCs w:val="24"/>
        </w:rPr>
      </w:pPr>
      <w:r>
        <w:rPr>
          <w:rFonts w:eastAsia="仿宋_GB2312"/>
          <w:sz w:val="24"/>
          <w:szCs w:val="24"/>
        </w:rPr>
        <w:t>（3）意外状况描述</w:t>
      </w:r>
    </w:p>
    <w:p>
      <w:pPr>
        <w:widowControl w:val="0"/>
        <w:spacing w:after="0" w:line="360" w:lineRule="auto"/>
        <w:ind w:firstLine="480"/>
        <w:jc w:val="both"/>
        <w:rPr>
          <w:rFonts w:eastAsia="仿宋_GB2312"/>
          <w:sz w:val="24"/>
          <w:szCs w:val="24"/>
        </w:rPr>
      </w:pPr>
      <w:r>
        <w:rPr>
          <w:rFonts w:eastAsia="仿宋_GB2312"/>
          <w:sz w:val="24"/>
          <w:szCs w:val="24"/>
        </w:rPr>
        <w:t>（4）事件报告</w:t>
      </w:r>
    </w:p>
    <w:p>
      <w:pPr>
        <w:widowControl w:val="0"/>
        <w:spacing w:after="0" w:line="360" w:lineRule="auto"/>
        <w:ind w:firstLine="480"/>
        <w:jc w:val="both"/>
        <w:rPr>
          <w:rFonts w:eastAsia="仿宋_GB2312"/>
          <w:sz w:val="24"/>
          <w:szCs w:val="24"/>
        </w:rPr>
      </w:pPr>
      <w:r>
        <w:rPr>
          <w:rFonts w:eastAsia="仿宋_GB2312"/>
          <w:sz w:val="24"/>
          <w:szCs w:val="24"/>
        </w:rPr>
        <w:t>（5）处置措施</w:t>
      </w:r>
    </w:p>
    <w:p>
      <w:pPr>
        <w:widowControl w:val="0"/>
        <w:spacing w:after="0" w:line="360" w:lineRule="auto"/>
        <w:ind w:firstLine="480"/>
        <w:jc w:val="both"/>
        <w:rPr>
          <w:rFonts w:eastAsia="仿宋_GB2312"/>
          <w:sz w:val="24"/>
          <w:szCs w:val="24"/>
        </w:rPr>
      </w:pPr>
      <w:r>
        <w:rPr>
          <w:rFonts w:eastAsia="仿宋_GB2312"/>
          <w:sz w:val="24"/>
          <w:szCs w:val="24"/>
        </w:rPr>
        <w:t>（6）其他事项</w:t>
      </w:r>
    </w:p>
    <w:p>
      <w:pPr>
        <w:widowControl w:val="0"/>
        <w:ind w:firstLine="560"/>
        <w:rPr>
          <w:rFonts w:eastAsia="仿宋_GB2312"/>
          <w:sz w:val="20"/>
        </w:rPr>
      </w:pPr>
    </w:p>
    <w:p>
      <w:pPr>
        <w:widowControl w:val="0"/>
        <w:ind w:firstLine="560"/>
        <w:rPr>
          <w:rFonts w:eastAsia="仿宋_GB2312"/>
          <w:sz w:val="20"/>
        </w:rPr>
      </w:pPr>
      <w:r>
        <w:rPr>
          <w:rFonts w:eastAsia="仿宋_GB2312"/>
        </w:rPr>
        <w:pict>
          <v:rect id="AutoShape 501" o:spid="_x0000_s2081" o:spt="1" style="position:absolute;left:0pt;margin-left:-29.65pt;margin-top:13.55pt;height:495pt;width:477pt;z-index:251663360;mso-width-relative:page;mso-height-relative:page;" coordsize="21600,21600" o:gfxdata="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T2nLPZAAAACwEAAA8AAAAAAAAAAQAgAAAAIgAAAGRycy9kb3ducmV2&#10;LnhtbFBLAQIUABQAAAAIAIdO4kC0qy9Z+wEAAB4EAAAOAAAAAAAAAAEAIAAAACgBAABkcnMvZTJv&#10;RG9jLnhtbFBLBQYAAAAABgAGAFkBAACVBQAAAAA=&#10;">
            <v:path/>
            <v:fill focussize="0,0"/>
            <v:stroke/>
            <v:imagedata o:title=""/>
            <o:lock v:ext="edit" text="t" aspectratio="t"/>
            <v:textbox>
              <w:txbxContent>
                <w:p>
                  <w:pPr>
                    <w:jc w:val="center"/>
                    <w:rPr>
                      <w:rFonts w:ascii="仿宋_GB2312" w:hAnsi="仿宋" w:eastAsia="仿宋_GB2312" w:cs="仿宋"/>
                      <w:sz w:val="21"/>
                      <w:szCs w:val="21"/>
                    </w:rPr>
                  </w:pPr>
                  <w:r>
                    <w:rPr>
                      <w:rFonts w:hint="eastAsia" w:ascii="仿宋_GB2312" w:hAnsi="仿宋" w:eastAsia="仿宋_GB2312" w:cs="仿宋"/>
                      <w:sz w:val="21"/>
                      <w:szCs w:val="21"/>
                    </w:rPr>
                    <w:t>生产消防</w:t>
                  </w:r>
                </w:p>
                <w:p>
                  <w:pPr>
                    <w:jc w:val="center"/>
                    <w:rPr>
                      <w:rFonts w:ascii="仿宋_GB2312" w:eastAsia="仿宋_GB2312"/>
                      <w:sz w:val="21"/>
                      <w:szCs w:val="21"/>
                    </w:rPr>
                  </w:pPr>
                  <w:r>
                    <w:rPr>
                      <w:rFonts w:hint="eastAsia" w:ascii="仿宋_GB2312" w:hAnsi="仿宋" w:eastAsia="仿宋_GB2312" w:cs="仿宋"/>
                      <w:sz w:val="21"/>
                      <w:szCs w:val="21"/>
                    </w:rPr>
                    <w:t>应急预案</w:t>
                  </w:r>
                </w:p>
              </w:txbxContent>
            </v:textbox>
          </v:rect>
        </w:pict>
      </w:r>
      <w:r>
        <w:rPr>
          <w:rFonts w:eastAsia="仿宋_GB2312"/>
        </w:rPr>
        <w:pict>
          <v:rect id="Rectangle 503" o:spid="_x0000_s2082" o:spt="1" style="position:absolute;left:0pt;margin-left:105.35pt;margin-top:17.3pt;height:39pt;width:134.95pt;z-index:251665408;mso-width-relative:page;mso-height-relative:page;" coordsize="21600,21600" o:gfxdata="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GR7Wr2AAAAAoB&#10;AAAPAAAAAAAAAAEAIAAAACIAAABkcnMvZG93bnJldi54bWxQSwECFAAUAAAACACHTuJAJccMZeIB&#10;AADiAwAADgAAAAAAAAABACAAAAAnAQAAZHJzL2Uyb0RvYy54bWxQSwUGAAAAAAYABgBZAQAAewUA&#10;AAAA&#10;">
            <v:path/>
            <v:fill focussize="0,0"/>
            <v:stroke/>
            <v:imagedata o:title=""/>
            <o:lock v:ext="edit"/>
            <v:textbox>
              <w:txbxContent>
                <w:p>
                  <w:pPr>
                    <w:jc w:val="center"/>
                    <w:rPr>
                      <w:rFonts w:ascii="仿宋" w:hAnsi="仿宋" w:cs="仿宋"/>
                      <w:sz w:val="21"/>
                      <w:szCs w:val="21"/>
                    </w:rPr>
                  </w:pPr>
                  <w:r>
                    <w:rPr>
                      <w:rFonts w:hint="eastAsia" w:ascii="仿宋" w:hAnsi="仿宋" w:cs="仿宋"/>
                      <w:sz w:val="21"/>
                      <w:szCs w:val="21"/>
                    </w:rPr>
                    <w:t>事故发现者/事故岗位人员启动报警</w:t>
                  </w:r>
                </w:p>
              </w:txbxContent>
            </v:textbox>
          </v:rect>
        </w:pict>
      </w:r>
    </w:p>
    <w:p>
      <w:pPr>
        <w:widowControl w:val="0"/>
        <w:ind w:firstLine="400"/>
        <w:jc w:val="center"/>
        <w:rPr>
          <w:rFonts w:eastAsia="仿宋_GB2312"/>
          <w:sz w:val="20"/>
        </w:rPr>
      </w:pPr>
      <w:r>
        <w:rPr>
          <w:rFonts w:eastAsia="仿宋_GB2312"/>
          <w:sz w:val="20"/>
        </w:rPr>
        <w:pict>
          <v:shape id="AutoShape 517" o:spid="_x0000_s2083" o:spt="33" type="#_x0000_t33" style="position:absolute;left:0pt;margin-left:240.3pt;margin-top:16pt;height:50.7pt;width:143.2pt;z-index:251677696;mso-width-relative:page;mso-height-relative:page;" filled="f" coordsize="21600,21600" o:gfxdata="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eEKlQ2gAAAAoBAAAPAAAAAAAA&#10;AAEAIAAAACIAAABkcnMvZG93bnJldi54bWxQSwECFAAUAAAACACHTuJA6lzur9cBAAClAwAADgAA&#10;AAAAAAABACAAAAApAQAAZHJzL2Uyb0RvYy54bWxQSwUGAAAAAAYABgBZAQAAcgUAAAAA&#10;">
            <v:path arrowok="t"/>
            <v:fill on="f" focussize="0,0"/>
            <v:stroke endarrow="block"/>
            <v:imagedata o:title=""/>
            <o:lock v:ext="edit"/>
          </v:shape>
        </w:pict>
      </w:r>
      <w:r>
        <w:rPr>
          <w:rFonts w:eastAsia="仿宋_GB2312"/>
          <w:sz w:val="20"/>
        </w:rPr>
        <w:pict>
          <v:shape id="AutoShape 508" o:spid="_x0000_s2084" o:spt="34" type="#_x0000_t34" style="position:absolute;left:0pt;flip:y;margin-left:193pt;margin-top:10.05pt;height:76.8pt;width:36.4pt;rotation:-5898240f;z-index:251670528;mso-width-relative:page;mso-height-relative:page;" filled="f" coordsize="21600,21600" o:gfxdata="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s6vzw2gAAAAoBAAAPAAAAAAAAAAEAIAAAACIAAABkcnMvZG93bnJldi54&#10;bWxQSwECFAAUAAAACACHTuJARELsB/gBAADpAwAADgAAAAAAAAABACAAAAApAQAAZHJzL2Uyb0Rv&#10;Yy54bWxQSwUGAAAAAAYABgBZAQAAkwUAAAAA&#10;">
            <v:path arrowok="t"/>
            <v:fill on="f" focussize="0,0"/>
            <v:stroke endarrow="block"/>
            <v:imagedata o:title=""/>
            <o:lock v:ext="edit"/>
          </v:shape>
        </w:pict>
      </w:r>
      <w:r>
        <w:rPr>
          <w:rFonts w:eastAsia="仿宋_GB2312"/>
          <w:sz w:val="20"/>
        </w:rPr>
        <w:pict>
          <v:shape id="AutoShape 507" o:spid="_x0000_s2085" o:spt="34" type="#_x0000_t34" style="position:absolute;left:0pt;margin-left:116.3pt;margin-top:11.65pt;height:75.1pt;width:37.9pt;rotation:5898240f;z-index:251669504;mso-width-relative:page;mso-height-relative:page;" filled="f" coordsize="21600,21600" o:gfxdata="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0j2MldgAAAAKAQAADwAAAAAAAAABACAAAAAiAAAAZHJzL2Rvd25yZXYueG1sUEsBAhQA&#10;FAAAAAgAh07iQOhNFMPyAQAA3wMAAA4AAAAAAAAAAQAgAAAAJwEAAGRycy9lMm9Eb2MueG1sUEsF&#10;BgAAAAAGAAYAWQEAAIsFAAAAAA==&#10;">
            <v:path arrowok="t"/>
            <v:fill on="f" focussize="0,0"/>
            <v:stroke endarrow="block"/>
            <v:imagedata o:title=""/>
            <o:lock v:ext="edit"/>
          </v:shape>
        </w:pict>
      </w:r>
    </w:p>
    <w:p>
      <w:pPr>
        <w:widowControl w:val="0"/>
        <w:ind w:firstLine="400"/>
        <w:jc w:val="center"/>
        <w:rPr>
          <w:rFonts w:eastAsia="仿宋_GB2312"/>
          <w:sz w:val="20"/>
        </w:rPr>
      </w:pPr>
    </w:p>
    <w:p>
      <w:pPr>
        <w:widowControl w:val="0"/>
        <w:ind w:firstLine="400"/>
        <w:jc w:val="center"/>
        <w:rPr>
          <w:rFonts w:eastAsia="仿宋_GB2312"/>
          <w:sz w:val="20"/>
        </w:rPr>
      </w:pPr>
      <w:r>
        <w:rPr>
          <w:rFonts w:eastAsia="仿宋_GB2312"/>
          <w:sz w:val="20"/>
        </w:rPr>
        <w:pict>
          <v:rect id="Rectangle 516" o:spid="_x0000_s2086" o:spt="1" style="position:absolute;left:0pt;margin-left:331.2pt;margin-top:14.7pt;height:29pt;width:104.55pt;z-index:251676672;mso-width-relative:page;mso-height-relative:page;" coordsize="21600,21600" o:gfxdata="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2i6pw1wAAAAkB&#10;AAAPAAAAAAAAAAEAIAAAACIAAABkcnMvZG93bnJldi54bWxQSwECFAAUAAAACACHTuJAG/w/c+MB&#10;AADiAwAADgAAAAAAAAABACAAAAAmAQAAZHJzL2Uyb0RvYy54bWxQSwUGAAAAAAYABgBZAQAAewUA&#10;AAAA&#10;">
            <v:path/>
            <v:fill focussize="0,0"/>
            <v:stroke/>
            <v:imagedata o:title=""/>
            <o:lock v:ext="edit"/>
            <v:textbox>
              <w:txbxContent>
                <w:p>
                  <w:pPr>
                    <w:jc w:val="center"/>
                    <w:rPr>
                      <w:rFonts w:ascii="仿宋" w:hAnsi="仿宋" w:cs="仿宋"/>
                      <w:sz w:val="21"/>
                      <w:szCs w:val="21"/>
                    </w:rPr>
                  </w:pPr>
                  <w:r>
                    <w:rPr>
                      <w:rFonts w:hint="eastAsia" w:ascii="仿宋" w:hAnsi="仿宋" w:cs="仿宋"/>
                      <w:sz w:val="21"/>
                      <w:szCs w:val="21"/>
                    </w:rPr>
                    <w:t>请求支持与通报</w:t>
                  </w:r>
                </w:p>
              </w:txbxContent>
            </v:textbox>
          </v:rect>
        </w:pict>
      </w:r>
      <w:r>
        <w:rPr>
          <w:rFonts w:eastAsia="仿宋_GB2312"/>
          <w:sz w:val="20"/>
        </w:rPr>
        <w:pict>
          <v:shape id="AutoShape 505" o:spid="_x0000_s2087" o:spt="176" type="#_x0000_t176" style="position:absolute;left:0pt;margin-left:177.4pt;margin-top:14.7pt;height:29pt;width:144.45pt;z-index:251667456;mso-width-relative:page;mso-height-relative:page;" coordsize="21600,21600" o:gfxdata="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mV2a59cAAAAJAQAADwAAAAAAAAABACAAAAAiAAAAZHJzL2Rvd25yZXYueG1sUEsBAhQAFAAAAAgA&#10;h07iQEDpA9ftAQAA9wMAAA4AAAAAAAAAAQAgAAAAJgEAAGRycy9lMm9Eb2MueG1sUEsFBgAAAAAG&#10;AAYAWQEAAIUFAAAAAA==&#10;">
            <v:path/>
            <v:fill focussize="0,0"/>
            <v:stroke joinstyle="miter"/>
            <v:imagedata o:title=""/>
            <o:lock v:ext="edit"/>
            <v:textbox>
              <w:txbxContent>
                <w:p>
                  <w:pPr>
                    <w:jc w:val="center"/>
                    <w:rPr>
                      <w:sz w:val="21"/>
                      <w:szCs w:val="21"/>
                    </w:rPr>
                  </w:pPr>
                  <w:r>
                    <w:rPr>
                      <w:rFonts w:hint="eastAsia" w:ascii="仿宋" w:hAnsi="仿宋" w:cs="仿宋"/>
                      <w:sz w:val="21"/>
                      <w:szCs w:val="21"/>
                    </w:rPr>
                    <w:t>部门领导</w:t>
                  </w:r>
                </w:p>
              </w:txbxContent>
            </v:textbox>
          </v:shape>
        </w:pict>
      </w:r>
      <w:r>
        <w:rPr>
          <w:rFonts w:eastAsia="仿宋_GB2312"/>
          <w:sz w:val="20"/>
        </w:rPr>
        <w:pict>
          <v:shape id="AutoShape 504" o:spid="_x0000_s2088" o:spt="176" type="#_x0000_t176" style="position:absolute;left:0pt;margin-left:36.1pt;margin-top:16.2pt;height:27.5pt;width:123.25pt;z-index:251666432;mso-width-relative:page;mso-height-relative:page;" coordsize="21600,21600" o:gfxdata="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wZrOItYAAAAIAQAADwAAAAAAAAABACAAAAAiAAAAZHJzL2Rvd25yZXYueG1sUEsBAhQAFAAAAAgA&#10;h07iQF8gD5juAQAA9wMAAA4AAAAAAAAAAQAgAAAAJQEAAGRycy9lMm9Eb2MueG1sUEsFBgAAAAAG&#10;AAYAWQEAAIUFAAAAAA==&#10;">
            <v:path/>
            <v:fill focussize="0,0"/>
            <v:stroke joinstyle="miter"/>
            <v:imagedata o:title=""/>
            <o:lock v:ext="edit"/>
            <v:textbox>
              <w:txbxContent>
                <w:p>
                  <w:pPr>
                    <w:jc w:val="center"/>
                    <w:rPr>
                      <w:rFonts w:ascii="仿宋" w:hAnsi="仿宋" w:cs="仿宋"/>
                      <w:sz w:val="21"/>
                      <w:szCs w:val="21"/>
                    </w:rPr>
                  </w:pPr>
                  <w:r>
                    <w:rPr>
                      <w:rFonts w:hint="eastAsia" w:ascii="仿宋" w:hAnsi="仿宋" w:cs="仿宋"/>
                      <w:sz w:val="21"/>
                      <w:szCs w:val="21"/>
                    </w:rPr>
                    <w:t>值班人员/值班领导</w:t>
                  </w:r>
                </w:p>
              </w:txbxContent>
            </v:textbox>
          </v:shape>
        </w:pict>
      </w:r>
    </w:p>
    <w:p>
      <w:pPr>
        <w:widowControl w:val="0"/>
        <w:ind w:firstLine="400"/>
        <w:jc w:val="center"/>
        <w:rPr>
          <w:rFonts w:eastAsia="仿宋_GB2312"/>
          <w:sz w:val="20"/>
        </w:rPr>
      </w:pPr>
      <w:r>
        <w:rPr>
          <w:rFonts w:eastAsia="仿宋_GB2312"/>
          <w:sz w:val="20"/>
        </w:rPr>
        <w:pict>
          <v:shape id="AutoShape 518" o:spid="_x0000_s2089" o:spt="33" type="#_x0000_t33" style="position:absolute;left:0pt;flip:y;margin-left:249.65pt;margin-top:17.7pt;height:60.7pt;width:133.85pt;z-index:251678720;mso-width-relative:page;mso-height-relative:page;" filled="f" coordsize="21600,21600" o:gfxdata="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P/S8q2gAAAAoBAAAP&#10;AAAAAAAAAAEAIAAAACIAAABkcnMvZG93bnJldi54bWxQSwECFAAUAAAACACHTuJAfkz0Z90BAACv&#10;AwAADgAAAAAAAAABACAAAAApAQAAZHJzL2Uyb0RvYy54bWxQSwUGAAAAAAYABgBZAQAAeAUAAAAA&#10;">
            <v:path arrowok="t"/>
            <v:fill on="f" focussize="0,0"/>
            <v:stroke endarrow="block"/>
            <v:imagedata o:title=""/>
            <o:lock v:ext="edit"/>
          </v:shape>
        </w:pict>
      </w:r>
      <w:r>
        <w:rPr>
          <w:rFonts w:eastAsia="仿宋_GB2312"/>
          <w:sz w:val="20"/>
        </w:rPr>
        <w:pict>
          <v:shape id="AutoShape 510" o:spid="_x0000_s2090" o:spt="34" type="#_x0000_t34" style="position:absolute;left:0pt;margin-left:186.25pt;margin-top:3.45pt;height:75.95pt;width:49pt;rotation:5898240f;z-index:251672576;mso-width-relative:page;mso-height-relative:page;" filled="f" coordsize="21600,21600" o:gfxdata="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dlU+vYAAAACQEAAA8AAAAAAAAAAQAgAAAAIgAAAGRycy9kb3ducmV2LnhtbFBLAQIU&#10;ABQAAAAIAIdO4kA9LND38wEAAN8DAAAOAAAAAAAAAAEAIAAAACcBAABkcnMvZTJvRG9jLnhtbFBL&#10;BQYAAAAABgAGAFkBAACMBQAAAAA=&#10;" adj="10789">
            <v:path arrowok="t"/>
            <v:fill on="f" focussize="0,0"/>
            <v:stroke endarrow="block"/>
            <v:imagedata o:title=""/>
            <o:lock v:ext="edit"/>
          </v:shape>
        </w:pict>
      </w:r>
      <w:r>
        <w:rPr>
          <w:rFonts w:eastAsia="仿宋_GB2312"/>
          <w:sz w:val="20"/>
        </w:rPr>
        <w:pict>
          <v:shape id="AutoShape 509" o:spid="_x0000_s2091" o:spt="34" type="#_x0000_t34" style="position:absolute;left:0pt;flip:y;margin-left:110.3pt;margin-top:3.45pt;height:75.95pt;width:49pt;rotation:-5898240f;z-index:251671552;mso-width-relative:page;mso-height-relative:page;" filled="f" coordsize="21600,21600" o:gfxdata="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1b0cY9YAAAAJAQAADwAAAAAAAAABACAAAAAiAAAAZHJzL2Rvd25yZXYueG1s&#10;UEsBAhQAFAAAAAgAh07iQA08/oT6AQAA6QMAAA4AAAAAAAAAAQAgAAAAJQEAAGRycy9lMm9Eb2Mu&#10;eG1sUEsFBgAAAAAGAAYAWQEAAJEFAAAAAA==&#10;" adj="10789">
            <v:path arrowok="t"/>
            <v:fill on="f" focussize="0,0"/>
            <v:stroke endarrow="block"/>
            <v:imagedata o:title=""/>
            <o:lock v:ext="edit"/>
          </v:shape>
        </w:pict>
      </w:r>
    </w:p>
    <w:p>
      <w:pPr>
        <w:widowControl w:val="0"/>
        <w:ind w:firstLine="400"/>
        <w:jc w:val="center"/>
        <w:rPr>
          <w:rFonts w:eastAsia="仿宋_GB2312"/>
          <w:sz w:val="20"/>
        </w:rPr>
      </w:pPr>
      <w:r>
        <w:rPr>
          <w:rFonts w:eastAsia="仿宋_GB2312"/>
          <w:sz w:val="20"/>
        </w:rPr>
        <w:pict>
          <v:shape id="AutoShape 502" o:spid="_x0000_s2092" o:spt="176" type="#_x0000_t176" style="position:absolute;left:0pt;margin-left:-2.6pt;margin-top:1.7pt;height:101.4pt;width:26.9pt;z-index:251664384;mso-width-relative:page;mso-height-relative:page;" coordsize="21600,21600" o:gfxdata="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X&#10;Z0PT1QAAAAcBAAAPAAAAAAAAAAEAIAAAACIAAABkcnMvZG93bnJldi54bWxQSwECFAAUAAAACACH&#10;TuJAa1iiDO4BAAD3AwAADgAAAAAAAAABACAAAAAkAQAAZHJzL2Uyb0RvYy54bWxQSwUGAAAAAAYA&#10;BgBZAQAAhAUAAAAA&#10;">
            <v:path/>
            <v:fill focussize="0,0"/>
            <v:stroke joinstyle="miter"/>
            <v:imagedata o:title=""/>
            <o:lock v:ext="edit"/>
            <v:textbox>
              <w:txbxContent>
                <w:p>
                  <w:pPr>
                    <w:rPr>
                      <w:sz w:val="21"/>
                      <w:szCs w:val="21"/>
                    </w:rPr>
                  </w:pPr>
                </w:p>
                <w:p>
                  <w:pPr>
                    <w:rPr>
                      <w:sz w:val="21"/>
                      <w:szCs w:val="21"/>
                    </w:rPr>
                  </w:pPr>
                  <w:r>
                    <w:rPr>
                      <w:rFonts w:hint="eastAsia" w:ascii="仿宋" w:hAnsi="仿宋" w:cs="仿宋"/>
                      <w:sz w:val="21"/>
                      <w:szCs w:val="21"/>
                    </w:rPr>
                    <w:t>第一阶段</w:t>
                  </w:r>
                </w:p>
              </w:txbxContent>
            </v:textbox>
          </v:shape>
        </w:pict>
      </w:r>
    </w:p>
    <w:p>
      <w:pPr>
        <w:widowControl w:val="0"/>
        <w:ind w:firstLine="400"/>
        <w:jc w:val="center"/>
        <w:rPr>
          <w:rFonts w:eastAsia="仿宋_GB2312"/>
          <w:sz w:val="20"/>
        </w:rPr>
      </w:pPr>
      <w:r>
        <w:rPr>
          <w:rFonts w:eastAsia="仿宋_GB2312"/>
          <w:sz w:val="20"/>
        </w:rPr>
        <w:pict>
          <v:shape id="AutoShape 506" o:spid="_x0000_s2093" o:spt="176" type="#_x0000_t176" style="position:absolute;left:0pt;margin-left:97.75pt;margin-top:14.7pt;height:23.4pt;width:151.9pt;z-index:251668480;mso-width-relative:page;mso-height-relative:page;" coordsize="21600,21600" o:gfxdata="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YueDL2AAAAAkBAAAPAAAAAAAAAAEAIAAAACIAAABkcnMvZG93bnJldi54bWxQSwECFAAUAAAA&#10;CACHTuJAWkLVsu4BAAD3AwAADgAAAAAAAAABACAAAAAnAQAAZHJzL2Uyb0RvYy54bWxQSwUGAAAA&#10;AAYABgBZAQAAhwUAAAAA&#10;">
            <v:path/>
            <v:fill focussize="0,0"/>
            <v:stroke joinstyle="miter"/>
            <v:imagedata o:title=""/>
            <o:lock v:ext="edit"/>
            <v:textbox>
              <w:txbxContent>
                <w:p>
                  <w:pPr>
                    <w:jc w:val="center"/>
                    <w:rPr>
                      <w:sz w:val="21"/>
                      <w:szCs w:val="21"/>
                    </w:rPr>
                  </w:pPr>
                  <w:r>
                    <w:rPr>
                      <w:rFonts w:hint="eastAsia" w:ascii="仿宋" w:hAnsi="仿宋" w:cs="仿宋"/>
                      <w:sz w:val="21"/>
                      <w:szCs w:val="21"/>
                    </w:rPr>
                    <w:t>应急指挥办公室</w:t>
                  </w:r>
                </w:p>
              </w:txbxContent>
            </v:textbox>
          </v:shape>
        </w:pict>
      </w:r>
    </w:p>
    <w:p>
      <w:pPr>
        <w:widowControl w:val="0"/>
        <w:ind w:firstLine="400"/>
        <w:jc w:val="center"/>
        <w:rPr>
          <w:rFonts w:eastAsia="仿宋_GB2312"/>
          <w:sz w:val="20"/>
        </w:rPr>
      </w:pPr>
      <w:r>
        <w:rPr>
          <w:rFonts w:eastAsia="仿宋_GB2312"/>
          <w:sz w:val="20"/>
        </w:rPr>
        <w:pict>
          <v:shape id="AutoShape 519" o:spid="_x0000_s2094" o:spt="32" type="#_x0000_t32" style="position:absolute;left:0pt;flip:x;margin-left:173pt;margin-top:12.1pt;height:23.4pt;width:0.7pt;z-index:251679744;mso-width-relative:page;mso-height-relative:page;" filled="f" coordsize="21600,21600" o:gfxdata="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p+fr1doAAAAJAQAADwAAAAAA&#10;AAABACAAAAAiAAAAZHJzL2Rvd25yZXYueG1sUEsBAhQAFAAAAAgAh07iQNp5hqTYAQAApgMAAA4A&#10;AAAAAAAAAQAgAAAAKQEAAGRycy9lMm9Eb2MueG1sUEsFBgAAAAAGAAYAWQEAAHMFAAAAAA==&#10;">
            <v:path arrowok="t"/>
            <v:fill on="f" focussize="0,0"/>
            <v:stroke endarrow="block"/>
            <v:imagedata o:title=""/>
            <o:lock v:ext="edit"/>
          </v:shape>
        </w:pict>
      </w:r>
    </w:p>
    <w:p>
      <w:pPr>
        <w:widowControl w:val="0"/>
        <w:ind w:firstLine="400"/>
        <w:jc w:val="center"/>
        <w:rPr>
          <w:rFonts w:eastAsia="仿宋_GB2312"/>
          <w:sz w:val="20"/>
        </w:rPr>
      </w:pPr>
      <w:r>
        <w:rPr>
          <w:rFonts w:eastAsia="仿宋_GB2312"/>
          <w:sz w:val="20"/>
        </w:rPr>
        <w:pict>
          <v:shape id="AutoShape 513" o:spid="_x0000_s2095" o:spt="176" type="#_x0000_t176" style="position:absolute;left:0pt;margin-left:123.3pt;margin-top:9.5pt;height:23.4pt;width:99.55pt;z-index:251674624;mso-width-relative:page;mso-height-relative:page;" coordsize="21600,21600" o:gfxdata="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zvlUo2AAAAAgBAAAPAAAAAAAAAAEAIAAAACIAAABkcnMvZG93bnJldi54bWxQSwECFAAUAAAA&#10;CACHTuJAISy6Ce4BAAD3AwAADgAAAAAAAAABACAAAAAnAQAAZHJzL2Uyb0RvYy54bWxQSwUGAAAA&#10;AAYABgBZAQAAhwUAAAAA&#10;">
            <v:path/>
            <v:fill focussize="0,0"/>
            <v:stroke joinstyle="miter"/>
            <v:imagedata o:title=""/>
            <o:lock v:ext="edit"/>
            <v:textbox>
              <w:txbxContent>
                <w:p>
                  <w:pPr>
                    <w:jc w:val="center"/>
                    <w:rPr>
                      <w:sz w:val="21"/>
                      <w:szCs w:val="21"/>
                    </w:rPr>
                  </w:pPr>
                  <w:r>
                    <w:rPr>
                      <w:rFonts w:hint="eastAsia" w:ascii="仿宋" w:hAnsi="仿宋" w:cs="仿宋"/>
                      <w:sz w:val="21"/>
                      <w:szCs w:val="21"/>
                    </w:rPr>
                    <w:t>总指挥</w:t>
                  </w:r>
                </w:p>
              </w:txbxContent>
            </v:textbox>
          </v:shape>
        </w:pict>
      </w:r>
    </w:p>
    <w:p>
      <w:pPr>
        <w:widowControl w:val="0"/>
        <w:ind w:firstLine="400"/>
        <w:jc w:val="center"/>
        <w:rPr>
          <w:rFonts w:eastAsia="仿宋_GB2312"/>
          <w:sz w:val="20"/>
        </w:rPr>
      </w:pPr>
    </w:p>
    <w:p>
      <w:pPr>
        <w:widowControl w:val="0"/>
        <w:ind w:firstLine="400"/>
        <w:jc w:val="center"/>
        <w:rPr>
          <w:rFonts w:eastAsia="仿宋_GB2312"/>
          <w:sz w:val="20"/>
        </w:rPr>
      </w:pPr>
      <w:r>
        <w:rPr>
          <w:rFonts w:eastAsia="仿宋_GB2312"/>
          <w:sz w:val="20"/>
        </w:rPr>
        <w:pict>
          <v:line id="Line 511" o:spid="_x0000_s2096" o:spt="20" style="position:absolute;left:0pt;margin-left:-11.65pt;margin-top:23.8pt;height:0.05pt;width:431.95pt;z-index:251673600;mso-width-relative:page;mso-height-relative:page;" coordsize="21600,21600" o:gfxdata="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imPeLXAAAACQEAAA8AAAAAAAAAAQAgAAAAIgAAAGRycy9kb3ducmV2LnhtbFBL&#10;AQIUABQAAAAIAIdO4kD7FMakvgEAAIYDAAAOAAAAAAAAAAEAIAAAACYBAABkcnMvZTJvRG9jLnht&#10;bFBLBQYAAAAABgAGAFkBAABWBQAAAAA=&#10;">
            <v:path arrowok="t"/>
            <v:fill focussize="0,0"/>
            <v:stroke dashstyle="longDash"/>
            <v:imagedata o:title=""/>
            <o:lock v:ext="edit"/>
          </v:line>
        </w:pict>
      </w:r>
    </w:p>
    <w:p>
      <w:pPr>
        <w:widowControl w:val="0"/>
        <w:ind w:firstLine="400"/>
        <w:jc w:val="center"/>
        <w:rPr>
          <w:rFonts w:eastAsia="仿宋_GB2312"/>
          <w:sz w:val="20"/>
        </w:rPr>
      </w:pPr>
    </w:p>
    <w:p>
      <w:pPr>
        <w:widowControl w:val="0"/>
        <w:ind w:firstLine="400"/>
        <w:jc w:val="center"/>
        <w:rPr>
          <w:rFonts w:eastAsia="仿宋_GB2312"/>
          <w:sz w:val="20"/>
        </w:rPr>
      </w:pPr>
      <w:r>
        <w:rPr>
          <w:rFonts w:eastAsia="仿宋_GB2312"/>
          <w:sz w:val="20"/>
        </w:rPr>
        <w:pict>
          <v:shape id="AutoShape 520" o:spid="_x0000_s2097" o:spt="176" type="#_x0000_t176" style="position:absolute;left:0pt;margin-left:-2.6pt;margin-top:12.3pt;height:101.4pt;width:26.9pt;z-index:251680768;mso-width-relative:page;mso-height-relative:page;" coordsize="21600,21600" o:gfxdata="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q8s3qtcAAAAIAQAADwAAAAAAAAABACAAAAAiAAAAZHJzL2Rvd25yZXYueG1sUEsBAhQAFAAAAAgA&#10;h07iQJcrZw/tAQAA9wMAAA4AAAAAAAAAAQAgAAAAJgEAAGRycy9lMm9Eb2MueG1sUEsFBgAAAAAG&#10;AAYAWQEAAIUFAAAAAA==&#10;">
            <v:path/>
            <v:fill focussize="0,0"/>
            <v:stroke joinstyle="miter"/>
            <v:imagedata o:title=""/>
            <o:lock v:ext="edit"/>
            <v:textbox>
              <w:txbxContent>
                <w:p>
                  <w:pPr>
                    <w:rPr>
                      <w:sz w:val="21"/>
                      <w:szCs w:val="21"/>
                    </w:rPr>
                  </w:pPr>
                </w:p>
                <w:p>
                  <w:pPr>
                    <w:rPr>
                      <w:sz w:val="21"/>
                      <w:szCs w:val="21"/>
                    </w:rPr>
                  </w:pPr>
                  <w:r>
                    <w:rPr>
                      <w:rFonts w:hint="eastAsia" w:ascii="仿宋" w:hAnsi="仿宋" w:cs="仿宋"/>
                      <w:sz w:val="21"/>
                      <w:szCs w:val="21"/>
                    </w:rPr>
                    <w:t>第二阶段</w:t>
                  </w:r>
                </w:p>
              </w:txbxContent>
            </v:textbox>
          </v:shape>
        </w:pict>
      </w:r>
      <w:r>
        <w:rPr>
          <w:rFonts w:eastAsia="仿宋_GB2312"/>
          <w:sz w:val="20"/>
        </w:rPr>
        <w:pict>
          <v:shape id="AutoShape 515" o:spid="_x0000_s2098" o:spt="176" type="#_x0000_t176" style="position:absolute;left:0pt;margin-left:123.3pt;margin-top:6.9pt;height:23.4pt;width:99.25pt;z-index:251675648;mso-width-relative:page;mso-height-relative:page;" coordsize="21600,21600" o:gfxdata="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10;moOf1gAAAAkBAAAPAAAAAAAAAAEAIAAAACIAAABkcnMvZG93bnJldi54bWxQSwECFAAUAAAACACH&#10;TuJACtY44u0BAAD3AwAADgAAAAAAAAABACAAAAAlAQAAZHJzL2Uyb0RvYy54bWxQSwUGAAAAAAYA&#10;BgBZAQAAhAUAAAAA&#10;">
            <v:path/>
            <v:fill focussize="0,0"/>
            <v:stroke joinstyle="miter"/>
            <v:imagedata o:title=""/>
            <o:lock v:ext="edit"/>
            <v:textbox>
              <w:txbxContent>
                <w:p>
                  <w:pPr>
                    <w:jc w:val="center"/>
                    <w:rPr>
                      <w:rFonts w:ascii="仿宋" w:hAnsi="仿宋" w:cs="仿宋"/>
                      <w:sz w:val="21"/>
                      <w:szCs w:val="21"/>
                    </w:rPr>
                  </w:pPr>
                  <w:r>
                    <w:rPr>
                      <w:rFonts w:hint="eastAsia" w:ascii="仿宋" w:hAnsi="仿宋" w:cs="仿宋"/>
                      <w:sz w:val="21"/>
                      <w:szCs w:val="21"/>
                    </w:rPr>
                    <w:t>全公司通报</w:t>
                  </w:r>
                </w:p>
              </w:txbxContent>
            </v:textbox>
          </v:shape>
        </w:pict>
      </w:r>
    </w:p>
    <w:p>
      <w:pPr>
        <w:widowControl w:val="0"/>
        <w:ind w:firstLine="400"/>
        <w:jc w:val="center"/>
        <w:rPr>
          <w:rFonts w:eastAsia="仿宋_GB2312"/>
          <w:sz w:val="20"/>
        </w:rPr>
      </w:pPr>
      <w:r>
        <w:rPr>
          <w:rFonts w:eastAsia="仿宋_GB2312"/>
          <w:sz w:val="20"/>
        </w:rPr>
        <w:pict>
          <v:rect id="Rectangle 523" o:spid="_x0000_s2099" o:spt="1" style="position:absolute;left:0pt;margin-left:313.35pt;margin-top:25.5pt;height:29pt;width:89.95pt;z-index:251683840;mso-width-relative:page;mso-height-relative:page;" coordsize="21600,21600" o:gfxdata="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M3PQ/bXAAAACgEA&#10;AA8AAAAAAAAAAQAgAAAAIgAAAGRycy9kb3ducmV2LnhtbFBLAQIUABQAAAAIAIdO4kAo2OLx4gEA&#10;AOIDAAAOAAAAAAAAAAEAIAAAACYBAABkcnMvZTJvRG9jLnhtbFBLBQYAAAAABgAGAFkBAAB6BQAA&#10;AAA=&#10;">
            <v:path/>
            <v:fill focussize="0,0"/>
            <v:stroke/>
            <v:imagedata o:title=""/>
            <o:lock v:ext="edit"/>
            <v:textbox>
              <w:txbxContent>
                <w:p>
                  <w:pPr>
                    <w:rPr>
                      <w:sz w:val="21"/>
                      <w:szCs w:val="21"/>
                    </w:rPr>
                  </w:pPr>
                  <w:r>
                    <w:rPr>
                      <w:rFonts w:hint="eastAsia" w:ascii="仿宋" w:hAnsi="仿宋" w:cs="仿宋"/>
                      <w:sz w:val="21"/>
                      <w:szCs w:val="21"/>
                    </w:rPr>
                    <w:t>请求支持与通报</w:t>
                  </w:r>
                </w:p>
              </w:txbxContent>
            </v:textbox>
          </v:rect>
        </w:pict>
      </w:r>
      <w:r>
        <w:rPr>
          <w:rFonts w:eastAsia="仿宋_GB2312"/>
          <w:sz w:val="20"/>
        </w:rPr>
        <w:pict>
          <v:shape id="AutoShape 522" o:spid="_x0000_s2100" o:spt="32" type="#_x0000_t32" style="position:absolute;left:0pt;flip:x;margin-left:172.85pt;margin-top:4.3pt;height:23.4pt;width:0.1pt;z-index:251682816;mso-width-relative:page;mso-height-relative:page;" filled="f" coordsize="21600,21600" o:gfxdata="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1FfR8tcAAAAIAQAADwAAAAAAAAAB&#10;ACAAAAAiAAAAZHJzL2Rvd25yZXYueG1sUEsBAhQAFAAAAAgAh07iQOIaecfYAQAApgMAAA4AAAAA&#10;AAAAAQAgAAAAJgEAAGRycy9lMm9Eb2MueG1sUEsFBgAAAAAGAAYAWQEAAHAFAAAAAA==&#10;">
            <v:path arrowok="t"/>
            <v:fill on="f" focussize="0,0"/>
            <v:stroke endarrow="block"/>
            <v:imagedata o:title=""/>
            <o:lock v:ext="edit"/>
          </v:shape>
        </w:pict>
      </w:r>
    </w:p>
    <w:p>
      <w:pPr>
        <w:widowControl w:val="0"/>
        <w:ind w:firstLine="400"/>
        <w:jc w:val="center"/>
        <w:rPr>
          <w:rFonts w:eastAsia="仿宋_GB2312"/>
          <w:sz w:val="20"/>
        </w:rPr>
      </w:pPr>
      <w:r>
        <w:rPr>
          <w:rFonts w:eastAsia="仿宋_GB2312"/>
          <w:sz w:val="20"/>
        </w:rPr>
        <w:pict>
          <v:shape id="AutoShape 524" o:spid="_x0000_s2101" o:spt="32" type="#_x0000_t32" style="position:absolute;left:0pt;margin-left:240.3pt;margin-top:13.4pt;height:0.6pt;width:73.05pt;z-index:251684864;mso-width-relative:page;mso-height-relative:page;" filled="f" coordsize="21600,21600" o:gfxdata="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MfTXR2AAAAAkBAAAPAAAAAAAAAAEAIAAAACIA&#10;AABkcnMvZG93bnJldi54bWxQSwECFAAUAAAACACHTuJAbFKNttABAACcAwAADgAAAAAAAAABACAA&#10;AAAnAQAAZHJzL2Uyb0RvYy54bWxQSwUGAAAAAAYABgBZAQAAaQUAAAAA&#10;">
            <v:path arrowok="t"/>
            <v:fill on="f" focussize="0,0"/>
            <v:stroke endarrow="block"/>
            <v:imagedata o:title=""/>
            <o:lock v:ext="edit"/>
          </v:shape>
        </w:pict>
      </w:r>
      <w:r>
        <w:rPr>
          <w:rFonts w:eastAsia="仿宋_GB2312"/>
          <w:sz w:val="20"/>
        </w:rPr>
        <w:pict>
          <v:rect id="Rectangle 521" o:spid="_x0000_s2102" o:spt="1" style="position:absolute;left:0pt;margin-left:105.35pt;margin-top:1.7pt;height:23.4pt;width:134.95pt;z-index:251681792;mso-width-relative:page;mso-height-relative:page;" coordsize="21600,21600" o:gfxdata="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L9H5/XAAAACAEA&#10;AA8AAAAAAAAAAQAgAAAAIgAAAGRycy9kb3ducmV2LnhtbFBLAQIUABQAAAAIAIdO4kA35hAz4gEA&#10;AOIDAAAOAAAAAAAAAAEAIAAAACYBAABkcnMvZTJvRG9jLnhtbFBLBQYAAAAABgAGAFkBAAB6BQAA&#10;AAA=&#10;">
            <v:path/>
            <v:fill focussize="0,0"/>
            <v:stroke/>
            <v:imagedata o:title=""/>
            <o:lock v:ext="edit"/>
            <v:textbox>
              <w:txbxContent>
                <w:p>
                  <w:pPr>
                    <w:jc w:val="center"/>
                    <w:rPr>
                      <w:rFonts w:ascii="仿宋" w:hAnsi="仿宋" w:cs="仿宋"/>
                      <w:sz w:val="21"/>
                      <w:szCs w:val="21"/>
                    </w:rPr>
                  </w:pPr>
                  <w:r>
                    <w:rPr>
                      <w:rFonts w:hint="eastAsia" w:ascii="仿宋" w:hAnsi="仿宋" w:cs="仿宋"/>
                      <w:sz w:val="21"/>
                      <w:szCs w:val="21"/>
                    </w:rPr>
                    <w:t>应急处置小组开始行动</w:t>
                  </w:r>
                </w:p>
              </w:txbxContent>
            </v:textbox>
          </v:rect>
        </w:pict>
      </w:r>
      <w:r>
        <w:rPr>
          <w:rFonts w:eastAsia="仿宋_GB2312"/>
          <w:sz w:val="20"/>
        </w:rPr>
        <w:pict>
          <v:line id="直线 2409" o:spid="_x0000_s2103" o:spt="20" style="position:absolute;left:0pt;margin-left:173pt;margin-top:25.7pt;height:20.25pt;width:0.05pt;z-index:251689984;mso-width-relative:page;mso-height-relative:page;" coordsize="21600,21600" o:gfxdata="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cGWq9oAAAAJAQAADwAAAAAAAAABACAAAAAi&#10;AAAAZHJzL2Rvd25yZXYueG1sUEsBAhQAFAAAAAgAh07iQLtsd7DPAQAAiQMAAA4AAAAAAAAAAQAg&#10;AAAAKQEAAGRycy9lMm9Eb2MueG1sUEsFBgAAAAAGAAYAWQEAAGoFAAAAAA==&#10;">
            <v:path arrowok="t"/>
            <v:fill focussize="0,0"/>
            <v:stroke weight="1.25pt" endarrow="open"/>
            <v:imagedata o:title=""/>
            <o:lock v:ext="edit"/>
          </v:line>
        </w:pict>
      </w:r>
    </w:p>
    <w:p>
      <w:pPr>
        <w:widowControl w:val="0"/>
        <w:ind w:firstLine="400"/>
        <w:jc w:val="center"/>
        <w:rPr>
          <w:rFonts w:eastAsia="仿宋_GB2312"/>
          <w:sz w:val="20"/>
        </w:rPr>
      </w:pPr>
      <w:r>
        <w:rPr>
          <w:rFonts w:eastAsia="仿宋_GB2312"/>
          <w:sz w:val="20"/>
        </w:rPr>
        <w:pict>
          <v:shape id="AutoShape 525" o:spid="_x0000_s2104" o:spt="176" type="#_x0000_t176" style="position:absolute;left:0pt;margin-left:74.7pt;margin-top:20.55pt;height:31.2pt;width:267.4pt;z-index:251685888;mso-width-relative:page;mso-height-relative:page;" coordsize="21600,21600" o:gfxdata="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3&#10;sVpu1wAAAAoBAAAPAAAAAAAAAAEAIAAAACIAAABkcnMvZG93bnJldi54bWxQSwECFAAUAAAACACH&#10;TuJAjeGbsuwBAAD3AwAADgAAAAAAAAABACAAAAAmAQAAZHJzL2Uyb0RvYy54bWxQSwUGAAAAAAYA&#10;BgBZAQAAhAUAAAAA&#10;">
            <v:path/>
            <v:fill focussize="0,0"/>
            <v:stroke joinstyle="miter"/>
            <v:imagedata o:title=""/>
            <o:lock v:ext="edit"/>
            <v:textbox>
              <w:txbxContent>
                <w:p>
                  <w:pPr>
                    <w:rPr>
                      <w:rFonts w:ascii="仿宋" w:hAnsi="仿宋" w:cs="仿宋"/>
                      <w:sz w:val="21"/>
                      <w:szCs w:val="21"/>
                    </w:rPr>
                  </w:pPr>
                  <w:r>
                    <w:rPr>
                      <w:rFonts w:hint="eastAsia" w:ascii="仿宋" w:hAnsi="仿宋" w:cs="仿宋"/>
                      <w:sz w:val="21"/>
                      <w:szCs w:val="21"/>
                    </w:rPr>
                    <w:t>应急指挥中心组织各应急处置小组编组、行动</w:t>
                  </w:r>
                </w:p>
              </w:txbxContent>
            </v:textbox>
          </v:shape>
        </w:pict>
      </w:r>
    </w:p>
    <w:p>
      <w:pPr>
        <w:widowControl w:val="0"/>
        <w:ind w:firstLine="400"/>
        <w:jc w:val="center"/>
        <w:rPr>
          <w:rFonts w:eastAsia="仿宋_GB2312"/>
          <w:sz w:val="20"/>
        </w:rPr>
      </w:pPr>
    </w:p>
    <w:p>
      <w:pPr>
        <w:widowControl w:val="0"/>
        <w:ind w:firstLine="400"/>
        <w:jc w:val="center"/>
        <w:rPr>
          <w:rFonts w:eastAsia="仿宋_GB2312"/>
          <w:sz w:val="20"/>
        </w:rPr>
      </w:pPr>
      <w:r>
        <w:rPr>
          <w:rFonts w:eastAsia="仿宋_GB2312"/>
          <w:sz w:val="20"/>
        </w:rPr>
        <w:pict>
          <v:shape id="AutoShape 527" o:spid="_x0000_s2105" o:spt="176" type="#_x0000_t176" style="position:absolute;left:0pt;margin-left:-2.15pt;margin-top:15.8pt;height:82.15pt;width:26.9pt;z-index:251687936;mso-width-relative:page;mso-height-relative:page;" coordsize="21600,21600" o:gfxdata="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i&#10;eQq71gAAAAgBAAAPAAAAAAAAAAEAIAAAACIAAABkcnMvZG93bnJldi54bWxQSwECFAAUAAAACACH&#10;TuJAdTmFx+0BAAD3AwAADgAAAAAAAAABACAAAAAlAQAAZHJzL2Uyb0RvYy54bWxQSwUGAAAAAAYA&#10;BgBZAQAAhAUAAAAA&#10;">
            <v:path/>
            <v:fill focussize="0,0"/>
            <v:stroke joinstyle="miter"/>
            <v:imagedata o:title=""/>
            <o:lock v:ext="edit"/>
            <v:textbox>
              <w:txbxContent>
                <w:p>
                  <w:pPr>
                    <w:rPr>
                      <w:rFonts w:ascii="仿宋" w:hAnsi="仿宋" w:cs="仿宋"/>
                      <w:sz w:val="21"/>
                      <w:szCs w:val="21"/>
                    </w:rPr>
                  </w:pPr>
                  <w:r>
                    <w:rPr>
                      <w:rFonts w:hint="eastAsia" w:ascii="仿宋" w:hAnsi="仿宋" w:cs="仿宋"/>
                      <w:sz w:val="21"/>
                      <w:szCs w:val="21"/>
                    </w:rPr>
                    <w:t>第三阶段</w:t>
                  </w:r>
                </w:p>
              </w:txbxContent>
            </v:textbox>
          </v:shape>
        </w:pict>
      </w:r>
      <w:r>
        <w:rPr>
          <w:rFonts w:eastAsia="仿宋_GB2312"/>
          <w:sz w:val="20"/>
        </w:rPr>
        <w:pict>
          <v:line id="Line 526" o:spid="_x0000_s2106" o:spt="20" style="position:absolute;left:0pt;margin-left:-11.65pt;margin-top:8.45pt;height:0.05pt;width:431.95pt;z-index:251686912;mso-width-relative:page;mso-height-relative:page;" coordsize="21600,21600" o:gfxdata="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kmj9XYAAAACQEAAA8AAAAAAAAAAQAgAAAAIgAAAGRycy9kb3ducmV2LnhtbFBL&#10;AQIUABQAAAAIAIdO4kBv4QC9vQEAAIYDAAAOAAAAAAAAAAEAIAAAACcBAABkcnMvZTJvRG9jLnht&#10;bFBLBQYAAAAABgAGAFkBAABWBQAAAAA=&#10;">
            <v:path arrowok="t"/>
            <v:fill focussize="0,0"/>
            <v:stroke dashstyle="longDash"/>
            <v:imagedata o:title=""/>
            <o:lock v:ext="edit"/>
          </v:line>
        </w:pict>
      </w:r>
    </w:p>
    <w:p>
      <w:pPr>
        <w:widowControl w:val="0"/>
        <w:ind w:firstLine="400"/>
        <w:jc w:val="center"/>
        <w:rPr>
          <w:rFonts w:eastAsia="仿宋_GB2312"/>
          <w:sz w:val="20"/>
        </w:rPr>
      </w:pPr>
      <w:r>
        <w:rPr>
          <w:rFonts w:eastAsia="仿宋_GB2312"/>
          <w:sz w:val="20"/>
        </w:rPr>
        <w:pict>
          <v:shape id="AutoShape 528" o:spid="_x0000_s2107" o:spt="176" type="#_x0000_t176" style="position:absolute;left:0pt;margin-left:123.3pt;margin-top:18.75pt;height:28.75pt;width:143.95pt;z-index:251688960;mso-width-relative:page;mso-height-relative:page;" coordsize="21600,21600" o:gfxdata="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YkgbjZAAAACQEAAA8AAAAAAAAAAQAgAAAAIgAAAGRycy9kb3ducmV2LnhtbFBLAQIUABQAAAAI&#10;AIdO4kD1jjJt7AEAAPcDAAAOAAAAAAAAAAEAIAAAACgBAABkcnMvZTJvRG9jLnhtbFBLBQYAAAAA&#10;BgAGAFkBAACGBQAAAAA=&#10;">
            <v:path/>
            <v:fill focussize="0,0"/>
            <v:stroke joinstyle="miter"/>
            <v:imagedata o:title=""/>
            <o:lock v:ext="edit"/>
            <v:textbox>
              <w:txbxContent>
                <w:p>
                  <w:pPr>
                    <w:jc w:val="center"/>
                    <w:rPr>
                      <w:rFonts w:ascii="仿宋" w:hAnsi="仿宋" w:cs="仿宋"/>
                      <w:sz w:val="21"/>
                      <w:szCs w:val="21"/>
                    </w:rPr>
                  </w:pPr>
                  <w:r>
                    <w:rPr>
                      <w:rFonts w:hint="eastAsia" w:ascii="仿宋" w:hAnsi="仿宋" w:cs="仿宋"/>
                      <w:sz w:val="21"/>
                      <w:szCs w:val="21"/>
                    </w:rPr>
                    <w:t>通报上级部门、邻近单位</w:t>
                  </w:r>
                </w:p>
              </w:txbxContent>
            </v:textbox>
          </v:shape>
        </w:pict>
      </w:r>
    </w:p>
    <w:p>
      <w:pPr>
        <w:widowControl w:val="0"/>
        <w:ind w:firstLine="400"/>
        <w:rPr>
          <w:rFonts w:eastAsia="仿宋_GB2312"/>
          <w:sz w:val="20"/>
        </w:rPr>
      </w:pPr>
    </w:p>
    <w:p>
      <w:pPr>
        <w:widowControl w:val="0"/>
        <w:ind w:firstLine="562"/>
        <w:jc w:val="center"/>
        <w:rPr>
          <w:rFonts w:eastAsia="仿宋_GB2312"/>
          <w:b/>
          <w:bCs/>
          <w:szCs w:val="28"/>
        </w:rPr>
      </w:pPr>
    </w:p>
    <w:p>
      <w:pPr>
        <w:widowControl w:val="0"/>
        <w:ind w:firstLine="562"/>
        <w:jc w:val="center"/>
        <w:rPr>
          <w:rFonts w:eastAsia="仿宋_GB2312"/>
          <w:b/>
          <w:bCs/>
          <w:szCs w:val="28"/>
        </w:rPr>
      </w:pPr>
      <w:r>
        <w:rPr>
          <w:rFonts w:eastAsia="仿宋_GB2312"/>
          <w:b/>
          <w:bCs/>
          <w:szCs w:val="28"/>
        </w:rPr>
        <w:t>图6.1</w:t>
      </w:r>
      <w:r>
        <w:rPr>
          <w:rFonts w:hint="eastAsia" w:eastAsia="仿宋_GB2312"/>
          <w:b/>
          <w:bCs/>
          <w:szCs w:val="28"/>
        </w:rPr>
        <w:t>.3</w:t>
      </w:r>
      <w:r>
        <w:rPr>
          <w:rFonts w:eastAsia="仿宋_GB2312"/>
          <w:b/>
          <w:bCs/>
          <w:szCs w:val="28"/>
        </w:rPr>
        <w:t>-1信息通报程序</w:t>
      </w:r>
    </w:p>
    <w:p>
      <w:pPr>
        <w:pStyle w:val="6"/>
        <w:spacing w:beforeLines="50"/>
        <w:rPr>
          <w:rFonts w:eastAsia="仿宋_GB2312"/>
          <w:sz w:val="28"/>
          <w:szCs w:val="28"/>
        </w:rPr>
      </w:pPr>
      <w:bookmarkStart w:id="424" w:name="_Toc74856020"/>
      <w:bookmarkStart w:id="425" w:name="_Toc13256"/>
      <w:bookmarkStart w:id="426" w:name="_Toc30793"/>
      <w:bookmarkStart w:id="427" w:name="_Toc29266"/>
      <w:bookmarkStart w:id="428" w:name="_Toc466379487"/>
      <w:bookmarkStart w:id="429" w:name="_Toc522025670"/>
      <w:r>
        <w:rPr>
          <w:rFonts w:eastAsia="仿宋_GB2312"/>
          <w:sz w:val="28"/>
          <w:szCs w:val="28"/>
        </w:rPr>
        <w:t>6.2信息上报</w:t>
      </w:r>
      <w:bookmarkEnd w:id="424"/>
      <w:bookmarkEnd w:id="425"/>
      <w:bookmarkEnd w:id="426"/>
      <w:bookmarkEnd w:id="427"/>
      <w:bookmarkEnd w:id="428"/>
      <w:bookmarkEnd w:id="429"/>
    </w:p>
    <w:p>
      <w:pPr>
        <w:widowControl w:val="0"/>
        <w:spacing w:after="0" w:line="360" w:lineRule="auto"/>
        <w:ind w:firstLine="482"/>
        <w:jc w:val="both"/>
        <w:rPr>
          <w:rFonts w:eastAsia="仿宋_GB2312"/>
          <w:sz w:val="24"/>
          <w:szCs w:val="24"/>
        </w:rPr>
      </w:pPr>
      <w:bookmarkStart w:id="430" w:name="_Toc522025671"/>
      <w:bookmarkStart w:id="431" w:name="_Toc466379488"/>
      <w:r>
        <w:rPr>
          <w:rFonts w:eastAsia="仿宋_GB2312"/>
          <w:sz w:val="24"/>
          <w:szCs w:val="24"/>
        </w:rPr>
        <w:t>突发环境事件的报告分为初报、续报和处理结果报告。初报在发现或者得知突发环境事件后首次上报；续报在查清有关基本情况、事件发展情况后随时上报；处理结果报告在突发环境事件处理完毕后上报。</w:t>
      </w:r>
    </w:p>
    <w:p>
      <w:pPr>
        <w:pStyle w:val="73"/>
        <w:spacing w:after="0"/>
        <w:ind w:firstLine="482"/>
        <w:rPr>
          <w:sz w:val="24"/>
          <w:szCs w:val="24"/>
        </w:rPr>
      </w:pPr>
      <w:r>
        <w:rPr>
          <w:rFonts w:hint="eastAsia"/>
          <w:sz w:val="24"/>
          <w:szCs w:val="24"/>
        </w:rPr>
        <w:t>（1）发生黄色</w:t>
      </w:r>
      <w:r>
        <w:rPr>
          <w:sz w:val="24"/>
          <w:szCs w:val="24"/>
        </w:rPr>
        <w:t>预警</w:t>
      </w:r>
      <w:r>
        <w:rPr>
          <w:rFonts w:hint="eastAsia"/>
          <w:sz w:val="24"/>
          <w:szCs w:val="24"/>
        </w:rPr>
        <w:t>（岗位级）环境事件:</w:t>
      </w:r>
    </w:p>
    <w:p>
      <w:pPr>
        <w:pStyle w:val="73"/>
        <w:spacing w:after="0"/>
        <w:ind w:firstLine="482"/>
        <w:rPr>
          <w:sz w:val="24"/>
          <w:szCs w:val="24"/>
        </w:rPr>
      </w:pPr>
      <w:r>
        <w:rPr>
          <w:rFonts w:hint="eastAsia"/>
          <w:sz w:val="24"/>
          <w:szCs w:val="24"/>
        </w:rPr>
        <w:t>事件发现人员应立即汇报值班人员或相关领导，值班人员或相关领导收到事件信息后立即向应急指挥办公室汇报，并组织救援排险。事件排除（应急救援结束），将整个事件原因及过程上报应急指挥部。</w:t>
      </w:r>
    </w:p>
    <w:p>
      <w:pPr>
        <w:pStyle w:val="73"/>
        <w:spacing w:after="0"/>
        <w:ind w:firstLine="482"/>
        <w:rPr>
          <w:sz w:val="24"/>
          <w:szCs w:val="24"/>
        </w:rPr>
      </w:pPr>
      <w:r>
        <w:rPr>
          <w:rFonts w:hint="eastAsia"/>
          <w:sz w:val="24"/>
          <w:szCs w:val="24"/>
        </w:rPr>
        <w:t>（2）发生橙色</w:t>
      </w:r>
      <w:r>
        <w:rPr>
          <w:sz w:val="24"/>
          <w:szCs w:val="24"/>
        </w:rPr>
        <w:t>预警（</w:t>
      </w:r>
      <w:r>
        <w:rPr>
          <w:rFonts w:hint="eastAsia"/>
          <w:sz w:val="24"/>
          <w:szCs w:val="24"/>
        </w:rPr>
        <w:t>站</w:t>
      </w:r>
      <w:r>
        <w:rPr>
          <w:sz w:val="24"/>
          <w:szCs w:val="24"/>
        </w:rPr>
        <w:t>级）</w:t>
      </w:r>
      <w:r>
        <w:rPr>
          <w:rFonts w:hint="eastAsia"/>
          <w:sz w:val="24"/>
          <w:szCs w:val="24"/>
        </w:rPr>
        <w:t>环境事件:</w:t>
      </w:r>
    </w:p>
    <w:p>
      <w:pPr>
        <w:pStyle w:val="73"/>
        <w:spacing w:after="0"/>
        <w:ind w:firstLine="482"/>
        <w:rPr>
          <w:sz w:val="24"/>
          <w:szCs w:val="24"/>
        </w:rPr>
      </w:pPr>
      <w:r>
        <w:rPr>
          <w:rFonts w:hint="eastAsia"/>
          <w:sz w:val="24"/>
          <w:szCs w:val="24"/>
        </w:rPr>
        <w:t>事件发现人员应立即汇报值班人员或相关领导，值班人员或相关领导收到事件信息后立即向应急指挥部汇报，并组织救援排险。事件排除（应急救援结束），将整个事件原因及过程上报</w:t>
      </w:r>
      <w:r>
        <w:rPr>
          <w:sz w:val="24"/>
          <w:szCs w:val="24"/>
        </w:rPr>
        <w:t>中国石化销售股份有限公司云南文山石油分公司</w:t>
      </w:r>
      <w:r>
        <w:rPr>
          <w:rFonts w:hint="eastAsia"/>
          <w:sz w:val="24"/>
          <w:szCs w:val="24"/>
        </w:rPr>
        <w:t>。</w:t>
      </w:r>
    </w:p>
    <w:p>
      <w:pPr>
        <w:pStyle w:val="73"/>
        <w:spacing w:after="0"/>
        <w:ind w:firstLine="482"/>
        <w:rPr>
          <w:sz w:val="24"/>
          <w:szCs w:val="24"/>
        </w:rPr>
      </w:pPr>
      <w:r>
        <w:rPr>
          <w:rFonts w:hint="eastAsia"/>
          <w:sz w:val="24"/>
          <w:szCs w:val="24"/>
        </w:rPr>
        <w:t>（3）发生红色</w:t>
      </w:r>
      <w:r>
        <w:rPr>
          <w:sz w:val="24"/>
          <w:szCs w:val="24"/>
        </w:rPr>
        <w:t>预警（</w:t>
      </w:r>
      <w:r>
        <w:rPr>
          <w:rFonts w:hint="eastAsia"/>
          <w:sz w:val="24"/>
          <w:szCs w:val="24"/>
        </w:rPr>
        <w:t>社会级</w:t>
      </w:r>
      <w:r>
        <w:rPr>
          <w:sz w:val="24"/>
          <w:szCs w:val="24"/>
        </w:rPr>
        <w:t>）</w:t>
      </w:r>
      <w:r>
        <w:rPr>
          <w:rFonts w:hint="eastAsia"/>
          <w:sz w:val="24"/>
          <w:szCs w:val="24"/>
        </w:rPr>
        <w:t>环境级事件:</w:t>
      </w:r>
    </w:p>
    <w:p>
      <w:pPr>
        <w:widowControl w:val="0"/>
        <w:spacing w:after="0" w:line="360" w:lineRule="auto"/>
        <w:ind w:firstLine="482"/>
        <w:jc w:val="both"/>
        <w:rPr>
          <w:rFonts w:eastAsia="仿宋_GB2312"/>
          <w:sz w:val="24"/>
          <w:szCs w:val="24"/>
        </w:rPr>
      </w:pPr>
      <w:r>
        <w:rPr>
          <w:rFonts w:eastAsia="仿宋_GB2312"/>
          <w:sz w:val="24"/>
          <w:szCs w:val="24"/>
        </w:rPr>
        <w:t>影响公司外部、公司周围企业、居民及周边水体时，事件发现人员立即上报公司应急指挥部，公司应急指挥部应在事发当时先电话上报</w:t>
      </w:r>
      <w:r>
        <w:rPr>
          <w:rFonts w:hint="eastAsia" w:eastAsia="仿宋_GB2312"/>
          <w:sz w:val="24"/>
          <w:szCs w:val="24"/>
        </w:rPr>
        <w:t>文山州生态环境局西畴分局</w:t>
      </w:r>
      <w:r>
        <w:rPr>
          <w:rFonts w:eastAsia="仿宋_GB2312"/>
          <w:sz w:val="24"/>
          <w:szCs w:val="24"/>
        </w:rPr>
        <w:t>请求协助深入调查；若发生火灾时还要及时通知当地消防、医疗等部门，请求协助；事件排除（应急救援结束）后</w:t>
      </w:r>
      <w:r>
        <w:rPr>
          <w:rFonts w:hint="eastAsia" w:eastAsia="仿宋_GB2312"/>
          <w:sz w:val="24"/>
          <w:szCs w:val="24"/>
        </w:rPr>
        <w:t>，</w:t>
      </w:r>
      <w:r>
        <w:rPr>
          <w:rFonts w:eastAsia="仿宋_GB2312"/>
          <w:sz w:val="24"/>
          <w:szCs w:val="24"/>
        </w:rPr>
        <w:t>由急指挥部总指挥将事件内容书面上报</w:t>
      </w:r>
      <w:r>
        <w:rPr>
          <w:rFonts w:hint="eastAsia" w:eastAsia="仿宋_GB2312"/>
          <w:sz w:val="24"/>
          <w:szCs w:val="24"/>
        </w:rPr>
        <w:t>文山州生态环境局西畴分局</w:t>
      </w:r>
      <w:r>
        <w:rPr>
          <w:rFonts w:eastAsia="仿宋_GB2312"/>
          <w:sz w:val="24"/>
          <w:szCs w:val="24"/>
        </w:rPr>
        <w:t>备案。</w:t>
      </w:r>
    </w:p>
    <w:p>
      <w:pPr>
        <w:pStyle w:val="6"/>
        <w:spacing w:beforeLines="50"/>
        <w:rPr>
          <w:rFonts w:eastAsia="仿宋_GB2312"/>
          <w:sz w:val="28"/>
          <w:szCs w:val="28"/>
        </w:rPr>
      </w:pPr>
      <w:bookmarkStart w:id="432" w:name="_Toc26212"/>
      <w:bookmarkStart w:id="433" w:name="_Toc31863"/>
      <w:bookmarkStart w:id="434" w:name="_Toc74856021"/>
      <w:bookmarkStart w:id="435" w:name="_Toc16021"/>
      <w:r>
        <w:rPr>
          <w:rFonts w:eastAsia="仿宋_GB2312"/>
          <w:sz w:val="28"/>
          <w:szCs w:val="28"/>
        </w:rPr>
        <w:t>6.3事件报告内容</w:t>
      </w:r>
      <w:bookmarkEnd w:id="430"/>
      <w:bookmarkEnd w:id="431"/>
      <w:bookmarkEnd w:id="432"/>
      <w:bookmarkEnd w:id="433"/>
      <w:bookmarkEnd w:id="434"/>
      <w:bookmarkEnd w:id="435"/>
    </w:p>
    <w:p>
      <w:pPr>
        <w:spacing w:after="0" w:line="360" w:lineRule="auto"/>
        <w:ind w:firstLine="482"/>
        <w:rPr>
          <w:rFonts w:eastAsia="仿宋_GB2312"/>
          <w:sz w:val="24"/>
          <w:szCs w:val="24"/>
        </w:rPr>
      </w:pPr>
      <w:bookmarkStart w:id="436" w:name="_Toc25479"/>
      <w:bookmarkStart w:id="437" w:name="_Toc1299"/>
      <w:r>
        <w:rPr>
          <w:rFonts w:eastAsia="仿宋_GB2312"/>
          <w:sz w:val="24"/>
          <w:szCs w:val="24"/>
        </w:rPr>
        <w:t>突发环境事件的报告分为初报、续报和处理结果报告三类。</w:t>
      </w:r>
    </w:p>
    <w:p>
      <w:pPr>
        <w:spacing w:after="0" w:line="360" w:lineRule="auto"/>
        <w:ind w:firstLine="482"/>
        <w:rPr>
          <w:rFonts w:eastAsia="仿宋_GB2312"/>
          <w:sz w:val="24"/>
          <w:szCs w:val="24"/>
        </w:rPr>
      </w:pPr>
      <w:r>
        <w:rPr>
          <w:rFonts w:eastAsia="仿宋_GB2312"/>
          <w:sz w:val="24"/>
          <w:szCs w:val="24"/>
        </w:rPr>
        <w:t>（1）初报</w:t>
      </w:r>
    </w:p>
    <w:p>
      <w:pPr>
        <w:spacing w:after="0" w:line="360" w:lineRule="auto"/>
        <w:ind w:firstLine="482"/>
        <w:rPr>
          <w:rFonts w:eastAsia="仿宋_GB2312"/>
          <w:sz w:val="24"/>
          <w:szCs w:val="24"/>
        </w:rPr>
      </w:pPr>
      <w:r>
        <w:rPr>
          <w:rFonts w:eastAsia="仿宋_GB2312"/>
          <w:sz w:val="24"/>
          <w:szCs w:val="24"/>
        </w:rPr>
        <w:t>初报采用电话和书面报告两种方式，主要内容包括：环境事件的类型、发生时间、地点、污染源、主要污染物质、人员受害情况、事件潜在的危害程度、转化方式趋向等初步情况，单位名称、联系人、联系电话等。</w:t>
      </w:r>
    </w:p>
    <w:p>
      <w:pPr>
        <w:spacing w:after="0" w:line="360" w:lineRule="auto"/>
        <w:ind w:firstLine="482"/>
        <w:rPr>
          <w:rFonts w:eastAsia="仿宋_GB2312"/>
          <w:sz w:val="24"/>
          <w:szCs w:val="24"/>
        </w:rPr>
      </w:pPr>
      <w:r>
        <w:rPr>
          <w:rFonts w:eastAsia="仿宋_GB2312"/>
          <w:sz w:val="24"/>
          <w:szCs w:val="24"/>
        </w:rPr>
        <w:t>初报从发现事件后1小时内上报；续报在查清有关基本情况后2小时内上报；处理结果报告在事件处理完毕后4小时内书面上报。报告应采用适当方式，避免在事发地群众中造成不利社会影响。</w:t>
      </w:r>
    </w:p>
    <w:p>
      <w:pPr>
        <w:spacing w:after="0" w:line="360" w:lineRule="auto"/>
        <w:ind w:firstLine="482"/>
        <w:rPr>
          <w:rFonts w:eastAsia="仿宋_GB2312"/>
          <w:sz w:val="24"/>
          <w:szCs w:val="24"/>
        </w:rPr>
      </w:pPr>
      <w:bookmarkStart w:id="438" w:name="_Toc72068735"/>
      <w:r>
        <w:rPr>
          <w:rFonts w:eastAsia="仿宋_GB2312"/>
          <w:sz w:val="24"/>
          <w:szCs w:val="24"/>
        </w:rPr>
        <w:t>（2）续报</w:t>
      </w:r>
      <w:bookmarkEnd w:id="438"/>
    </w:p>
    <w:p>
      <w:pPr>
        <w:spacing w:after="0" w:line="360" w:lineRule="auto"/>
        <w:ind w:firstLine="482"/>
        <w:rPr>
          <w:rFonts w:eastAsia="仿宋_GB2312"/>
          <w:sz w:val="24"/>
          <w:szCs w:val="24"/>
        </w:rPr>
      </w:pPr>
      <w:r>
        <w:rPr>
          <w:rFonts w:eastAsia="仿宋_GB2312"/>
          <w:sz w:val="24"/>
          <w:szCs w:val="24"/>
        </w:rPr>
        <w:t>续报在查清有关基本情况后视突发环境风险事故进展情况可一次或多次报告、续报可通过网络或书面报告，在初报的基础上报告有关确切数据，事件发生的原因、过程、进展情况及采取的应急措施等基本情况。续报根据应急处理工作进展情况每天上报，当情况发生特殊变化或有重要信息时应随时上报；结果报告在事件处理完毕后立即上报。</w:t>
      </w:r>
    </w:p>
    <w:p>
      <w:pPr>
        <w:spacing w:after="0" w:line="360" w:lineRule="auto"/>
        <w:ind w:firstLine="482"/>
        <w:rPr>
          <w:rFonts w:eastAsia="仿宋_GB2312"/>
          <w:sz w:val="24"/>
          <w:szCs w:val="24"/>
        </w:rPr>
      </w:pPr>
      <w:bookmarkStart w:id="439" w:name="_Toc72068736"/>
      <w:r>
        <w:rPr>
          <w:rFonts w:eastAsia="仿宋_GB2312"/>
          <w:sz w:val="24"/>
          <w:szCs w:val="24"/>
        </w:rPr>
        <w:t>（3）处理结果</w:t>
      </w:r>
      <w:bookmarkEnd w:id="439"/>
    </w:p>
    <w:p>
      <w:pPr>
        <w:spacing w:after="0" w:line="360" w:lineRule="auto"/>
        <w:ind w:firstLine="482"/>
        <w:rPr>
          <w:rFonts w:eastAsia="仿宋_GB2312"/>
          <w:sz w:val="24"/>
          <w:szCs w:val="24"/>
        </w:rPr>
      </w:pPr>
      <w:bookmarkStart w:id="440" w:name="_Toc425812118"/>
      <w:r>
        <w:rPr>
          <w:rFonts w:eastAsia="仿宋_GB2312"/>
          <w:sz w:val="24"/>
          <w:szCs w:val="24"/>
        </w:rPr>
        <w:t>处理结果报告在突发环境事故处理完毕后上报，采用书面报告。处理结果报告在初报和续报的基础上，报告处理突发环境风险事故的措施、过程和结果，突发环境风险事故潜在或间接的危害及损失、社会影响、处理后的遗留问题、责任追究等详细情况。</w:t>
      </w:r>
      <w:bookmarkEnd w:id="440"/>
    </w:p>
    <w:p>
      <w:pPr>
        <w:pStyle w:val="79"/>
      </w:pPr>
      <w:bookmarkStart w:id="441" w:name="_Toc23055"/>
      <w:bookmarkStart w:id="442" w:name="_Toc74856022"/>
      <w:r>
        <w:rPr>
          <w:rFonts w:hint="eastAsia"/>
        </w:rPr>
        <w:t>6.4报告要求</w:t>
      </w:r>
      <w:bookmarkEnd w:id="441"/>
      <w:bookmarkEnd w:id="442"/>
    </w:p>
    <w:p>
      <w:pPr>
        <w:spacing w:after="0" w:line="360" w:lineRule="auto"/>
        <w:ind w:firstLine="482"/>
        <w:rPr>
          <w:rFonts w:eastAsia="仿宋_GB2312"/>
          <w:sz w:val="24"/>
          <w:szCs w:val="24"/>
        </w:rPr>
      </w:pPr>
      <w:r>
        <w:rPr>
          <w:rFonts w:hint="eastAsia" w:eastAsia="仿宋_GB2312"/>
          <w:sz w:val="24"/>
          <w:szCs w:val="24"/>
        </w:rPr>
        <w:t>（1）向当地环保部门报告信息，必须做到数据源唯一、数据准确、及时；</w:t>
      </w:r>
    </w:p>
    <w:p>
      <w:pPr>
        <w:spacing w:after="0" w:line="360" w:lineRule="auto"/>
        <w:ind w:firstLine="482"/>
        <w:rPr>
          <w:rFonts w:eastAsia="仿宋_GB2312"/>
          <w:sz w:val="24"/>
          <w:szCs w:val="24"/>
        </w:rPr>
      </w:pPr>
      <w:r>
        <w:rPr>
          <w:rFonts w:hint="eastAsia" w:eastAsia="仿宋_GB2312"/>
          <w:sz w:val="24"/>
          <w:szCs w:val="24"/>
        </w:rPr>
        <w:t>（2）突发环境事件预警期内，现场应急处置小组2小时内向应急指挥办公室报送信息1次；重大突发环境事件预警及重大事件响应期内每天向公司定时报送1次信息；</w:t>
      </w:r>
    </w:p>
    <w:p>
      <w:pPr>
        <w:spacing w:after="0" w:line="360" w:lineRule="auto"/>
        <w:ind w:firstLine="482"/>
        <w:rPr>
          <w:rFonts w:eastAsia="仿宋_GB2312"/>
          <w:sz w:val="24"/>
          <w:szCs w:val="24"/>
        </w:rPr>
      </w:pPr>
      <w:r>
        <w:rPr>
          <w:rFonts w:hint="eastAsia" w:eastAsia="仿宋_GB2312"/>
          <w:sz w:val="24"/>
          <w:szCs w:val="24"/>
        </w:rPr>
        <w:t>（3）突发环境事件响应期，现场应急处置组1小时内向应急办公室报送信息1次；重大突发环境事件响应期内每天向当地环保部门定时报送2次信息；</w:t>
      </w:r>
    </w:p>
    <w:p>
      <w:pPr>
        <w:spacing w:after="0" w:line="360" w:lineRule="auto"/>
        <w:ind w:firstLine="482"/>
        <w:rPr>
          <w:rFonts w:eastAsia="仿宋_GB2312"/>
          <w:sz w:val="24"/>
          <w:szCs w:val="24"/>
        </w:rPr>
      </w:pPr>
      <w:r>
        <w:rPr>
          <w:rFonts w:hint="eastAsia" w:eastAsia="仿宋_GB2312"/>
          <w:sz w:val="24"/>
          <w:szCs w:val="24"/>
        </w:rPr>
        <w:t>（4）应急指挥办公室在了解相关情况后填写《突发环境事件报告单》，以电子邮件、传真方式向当地环保部门报告事件基本情况；</w:t>
      </w:r>
    </w:p>
    <w:p>
      <w:pPr>
        <w:spacing w:after="0" w:line="360" w:lineRule="auto"/>
        <w:ind w:firstLine="482"/>
        <w:rPr>
          <w:rFonts w:eastAsia="仿宋_GB2312"/>
          <w:sz w:val="24"/>
          <w:szCs w:val="24"/>
        </w:rPr>
      </w:pPr>
      <w:r>
        <w:rPr>
          <w:rFonts w:hint="eastAsia" w:eastAsia="仿宋_GB2312"/>
          <w:sz w:val="24"/>
          <w:szCs w:val="24"/>
        </w:rPr>
        <w:t>（5）根据当地环保部门的临时要求，及时报送相关信息。</w:t>
      </w:r>
    </w:p>
    <w:p>
      <w:pPr>
        <w:pStyle w:val="6"/>
        <w:rPr>
          <w:rFonts w:eastAsia="仿宋_GB2312"/>
          <w:sz w:val="28"/>
          <w:szCs w:val="28"/>
        </w:rPr>
      </w:pPr>
      <w:bookmarkStart w:id="443" w:name="_Toc74856023"/>
      <w:bookmarkStart w:id="444" w:name="_Toc24727"/>
      <w:r>
        <w:rPr>
          <w:rFonts w:eastAsia="仿宋_GB2312"/>
          <w:sz w:val="28"/>
          <w:szCs w:val="28"/>
        </w:rPr>
        <w:t>6.</w:t>
      </w:r>
      <w:r>
        <w:rPr>
          <w:rFonts w:hint="eastAsia" w:eastAsia="仿宋_GB2312"/>
          <w:sz w:val="28"/>
          <w:szCs w:val="28"/>
        </w:rPr>
        <w:t>5</w:t>
      </w:r>
      <w:r>
        <w:rPr>
          <w:rFonts w:eastAsia="仿宋_GB2312"/>
          <w:sz w:val="28"/>
          <w:szCs w:val="28"/>
        </w:rPr>
        <w:t>疏散通报</w:t>
      </w:r>
      <w:bookmarkEnd w:id="436"/>
      <w:bookmarkEnd w:id="437"/>
      <w:bookmarkEnd w:id="443"/>
      <w:bookmarkEnd w:id="444"/>
    </w:p>
    <w:p>
      <w:pPr>
        <w:widowControl w:val="0"/>
        <w:spacing w:after="0" w:line="360" w:lineRule="auto"/>
        <w:ind w:firstLine="480"/>
        <w:jc w:val="both"/>
        <w:rPr>
          <w:rFonts w:eastAsia="仿宋_GB2312"/>
          <w:sz w:val="24"/>
          <w:szCs w:val="24"/>
        </w:rPr>
      </w:pPr>
      <w:r>
        <w:rPr>
          <w:rFonts w:eastAsia="仿宋_GB2312"/>
          <w:sz w:val="24"/>
          <w:szCs w:val="24"/>
        </w:rPr>
        <w:t>依据发生事件的场所，设施及周围情况、污染事件的性质和危害程度，当时的风向等气象情况确定撤离路线，进行疏散通报。</w:t>
      </w:r>
    </w:p>
    <w:p>
      <w:pPr>
        <w:pStyle w:val="7"/>
        <w:rPr>
          <w:rFonts w:eastAsia="仿宋_GB2312"/>
          <w:szCs w:val="28"/>
        </w:rPr>
      </w:pPr>
      <w:bookmarkStart w:id="445" w:name="_Toc74856024"/>
      <w:bookmarkStart w:id="446" w:name="_Toc23846"/>
      <w:bookmarkStart w:id="447" w:name="_Toc8696"/>
      <w:r>
        <w:rPr>
          <w:rFonts w:eastAsia="仿宋_GB2312"/>
          <w:szCs w:val="28"/>
        </w:rPr>
        <w:t>6.</w:t>
      </w:r>
      <w:r>
        <w:rPr>
          <w:rFonts w:hint="eastAsia" w:eastAsia="仿宋_GB2312"/>
          <w:szCs w:val="28"/>
        </w:rPr>
        <w:t>5</w:t>
      </w:r>
      <w:r>
        <w:rPr>
          <w:rFonts w:eastAsia="仿宋_GB2312"/>
          <w:szCs w:val="28"/>
        </w:rPr>
        <w:t>.1非事件原发点现场人员的紧急疏散</w:t>
      </w:r>
      <w:bookmarkEnd w:id="445"/>
      <w:bookmarkEnd w:id="446"/>
      <w:bookmarkEnd w:id="447"/>
    </w:p>
    <w:p>
      <w:pPr>
        <w:widowControl w:val="0"/>
        <w:spacing w:after="0" w:line="360" w:lineRule="auto"/>
        <w:ind w:firstLine="480"/>
        <w:jc w:val="both"/>
        <w:rPr>
          <w:rFonts w:eastAsia="仿宋_GB2312"/>
          <w:sz w:val="24"/>
          <w:szCs w:val="24"/>
        </w:rPr>
      </w:pPr>
      <w:r>
        <w:rPr>
          <w:rFonts w:eastAsia="仿宋_GB2312"/>
          <w:sz w:val="24"/>
          <w:szCs w:val="24"/>
        </w:rPr>
        <w:t>现场指挥人员，根据事件可能扩大的范围和当时气象条件，抢救进展情况及预计延展趋势，综合分析判断，及时通报可能受影响的人员进行撤离，防止出现恐慌或引发次生事件。</w:t>
      </w:r>
    </w:p>
    <w:p>
      <w:pPr>
        <w:pStyle w:val="7"/>
        <w:rPr>
          <w:rFonts w:eastAsia="仿宋_GB2312"/>
          <w:szCs w:val="28"/>
        </w:rPr>
      </w:pPr>
      <w:bookmarkStart w:id="448" w:name="_Toc1812"/>
      <w:bookmarkStart w:id="449" w:name="_Toc74856025"/>
      <w:bookmarkStart w:id="450" w:name="_Toc19214"/>
      <w:r>
        <w:rPr>
          <w:rFonts w:eastAsia="仿宋_GB2312"/>
          <w:szCs w:val="28"/>
        </w:rPr>
        <w:t>6.</w:t>
      </w:r>
      <w:r>
        <w:rPr>
          <w:rFonts w:hint="eastAsia" w:eastAsia="仿宋_GB2312"/>
          <w:szCs w:val="28"/>
        </w:rPr>
        <w:t>5</w:t>
      </w:r>
      <w:r>
        <w:rPr>
          <w:rFonts w:eastAsia="仿宋_GB2312"/>
          <w:szCs w:val="28"/>
        </w:rPr>
        <w:t>.2周边区域人员的疏散</w:t>
      </w:r>
      <w:bookmarkEnd w:id="448"/>
      <w:bookmarkEnd w:id="449"/>
      <w:bookmarkEnd w:id="450"/>
    </w:p>
    <w:p>
      <w:pPr>
        <w:widowControl w:val="0"/>
        <w:spacing w:after="0" w:line="360" w:lineRule="auto"/>
        <w:ind w:firstLine="480"/>
        <w:rPr>
          <w:rFonts w:ascii="仿宋" w:hAnsi="仿宋"/>
        </w:rPr>
        <w:sectPr>
          <w:pgSz w:w="11906" w:h="16838"/>
          <w:pgMar w:top="1440" w:right="1800" w:bottom="1440" w:left="1800" w:header="708" w:footer="708" w:gutter="0"/>
          <w:cols w:space="720" w:num="1"/>
          <w:docGrid w:linePitch="360" w:charSpace="0"/>
        </w:sectPr>
      </w:pPr>
      <w:r>
        <w:rPr>
          <w:rFonts w:eastAsia="仿宋_GB2312"/>
          <w:sz w:val="24"/>
        </w:rPr>
        <w:t>根据污染事件的危害特性和事件的涉及或影响范围，由总指挥决定是否需要向周边地区发布信息，并与政府有关部门联系，如果政府部门决定对周边区域的单位，居民进行疏散时，立即组织广播车辆和专业人员协助公安及其他政府有关部门的人员进行动员和疏导，使周边区域的人员安全疏散</w:t>
      </w:r>
      <w:r>
        <w:rPr>
          <w:rFonts w:hint="eastAsia" w:eastAsia="仿宋_GB2312"/>
          <w:sz w:val="24"/>
        </w:rPr>
        <w:t>。</w:t>
      </w:r>
    </w:p>
    <w:bookmarkEnd w:id="400"/>
    <w:bookmarkEnd w:id="401"/>
    <w:p>
      <w:pPr>
        <w:pStyle w:val="5"/>
        <w:rPr>
          <w:rFonts w:ascii="仿宋" w:hAnsi="仿宋"/>
          <w:sz w:val="28"/>
          <w:szCs w:val="28"/>
        </w:rPr>
      </w:pPr>
      <w:bookmarkStart w:id="451" w:name="_Toc29909"/>
      <w:bookmarkStart w:id="452" w:name="_Toc74856026"/>
      <w:r>
        <w:rPr>
          <w:rFonts w:ascii="仿宋" w:hAnsi="仿宋"/>
          <w:sz w:val="28"/>
          <w:szCs w:val="28"/>
        </w:rPr>
        <w:t>7</w:t>
      </w:r>
      <w:r>
        <w:rPr>
          <w:rFonts w:hint="eastAsia" w:ascii="仿宋" w:hAnsi="仿宋"/>
          <w:sz w:val="28"/>
          <w:szCs w:val="28"/>
        </w:rPr>
        <w:t>.应急响应与措施</w:t>
      </w:r>
      <w:bookmarkEnd w:id="451"/>
      <w:bookmarkEnd w:id="452"/>
    </w:p>
    <w:p>
      <w:pPr>
        <w:pStyle w:val="6"/>
        <w:rPr>
          <w:rFonts w:ascii="仿宋" w:hAnsi="仿宋"/>
          <w:sz w:val="28"/>
          <w:szCs w:val="28"/>
        </w:rPr>
      </w:pPr>
      <w:bookmarkStart w:id="453" w:name="_Toc9390"/>
      <w:bookmarkStart w:id="454" w:name="_Toc23743"/>
      <w:bookmarkStart w:id="455" w:name="_Toc74856027"/>
      <w:bookmarkStart w:id="456" w:name="_Toc505260181"/>
      <w:bookmarkStart w:id="457" w:name="_Toc17844"/>
      <w:bookmarkStart w:id="458" w:name="_Toc6983"/>
      <w:bookmarkStart w:id="459" w:name="_Toc7469"/>
      <w:bookmarkStart w:id="460" w:name="_Toc466379492"/>
      <w:bookmarkStart w:id="461" w:name="_Toc522025675"/>
      <w:r>
        <w:rPr>
          <w:rFonts w:ascii="仿宋" w:hAnsi="仿宋"/>
          <w:sz w:val="28"/>
          <w:szCs w:val="28"/>
        </w:rPr>
        <w:t>7.1分级响应机制</w:t>
      </w:r>
      <w:bookmarkEnd w:id="453"/>
      <w:bookmarkEnd w:id="454"/>
      <w:bookmarkEnd w:id="455"/>
      <w:bookmarkEnd w:id="456"/>
      <w:bookmarkEnd w:id="457"/>
      <w:bookmarkEnd w:id="458"/>
      <w:bookmarkEnd w:id="459"/>
    </w:p>
    <w:p>
      <w:pPr>
        <w:widowControl w:val="0"/>
        <w:spacing w:line="360" w:lineRule="auto"/>
        <w:ind w:firstLine="480"/>
        <w:jc w:val="both"/>
        <w:rPr>
          <w:rFonts w:eastAsia="仿宋_GB2312"/>
          <w:sz w:val="24"/>
          <w:szCs w:val="28"/>
        </w:rPr>
      </w:pPr>
      <w:bookmarkStart w:id="462" w:name="_Toc28996"/>
      <w:bookmarkStart w:id="463" w:name="_Toc505260182"/>
      <w:bookmarkStart w:id="464" w:name="_Toc23426"/>
      <w:bookmarkStart w:id="465" w:name="_Toc15310"/>
      <w:bookmarkStart w:id="466" w:name="_Toc526451936"/>
      <w:r>
        <w:rPr>
          <w:rFonts w:eastAsia="仿宋_GB2312"/>
          <w:sz w:val="24"/>
          <w:szCs w:val="28"/>
        </w:rPr>
        <w:t>按照突发环境事件的可控程度和严重性、发展态势，</w:t>
      </w:r>
      <w:r>
        <w:rPr>
          <w:rFonts w:hint="eastAsia" w:eastAsia="仿宋_GB2312"/>
          <w:sz w:val="24"/>
          <w:szCs w:val="28"/>
        </w:rPr>
        <w:t>将加油站应急响应分为三级，响应级别由高到低分别为红色响应、橙色响应、黄色响应。突发环境事件发生在易造成重大影响的区域或重要时段时，可适当提高响应级别。应急响应启动后，可视事件损失情况及其发展趋势调整响应级别，避免响应不足或响应过度。</w:t>
      </w:r>
    </w:p>
    <w:bookmarkEnd w:id="462"/>
    <w:bookmarkEnd w:id="463"/>
    <w:bookmarkEnd w:id="464"/>
    <w:bookmarkEnd w:id="465"/>
    <w:bookmarkEnd w:id="466"/>
    <w:p>
      <w:pPr>
        <w:pStyle w:val="7"/>
        <w:rPr>
          <w:rFonts w:eastAsia="仿宋_GB2312"/>
          <w:szCs w:val="28"/>
        </w:rPr>
      </w:pPr>
      <w:bookmarkStart w:id="467" w:name="_Toc74856028"/>
      <w:bookmarkStart w:id="468" w:name="_Toc5067"/>
      <w:bookmarkStart w:id="469" w:name="_Toc505260184"/>
      <w:bookmarkStart w:id="470" w:name="_Toc28330"/>
      <w:bookmarkStart w:id="471" w:name="_Toc12027"/>
      <w:bookmarkStart w:id="472" w:name="_Toc26170"/>
      <w:r>
        <w:rPr>
          <w:rFonts w:eastAsia="仿宋_GB2312"/>
          <w:szCs w:val="28"/>
        </w:rPr>
        <w:t>7.1.1</w:t>
      </w:r>
      <w:r>
        <w:rPr>
          <w:rFonts w:hint="eastAsia" w:eastAsia="仿宋_GB2312"/>
          <w:szCs w:val="28"/>
        </w:rPr>
        <w:t xml:space="preserve"> 红色响应（社会级）</w:t>
      </w:r>
      <w:bookmarkEnd w:id="467"/>
    </w:p>
    <w:p>
      <w:pPr>
        <w:widowControl w:val="0"/>
        <w:spacing w:line="360" w:lineRule="auto"/>
        <w:ind w:firstLine="480"/>
        <w:jc w:val="both"/>
        <w:rPr>
          <w:rFonts w:eastAsia="仿宋_GB2312"/>
          <w:sz w:val="24"/>
          <w:szCs w:val="28"/>
        </w:rPr>
      </w:pPr>
      <w:r>
        <w:rPr>
          <w:rFonts w:hint="eastAsia" w:eastAsia="仿宋_GB2312"/>
          <w:sz w:val="24"/>
          <w:szCs w:val="28"/>
        </w:rPr>
        <w:t>加油站发生火灾、爆炸事故，发生人员伤亡、中毒; 事故环境污染影响扩散到厂界外，对周边的环境造成污染，引起群体性影响的，本油站已不可控制。</w:t>
      </w:r>
    </w:p>
    <w:p>
      <w:pPr>
        <w:pStyle w:val="7"/>
        <w:rPr>
          <w:rFonts w:eastAsia="仿宋_GB2312"/>
          <w:szCs w:val="28"/>
        </w:rPr>
      </w:pPr>
      <w:bookmarkStart w:id="473" w:name="_Toc18695"/>
      <w:bookmarkStart w:id="474" w:name="_Toc10329"/>
      <w:bookmarkStart w:id="475" w:name="_Toc5007"/>
      <w:bookmarkStart w:id="476" w:name="_Toc505260183"/>
      <w:bookmarkStart w:id="477" w:name="_Toc526451937"/>
      <w:bookmarkStart w:id="478" w:name="_Toc74856029"/>
      <w:r>
        <w:rPr>
          <w:rFonts w:eastAsia="仿宋_GB2312"/>
          <w:szCs w:val="28"/>
        </w:rPr>
        <w:t>7.1.2</w:t>
      </w:r>
      <w:bookmarkEnd w:id="473"/>
      <w:bookmarkEnd w:id="474"/>
      <w:bookmarkEnd w:id="475"/>
      <w:bookmarkEnd w:id="476"/>
      <w:bookmarkEnd w:id="477"/>
      <w:r>
        <w:rPr>
          <w:rFonts w:hint="eastAsia" w:eastAsia="仿宋_GB2312"/>
          <w:szCs w:val="28"/>
        </w:rPr>
        <w:t>橙色响应（站级）</w:t>
      </w:r>
      <w:bookmarkEnd w:id="478"/>
    </w:p>
    <w:p>
      <w:pPr>
        <w:widowControl w:val="0"/>
        <w:spacing w:line="360" w:lineRule="auto"/>
        <w:ind w:firstLine="480"/>
        <w:jc w:val="both"/>
        <w:rPr>
          <w:rFonts w:eastAsia="仿宋_GB2312"/>
          <w:sz w:val="24"/>
          <w:szCs w:val="28"/>
        </w:rPr>
      </w:pPr>
      <w:r>
        <w:rPr>
          <w:rFonts w:hint="eastAsia" w:eastAsia="仿宋_GB2312"/>
          <w:sz w:val="24"/>
          <w:szCs w:val="28"/>
        </w:rPr>
        <w:t>加油站局部发生火灾未引发爆炸，或者局部发生安全事故引起厂界内的环境影响，影响正常运营，但未扩散到厂界外，经处理后可消除影响的，油站可以控制的。</w:t>
      </w:r>
    </w:p>
    <w:p>
      <w:pPr>
        <w:pStyle w:val="7"/>
        <w:rPr>
          <w:rFonts w:eastAsia="仿宋_GB2312"/>
          <w:szCs w:val="28"/>
        </w:rPr>
      </w:pPr>
      <w:bookmarkStart w:id="479" w:name="_Toc74856030"/>
      <w:r>
        <w:rPr>
          <w:rFonts w:eastAsia="仿宋_GB2312"/>
          <w:szCs w:val="28"/>
        </w:rPr>
        <w:t>7.1.</w:t>
      </w:r>
      <w:r>
        <w:rPr>
          <w:rFonts w:hint="eastAsia" w:eastAsia="仿宋_GB2312"/>
          <w:szCs w:val="28"/>
        </w:rPr>
        <w:t>3黄色响应（岗位级）</w:t>
      </w:r>
      <w:bookmarkEnd w:id="479"/>
    </w:p>
    <w:p>
      <w:pPr>
        <w:widowControl w:val="0"/>
        <w:spacing w:line="360" w:lineRule="auto"/>
        <w:ind w:firstLine="480"/>
        <w:jc w:val="both"/>
        <w:rPr>
          <w:rFonts w:eastAsia="仿宋_GB2312"/>
          <w:sz w:val="24"/>
          <w:szCs w:val="28"/>
        </w:rPr>
      </w:pPr>
      <w:r>
        <w:rPr>
          <w:rFonts w:hint="eastAsia" w:eastAsia="仿宋_GB2312"/>
          <w:sz w:val="24"/>
          <w:szCs w:val="28"/>
        </w:rPr>
        <w:t>加油站发环境事件引发事故不影响正常运营，可及时消除的较小的影响环境的事件，在班或者在岗人员可以控制的。</w:t>
      </w:r>
    </w:p>
    <w:p>
      <w:pPr>
        <w:pStyle w:val="6"/>
        <w:rPr>
          <w:rFonts w:ascii="仿宋" w:hAnsi="仿宋"/>
          <w:sz w:val="28"/>
          <w:szCs w:val="28"/>
        </w:rPr>
      </w:pPr>
      <w:bookmarkStart w:id="480" w:name="_Toc11873"/>
      <w:bookmarkStart w:id="481" w:name="_Toc74856031"/>
      <w:r>
        <w:rPr>
          <w:rFonts w:ascii="仿宋" w:hAnsi="仿宋"/>
          <w:sz w:val="28"/>
          <w:szCs w:val="28"/>
        </w:rPr>
        <w:t>7.2响应程序</w:t>
      </w:r>
      <w:bookmarkEnd w:id="468"/>
      <w:bookmarkEnd w:id="469"/>
      <w:bookmarkEnd w:id="470"/>
      <w:bookmarkEnd w:id="471"/>
      <w:bookmarkEnd w:id="472"/>
      <w:bookmarkEnd w:id="480"/>
      <w:bookmarkEnd w:id="481"/>
    </w:p>
    <w:p>
      <w:pPr>
        <w:widowControl w:val="0"/>
        <w:spacing w:after="0" w:line="360" w:lineRule="auto"/>
        <w:ind w:firstLine="482"/>
        <w:jc w:val="both"/>
        <w:rPr>
          <w:rFonts w:eastAsia="仿宋_GB2312"/>
          <w:sz w:val="24"/>
          <w:szCs w:val="28"/>
        </w:rPr>
      </w:pPr>
      <w:r>
        <w:rPr>
          <w:rFonts w:eastAsia="仿宋_GB2312"/>
          <w:sz w:val="24"/>
          <w:szCs w:val="28"/>
        </w:rPr>
        <w:t>发生突发环境事件时，按照分级响应的原则，确定不同级别的现场负责人，指挥调度应急救援工作和开展事件应急响应。</w:t>
      </w:r>
      <w:r>
        <w:rPr>
          <w:rFonts w:hint="eastAsia" w:eastAsia="仿宋_GB2312"/>
          <w:sz w:val="24"/>
          <w:szCs w:val="28"/>
        </w:rPr>
        <w:t>加油站</w:t>
      </w:r>
      <w:r>
        <w:rPr>
          <w:rFonts w:eastAsia="仿宋_GB2312"/>
          <w:sz w:val="24"/>
          <w:szCs w:val="28"/>
        </w:rPr>
        <w:t>突发环境事件应急响应程序图见图7</w:t>
      </w:r>
      <w:r>
        <w:rPr>
          <w:rFonts w:hint="eastAsia" w:eastAsia="仿宋_GB2312"/>
          <w:sz w:val="24"/>
          <w:szCs w:val="28"/>
        </w:rPr>
        <w:t>.2</w:t>
      </w:r>
      <w:r>
        <w:rPr>
          <w:rFonts w:eastAsia="仿宋_GB2312"/>
          <w:sz w:val="24"/>
          <w:szCs w:val="28"/>
        </w:rPr>
        <w:t>-1。</w:t>
      </w:r>
    </w:p>
    <w:p>
      <w:pPr>
        <w:widowControl w:val="0"/>
        <w:spacing w:after="0" w:line="360" w:lineRule="auto"/>
        <w:ind w:firstLine="482"/>
        <w:jc w:val="both"/>
        <w:rPr>
          <w:rFonts w:eastAsia="仿宋_GB2312"/>
          <w:sz w:val="24"/>
          <w:szCs w:val="28"/>
        </w:rPr>
      </w:pPr>
      <w:r>
        <w:rPr>
          <w:rFonts w:hint="eastAsia" w:eastAsia="仿宋_GB2312"/>
          <w:sz w:val="24"/>
          <w:szCs w:val="28"/>
        </w:rPr>
        <w:t>（1）</w:t>
      </w:r>
      <w:r>
        <w:rPr>
          <w:rFonts w:hint="eastAsia" w:eastAsia="仿宋_GB2312"/>
          <w:sz w:val="24"/>
          <w:szCs w:val="28"/>
          <w:lang w:val="en-US" w:eastAsia="zh-CN"/>
        </w:rPr>
        <w:t>黄色</w:t>
      </w:r>
      <w:r>
        <w:rPr>
          <w:rFonts w:hint="eastAsia" w:eastAsia="仿宋_GB2312"/>
          <w:sz w:val="24"/>
          <w:szCs w:val="28"/>
        </w:rPr>
        <w:t>响应（岗位级），</w:t>
      </w:r>
      <w:r>
        <w:rPr>
          <w:rFonts w:eastAsia="仿宋_GB2312"/>
          <w:sz w:val="24"/>
          <w:szCs w:val="28"/>
        </w:rPr>
        <w:t>依靠</w:t>
      </w:r>
      <w:r>
        <w:rPr>
          <w:rFonts w:hint="eastAsia" w:eastAsia="仿宋_GB2312"/>
          <w:sz w:val="24"/>
          <w:szCs w:val="28"/>
        </w:rPr>
        <w:t>加油站车间力量</w:t>
      </w:r>
      <w:r>
        <w:rPr>
          <w:rFonts w:eastAsia="仿宋_GB2312"/>
          <w:sz w:val="24"/>
          <w:szCs w:val="28"/>
        </w:rPr>
        <w:t>能够处理</w:t>
      </w:r>
      <w:r>
        <w:rPr>
          <w:rFonts w:hint="eastAsia" w:eastAsia="仿宋_GB2312"/>
          <w:sz w:val="24"/>
          <w:szCs w:val="28"/>
        </w:rPr>
        <w:t>。由应急指挥办公室并组织救援排险，</w:t>
      </w:r>
      <w:r>
        <w:rPr>
          <w:rFonts w:eastAsia="仿宋_GB2312"/>
          <w:sz w:val="24"/>
          <w:szCs w:val="28"/>
        </w:rPr>
        <w:t xml:space="preserve"> 各事故应急小组人员按照组长要求，全力配合，服从统一指挥。</w:t>
      </w:r>
    </w:p>
    <w:p>
      <w:pPr>
        <w:widowControl w:val="0"/>
        <w:spacing w:after="0" w:line="360" w:lineRule="auto"/>
        <w:ind w:firstLine="482"/>
        <w:jc w:val="both"/>
        <w:rPr>
          <w:rFonts w:eastAsia="仿宋_GB2312"/>
          <w:sz w:val="24"/>
          <w:szCs w:val="28"/>
        </w:rPr>
      </w:pPr>
      <w:r>
        <w:rPr>
          <w:rFonts w:hint="eastAsia" w:eastAsia="仿宋_GB2312"/>
          <w:sz w:val="24"/>
          <w:szCs w:val="28"/>
        </w:rPr>
        <w:t>（2）</w:t>
      </w:r>
      <w:r>
        <w:rPr>
          <w:rFonts w:hint="eastAsia" w:eastAsia="仿宋_GB2312"/>
          <w:sz w:val="24"/>
          <w:szCs w:val="28"/>
          <w:lang w:val="en-US" w:eastAsia="zh-CN"/>
        </w:rPr>
        <w:t>橙色</w:t>
      </w:r>
      <w:r>
        <w:rPr>
          <w:rFonts w:hint="eastAsia" w:eastAsia="仿宋_GB2312"/>
          <w:sz w:val="24"/>
          <w:szCs w:val="28"/>
        </w:rPr>
        <w:t>响应（站级）</w:t>
      </w:r>
      <w:r>
        <w:rPr>
          <w:rFonts w:eastAsia="仿宋_GB2312"/>
          <w:sz w:val="24"/>
          <w:szCs w:val="28"/>
        </w:rPr>
        <w:t>，依靠</w:t>
      </w:r>
      <w:r>
        <w:rPr>
          <w:rFonts w:hint="eastAsia" w:eastAsia="仿宋_GB2312"/>
          <w:sz w:val="24"/>
          <w:szCs w:val="28"/>
        </w:rPr>
        <w:t>加油站</w:t>
      </w:r>
      <w:r>
        <w:rPr>
          <w:rFonts w:eastAsia="仿宋_GB2312"/>
          <w:sz w:val="24"/>
          <w:szCs w:val="28"/>
        </w:rPr>
        <w:t>力量能够处理，由应急总指挥负责应急救援工作的组织和指挥，全权负责应急救援工作（下达应急行动、资源调配、应急避险指令）</w:t>
      </w:r>
      <w:r>
        <w:rPr>
          <w:rFonts w:hint="eastAsia" w:eastAsia="仿宋_GB2312"/>
          <w:sz w:val="24"/>
          <w:szCs w:val="28"/>
        </w:rPr>
        <w:t>，</w:t>
      </w:r>
      <w:r>
        <w:rPr>
          <w:rFonts w:eastAsia="仿宋_GB2312"/>
          <w:sz w:val="24"/>
          <w:szCs w:val="28"/>
        </w:rPr>
        <w:t>各应急小组按职责要求启动应急方案。</w:t>
      </w:r>
    </w:p>
    <w:p>
      <w:pPr>
        <w:widowControl w:val="0"/>
        <w:spacing w:after="0" w:line="360" w:lineRule="auto"/>
        <w:ind w:firstLine="482"/>
        <w:jc w:val="both"/>
        <w:rPr>
          <w:rFonts w:eastAsia="仿宋_GB2312"/>
          <w:sz w:val="24"/>
          <w:szCs w:val="28"/>
        </w:rPr>
      </w:pPr>
      <w:r>
        <w:rPr>
          <w:rFonts w:hint="eastAsia" w:eastAsia="仿宋_GB2312"/>
          <w:sz w:val="24"/>
          <w:szCs w:val="28"/>
        </w:rPr>
        <w:t>（3）</w:t>
      </w:r>
      <w:r>
        <w:rPr>
          <w:rFonts w:hint="eastAsia" w:eastAsia="仿宋_GB2312"/>
          <w:sz w:val="24"/>
          <w:szCs w:val="28"/>
          <w:lang w:val="en-US" w:eastAsia="zh-CN"/>
        </w:rPr>
        <w:t>红色</w:t>
      </w:r>
      <w:r>
        <w:rPr>
          <w:rFonts w:hint="eastAsia" w:eastAsia="仿宋_GB2312"/>
          <w:sz w:val="24"/>
          <w:szCs w:val="28"/>
        </w:rPr>
        <w:t>响应（社会级）</w:t>
      </w:r>
      <w:r>
        <w:rPr>
          <w:rFonts w:eastAsia="仿宋_GB2312"/>
          <w:sz w:val="24"/>
          <w:szCs w:val="28"/>
        </w:rPr>
        <w:t>，超过</w:t>
      </w:r>
      <w:r>
        <w:rPr>
          <w:rFonts w:hint="eastAsia" w:eastAsia="仿宋_GB2312"/>
          <w:sz w:val="24"/>
          <w:szCs w:val="28"/>
        </w:rPr>
        <w:t>加油站</w:t>
      </w:r>
      <w:r>
        <w:rPr>
          <w:rFonts w:eastAsia="仿宋_GB2312"/>
          <w:sz w:val="24"/>
          <w:szCs w:val="28"/>
        </w:rPr>
        <w:t>力量和应急救援处置能力，已无法控制事件发展态势，由应急总指挥迅速向</w:t>
      </w:r>
      <w:r>
        <w:rPr>
          <w:rFonts w:hint="eastAsia" w:eastAsia="仿宋_GB2312"/>
          <w:sz w:val="24"/>
          <w:szCs w:val="28"/>
        </w:rPr>
        <w:t>西畴县</w:t>
      </w:r>
      <w:r>
        <w:rPr>
          <w:rFonts w:eastAsia="仿宋_GB2312"/>
          <w:sz w:val="24"/>
          <w:szCs w:val="28"/>
        </w:rPr>
        <w:t>政府应急办公室求援。</w:t>
      </w:r>
      <w:r>
        <w:rPr>
          <w:rFonts w:hint="eastAsia" w:eastAsia="仿宋_GB2312"/>
          <w:sz w:val="24"/>
          <w:szCs w:val="28"/>
        </w:rPr>
        <w:t>西畴县</w:t>
      </w:r>
      <w:r>
        <w:rPr>
          <w:rFonts w:eastAsia="仿宋_GB2312"/>
          <w:sz w:val="24"/>
          <w:szCs w:val="28"/>
        </w:rPr>
        <w:t>政府应急办公室迅速协调，统一指挥突发事件责任单位、临近相关企业、</w:t>
      </w:r>
      <w:r>
        <w:rPr>
          <w:rFonts w:hint="eastAsia" w:eastAsia="仿宋_GB2312"/>
          <w:sz w:val="24"/>
          <w:szCs w:val="28"/>
        </w:rPr>
        <w:t>文山州生态环境局西畴分局</w:t>
      </w:r>
      <w:r>
        <w:rPr>
          <w:rFonts w:eastAsia="仿宋_GB2312"/>
          <w:sz w:val="24"/>
          <w:szCs w:val="28"/>
        </w:rPr>
        <w:t>、公安局和消防大队、应急管理局、当地人民医院等有关单位采取相应应急措施，开展应急救援。政府部门介入后，总指挥应将应急指挥权移交给政府部门负责人，由政府部门负责人担任应急现场总指挥，</w:t>
      </w:r>
      <w:r>
        <w:rPr>
          <w:rFonts w:hint="eastAsia" w:eastAsia="仿宋_GB2312"/>
          <w:sz w:val="24"/>
          <w:szCs w:val="28"/>
        </w:rPr>
        <w:t>加油站</w:t>
      </w:r>
      <w:r>
        <w:rPr>
          <w:rFonts w:eastAsia="仿宋_GB2312"/>
          <w:sz w:val="24"/>
          <w:szCs w:val="28"/>
        </w:rPr>
        <w:t>全体成员全力配合。</w:t>
      </w:r>
    </w:p>
    <w:p>
      <w:pPr>
        <w:pStyle w:val="73"/>
        <w:rPr>
          <w:rFonts w:hint="eastAsia" w:eastAsia="仿宋_GB2312"/>
          <w:lang w:eastAsia="zh-CN"/>
        </w:rPr>
      </w:pPr>
      <w:r>
        <w:rPr>
          <w:rFonts w:hint="eastAsia" w:eastAsia="仿宋_GB2312"/>
          <w:lang w:eastAsia="zh-CN"/>
        </w:rPr>
        <w:drawing>
          <wp:inline distT="0" distB="0" distL="114300" distR="114300">
            <wp:extent cx="5272405" cy="5746115"/>
            <wp:effectExtent l="0" t="0" r="4445" b="6985"/>
            <wp:docPr id="6" name="图片 6" descr="1631005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31005205(1)"/>
                    <pic:cNvPicPr>
                      <a:picLocks noChangeAspect="1"/>
                    </pic:cNvPicPr>
                  </pic:nvPicPr>
                  <pic:blipFill>
                    <a:blip r:embed="rId19"/>
                    <a:stretch>
                      <a:fillRect/>
                    </a:stretch>
                  </pic:blipFill>
                  <pic:spPr>
                    <a:xfrm>
                      <a:off x="0" y="0"/>
                      <a:ext cx="5272405" cy="5746115"/>
                    </a:xfrm>
                    <a:prstGeom prst="rect">
                      <a:avLst/>
                    </a:prstGeom>
                  </pic:spPr>
                </pic:pic>
              </a:graphicData>
            </a:graphic>
          </wp:inline>
        </w:drawing>
      </w:r>
    </w:p>
    <w:p>
      <w:pPr>
        <w:jc w:val="center"/>
        <w:rPr>
          <w:rFonts w:eastAsia="仿宋_GB2312"/>
          <w:szCs w:val="28"/>
        </w:rPr>
      </w:pPr>
      <w:r>
        <w:rPr>
          <w:rFonts w:eastAsia="仿宋_GB2312"/>
          <w:b/>
          <w:bCs/>
          <w:szCs w:val="28"/>
        </w:rPr>
        <w:t>图7.2-1突发环境事件应急响应程序图</w:t>
      </w:r>
    </w:p>
    <w:p>
      <w:pPr>
        <w:pStyle w:val="6"/>
        <w:rPr>
          <w:rFonts w:eastAsia="仿宋_GB2312"/>
          <w:b w:val="0"/>
          <w:bCs w:val="0"/>
          <w:kern w:val="0"/>
          <w:sz w:val="24"/>
          <w:szCs w:val="28"/>
        </w:rPr>
      </w:pPr>
      <w:bookmarkStart w:id="482" w:name="_Toc74856032"/>
      <w:bookmarkStart w:id="483" w:name="_Toc13258"/>
      <w:bookmarkStart w:id="484" w:name="_Toc21838"/>
      <w:bookmarkStart w:id="485" w:name="_Toc4599"/>
      <w:r>
        <w:rPr>
          <w:rFonts w:ascii="仿宋" w:hAnsi="仿宋"/>
          <w:sz w:val="28"/>
          <w:szCs w:val="28"/>
        </w:rPr>
        <w:t>7.3</w:t>
      </w:r>
      <w:r>
        <w:rPr>
          <w:rFonts w:hint="eastAsia" w:ascii="仿宋_GB2312" w:hAnsi="仿宋_GB2312" w:eastAsia="仿宋_GB2312" w:cs="仿宋_GB2312"/>
          <w:kern w:val="0"/>
          <w:sz w:val="28"/>
          <w:szCs w:val="28"/>
        </w:rPr>
        <w:t>应急措施</w:t>
      </w:r>
      <w:bookmarkEnd w:id="460"/>
      <w:bookmarkEnd w:id="461"/>
      <w:bookmarkEnd w:id="482"/>
      <w:bookmarkEnd w:id="483"/>
      <w:bookmarkEnd w:id="484"/>
      <w:bookmarkEnd w:id="485"/>
    </w:p>
    <w:p>
      <w:pPr>
        <w:widowControl w:val="0"/>
        <w:adjustRightInd/>
        <w:snapToGrid/>
        <w:spacing w:line="360" w:lineRule="auto"/>
        <w:ind w:firstLine="480"/>
        <w:jc w:val="both"/>
        <w:rPr>
          <w:rFonts w:eastAsia="仿宋_GB2312"/>
          <w:sz w:val="24"/>
          <w:szCs w:val="28"/>
        </w:rPr>
      </w:pPr>
      <w:bookmarkStart w:id="486" w:name="_Toc25074"/>
      <w:bookmarkStart w:id="487" w:name="_Toc453925907"/>
      <w:bookmarkStart w:id="488" w:name="_Toc3322"/>
      <w:bookmarkStart w:id="489" w:name="_Toc27836"/>
      <w:bookmarkStart w:id="490" w:name="_Toc14419"/>
      <w:bookmarkStart w:id="491" w:name="_Toc466379495"/>
      <w:bookmarkStart w:id="492" w:name="_Toc21778"/>
      <w:bookmarkStart w:id="493" w:name="_Toc522025689"/>
      <w:bookmarkStart w:id="494" w:name="_Toc530736812"/>
      <w:bookmarkStart w:id="495" w:name="_Toc466379496"/>
      <w:bookmarkStart w:id="496" w:name="_Toc522025690"/>
      <w:r>
        <w:rPr>
          <w:rFonts w:hint="eastAsia" w:eastAsia="仿宋_GB2312"/>
          <w:sz w:val="24"/>
          <w:szCs w:val="28"/>
        </w:rPr>
        <w:t>针对突发环境事件造成的污染和危害，现场指挥部应迅速指挥相关应急小组，采取阻断、覆盖、转移等措施处置风险源和扩散途径，防止环境污染扩大。</w:t>
      </w:r>
      <w:bookmarkStart w:id="497" w:name="_Toc13188"/>
    </w:p>
    <w:p>
      <w:pPr>
        <w:widowControl w:val="0"/>
        <w:adjustRightInd/>
        <w:snapToGrid/>
        <w:spacing w:line="360" w:lineRule="auto"/>
        <w:jc w:val="both"/>
        <w:outlineLvl w:val="2"/>
        <w:rPr>
          <w:rFonts w:eastAsia="仿宋_GB2312"/>
          <w:sz w:val="24"/>
          <w:szCs w:val="28"/>
        </w:rPr>
      </w:pPr>
      <w:bookmarkStart w:id="498" w:name="_Toc74856033"/>
      <w:r>
        <w:rPr>
          <w:rFonts w:hint="eastAsia" w:ascii="仿宋_GB2312" w:hAnsi="仿宋_GB2312" w:eastAsia="仿宋_GB2312" w:cs="仿宋_GB2312"/>
          <w:b/>
          <w:bCs/>
          <w:szCs w:val="32"/>
        </w:rPr>
        <w:t xml:space="preserve">7.3.1 </w:t>
      </w:r>
      <w:r>
        <w:rPr>
          <w:rFonts w:hint="eastAsia" w:ascii="仿宋_GB2312" w:hAnsi="仿宋_GB2312" w:eastAsia="仿宋_GB2312" w:cs="仿宋_GB2312"/>
          <w:b/>
          <w:bCs/>
          <w:szCs w:val="28"/>
        </w:rPr>
        <w:t>油品泄漏应急处理</w:t>
      </w:r>
      <w:bookmarkEnd w:id="497"/>
      <w:bookmarkEnd w:id="498"/>
    </w:p>
    <w:p>
      <w:pPr>
        <w:widowControl w:val="0"/>
        <w:adjustRightInd/>
        <w:snapToGrid/>
        <w:spacing w:after="0" w:line="360" w:lineRule="auto"/>
        <w:ind w:firstLine="480"/>
        <w:jc w:val="both"/>
        <w:rPr>
          <w:rFonts w:eastAsia="仿宋_GB2312"/>
          <w:sz w:val="24"/>
          <w:szCs w:val="28"/>
        </w:rPr>
      </w:pPr>
      <w:r>
        <w:rPr>
          <w:rFonts w:hint="eastAsia" w:eastAsia="仿宋_GB2312"/>
          <w:sz w:val="24"/>
          <w:szCs w:val="28"/>
        </w:rPr>
        <w:t>储罐区及作业现场是全场输送环节的核心环节，储运过程中最主要的就是油品发生跑、冒、滴、漏导致火灾、爆炸、中毒事故和对环境造成重大污染。本站对油罐基底均做了防渗及围堰、设有防渗漏报警仪、观测井。油料泄露的时候，先渗漏到内罐和外罐之间的间隙，单层罐这个时候就起到了保护作用，双层间隙中带有一定压力的气体或带有静压的液体会进入内罐，双层间隙中的压力或液位会发生变化，触发报警仪；如果外罐发生渗、泄露，双层间隙中带有一定压力的气体或带有静压的检测液体会进入土壤，双层间隙中的压力或液位会发生变化，触发报警仪，观测井将出现油花。</w:t>
      </w:r>
    </w:p>
    <w:p>
      <w:pPr>
        <w:widowControl w:val="0"/>
        <w:adjustRightInd/>
        <w:snapToGrid/>
        <w:spacing w:after="0" w:line="360" w:lineRule="auto"/>
        <w:ind w:firstLine="480"/>
        <w:jc w:val="both"/>
        <w:rPr>
          <w:rFonts w:eastAsia="仿宋_GB2312"/>
          <w:sz w:val="24"/>
          <w:szCs w:val="28"/>
        </w:rPr>
      </w:pPr>
      <w:r>
        <w:rPr>
          <w:rFonts w:hint="eastAsia" w:eastAsia="仿宋_GB2312"/>
          <w:sz w:val="24"/>
          <w:szCs w:val="28"/>
        </w:rPr>
        <w:t>（1）应急处理措施</w:t>
      </w:r>
    </w:p>
    <w:p>
      <w:pPr>
        <w:widowControl w:val="0"/>
        <w:adjustRightInd/>
        <w:snapToGrid/>
        <w:spacing w:after="0" w:line="360" w:lineRule="auto"/>
        <w:ind w:firstLine="480"/>
        <w:jc w:val="both"/>
        <w:rPr>
          <w:rFonts w:eastAsia="仿宋_GB2312"/>
          <w:sz w:val="24"/>
          <w:szCs w:val="28"/>
        </w:rPr>
      </w:pPr>
      <w:r>
        <w:rPr>
          <w:rFonts w:hint="eastAsia" w:eastAsia="仿宋_GB2312"/>
          <w:sz w:val="24"/>
          <w:szCs w:val="28"/>
        </w:rPr>
        <w:t>①事故发现者马上关闭油罐闸阀和罐车阀门，并切断加油站内电源开关，同时通知班组长。</w:t>
      </w:r>
    </w:p>
    <w:p>
      <w:pPr>
        <w:widowControl w:val="0"/>
        <w:adjustRightInd/>
        <w:snapToGrid/>
        <w:spacing w:after="0" w:line="360" w:lineRule="auto"/>
        <w:ind w:firstLine="480"/>
        <w:jc w:val="both"/>
        <w:rPr>
          <w:rFonts w:eastAsia="仿宋_GB2312"/>
          <w:sz w:val="24"/>
          <w:szCs w:val="28"/>
        </w:rPr>
      </w:pPr>
      <w:r>
        <w:rPr>
          <w:rFonts w:hint="eastAsia" w:eastAsia="仿宋_GB2312"/>
          <w:sz w:val="24"/>
          <w:szCs w:val="28"/>
        </w:rPr>
        <w:t>②如跑、冒、漏出的油品数量较少，加油员组织人员对现场已跑、冒、漏出的油品用棉纱擦拭，待油品被充分吸收后将附有油迹的废棉纱清理干净。含油废棉纱属于危险废物，收集后做好台账记录，交由有资质的单位进行处理。</w:t>
      </w:r>
    </w:p>
    <w:p>
      <w:pPr>
        <w:widowControl w:val="0"/>
        <w:adjustRightInd/>
        <w:snapToGrid/>
        <w:spacing w:after="0" w:line="360" w:lineRule="auto"/>
        <w:ind w:firstLine="480"/>
        <w:jc w:val="both"/>
        <w:rPr>
          <w:rFonts w:eastAsia="仿宋_GB2312"/>
          <w:sz w:val="24"/>
          <w:szCs w:val="28"/>
        </w:rPr>
      </w:pPr>
      <w:r>
        <w:rPr>
          <w:rFonts w:hint="eastAsia" w:eastAsia="仿宋_GB2312"/>
          <w:sz w:val="24"/>
          <w:szCs w:val="28"/>
        </w:rPr>
        <w:t>③对跑、冒、漏出的油品数量较多时，视情况按响警铃及停止营业，对现场实施监控，全站进入戒备状态，严禁现场所有危害行为。应急加油站经理组织现场作业人员用沙土将泄漏油品四周围住，防止油品进一步外溢，物资保障岗位取来消防器材放至事故现场，作好警戒、疏散工作，其他岗位按职责分工作业。加油现场车辆全部推出。</w:t>
      </w:r>
    </w:p>
    <w:p>
      <w:pPr>
        <w:widowControl w:val="0"/>
        <w:adjustRightInd/>
        <w:snapToGrid/>
        <w:spacing w:after="0" w:line="360" w:lineRule="auto"/>
        <w:ind w:firstLine="480"/>
        <w:jc w:val="both"/>
        <w:rPr>
          <w:rFonts w:eastAsia="仿宋_GB2312"/>
          <w:sz w:val="24"/>
          <w:szCs w:val="28"/>
        </w:rPr>
      </w:pPr>
      <w:r>
        <w:rPr>
          <w:rFonts w:hint="eastAsia" w:eastAsia="仿宋_GB2312"/>
          <w:sz w:val="24"/>
          <w:szCs w:val="28"/>
        </w:rPr>
        <w:t>④对能够回收的油品，由事故处置组用不产生静电的容器进行回收。对无法回收的油品用沙土覆盖其表面，待其充分被吸收后将沙土清除干净，附有油迹的沙土统一收集后于专用密闭容器内储存。含油废沙属于危险废物，收集至危废暂存间后做好台账记录，交由有资质的单位进行处理。</w:t>
      </w:r>
    </w:p>
    <w:p>
      <w:pPr>
        <w:widowControl w:val="0"/>
        <w:adjustRightInd/>
        <w:snapToGrid/>
        <w:spacing w:after="0" w:line="360" w:lineRule="auto"/>
        <w:ind w:firstLine="480"/>
        <w:jc w:val="both"/>
        <w:rPr>
          <w:rFonts w:eastAsia="仿宋_GB2312"/>
          <w:sz w:val="24"/>
          <w:szCs w:val="28"/>
        </w:rPr>
      </w:pPr>
      <w:r>
        <w:rPr>
          <w:rFonts w:hint="eastAsia" w:eastAsia="仿宋_GB2312"/>
          <w:sz w:val="24"/>
          <w:szCs w:val="28"/>
        </w:rPr>
        <w:t>⑤如果量油口冒油，经理安排人员先将操作井周围用沙土围住，并取来消防器材放至周围，用不产生静电的容器将操作井内的油品进行回收到专业容器中，待沉淀2-10小时后，上层净油进行回罐，清除有杂质的油迹沙土。</w:t>
      </w:r>
    </w:p>
    <w:p>
      <w:pPr>
        <w:widowControl w:val="0"/>
        <w:adjustRightInd/>
        <w:snapToGrid/>
        <w:spacing w:after="0" w:line="360" w:lineRule="auto"/>
        <w:ind w:firstLine="480"/>
        <w:jc w:val="both"/>
        <w:rPr>
          <w:rFonts w:eastAsia="仿宋_GB2312"/>
          <w:sz w:val="24"/>
          <w:szCs w:val="28"/>
        </w:rPr>
      </w:pPr>
      <w:r>
        <w:rPr>
          <w:rFonts w:hint="eastAsia" w:eastAsia="仿宋_GB2312"/>
          <w:sz w:val="24"/>
          <w:szCs w:val="28"/>
        </w:rPr>
        <w:t>⑥检查人孔操作井内及周围是否有残留油液，并检查是否有其他可能产生危险的隐患存在。</w:t>
      </w:r>
    </w:p>
    <w:p>
      <w:pPr>
        <w:widowControl w:val="0"/>
        <w:adjustRightInd/>
        <w:snapToGrid/>
        <w:spacing w:after="0" w:line="360" w:lineRule="auto"/>
        <w:ind w:firstLine="480"/>
        <w:jc w:val="both"/>
        <w:rPr>
          <w:rFonts w:eastAsia="仿宋_GB2312"/>
          <w:sz w:val="24"/>
          <w:szCs w:val="28"/>
        </w:rPr>
      </w:pPr>
      <w:r>
        <w:rPr>
          <w:rFonts w:hint="eastAsia" w:eastAsia="仿宋_GB2312"/>
          <w:sz w:val="24"/>
          <w:szCs w:val="28"/>
        </w:rPr>
        <w:t>⑦确认无误后，随即仔细查找跑、冒、漏油的事故根源，酌情处理：如属于计量失误，罐内油品数量已达到最大安全容量，须停止继续卸油作业。同时上报总经理、副总经理，由经理安排将罐车内未卸完的油品进行移站处理；如属于管线与接卸油闸阀未密闭而造成的跑、冒、漏油应重新对管线进行连接，确保其密闭完好性。然后开启接卸油闸阀继续进行接卸油作业。如管线破损可用木楔、棉纱、纯棉拖把抹布等进行堵塞。</w:t>
      </w:r>
    </w:p>
    <w:p>
      <w:pPr>
        <w:widowControl w:val="0"/>
        <w:adjustRightInd/>
        <w:snapToGrid/>
        <w:spacing w:after="0" w:line="360" w:lineRule="auto"/>
        <w:ind w:firstLine="480"/>
        <w:jc w:val="both"/>
        <w:rPr>
          <w:rFonts w:eastAsia="仿宋_GB2312"/>
          <w:sz w:val="24"/>
          <w:szCs w:val="28"/>
        </w:rPr>
      </w:pPr>
      <w:r>
        <w:rPr>
          <w:rFonts w:hint="eastAsia" w:eastAsia="仿宋_GB2312"/>
          <w:sz w:val="24"/>
          <w:szCs w:val="28"/>
        </w:rPr>
        <w:t>（2）隔离疏散</w:t>
      </w:r>
    </w:p>
    <w:p>
      <w:pPr>
        <w:widowControl w:val="0"/>
        <w:adjustRightInd/>
        <w:snapToGrid/>
        <w:spacing w:after="0" w:line="360" w:lineRule="auto"/>
        <w:ind w:firstLine="480"/>
        <w:jc w:val="both"/>
        <w:rPr>
          <w:rFonts w:eastAsia="仿宋_GB2312"/>
          <w:sz w:val="24"/>
          <w:szCs w:val="28"/>
        </w:rPr>
      </w:pPr>
      <w:r>
        <w:rPr>
          <w:rFonts w:hint="eastAsia" w:eastAsia="仿宋_GB2312"/>
          <w:sz w:val="24"/>
          <w:szCs w:val="28"/>
        </w:rPr>
        <w:t>跑、冒、漏油事故严重时，马上关闭站内电源开关停止加油作业，并报告当地环保、应急管理局、公安和消防部门，以便及时封堵附近的交通道路。经理及时组织人员进行现场警戒，疏散站内人员，推出站内车辆，检查并清除附近的一切火源、电源，禁止无关人员及车辆进入加油站内；通知毗邻单位和居民，注意危险，禁用火种。</w:t>
      </w:r>
    </w:p>
    <w:p>
      <w:pPr>
        <w:widowControl w:val="0"/>
        <w:adjustRightInd/>
        <w:snapToGrid/>
        <w:spacing w:after="0" w:line="360" w:lineRule="auto"/>
        <w:ind w:firstLine="480"/>
        <w:jc w:val="both"/>
        <w:rPr>
          <w:rFonts w:eastAsia="仿宋_GB2312"/>
          <w:sz w:val="24"/>
          <w:szCs w:val="28"/>
        </w:rPr>
      </w:pPr>
      <w:r>
        <w:rPr>
          <w:rFonts w:hint="eastAsia" w:eastAsia="仿宋_GB2312"/>
          <w:sz w:val="24"/>
          <w:szCs w:val="28"/>
        </w:rPr>
        <w:t>（3）现场急救</w:t>
      </w:r>
    </w:p>
    <w:p>
      <w:pPr>
        <w:widowControl w:val="0"/>
        <w:adjustRightInd/>
        <w:snapToGrid/>
        <w:spacing w:after="0" w:line="360" w:lineRule="auto"/>
        <w:ind w:firstLine="480"/>
        <w:jc w:val="both"/>
        <w:rPr>
          <w:rFonts w:eastAsia="仿宋_GB2312"/>
          <w:sz w:val="24"/>
          <w:szCs w:val="28"/>
        </w:rPr>
      </w:pPr>
      <w:r>
        <w:rPr>
          <w:rFonts w:hint="eastAsia" w:eastAsia="仿宋_GB2312"/>
          <w:sz w:val="24"/>
          <w:szCs w:val="28"/>
        </w:rPr>
        <w:t>如在事故处理过程中，有人员被油品沾染浸湿，马上进行防火处理：夏天应立即用清水冲洗，更换衣物，避免附着在身体及衣物上的油品大量挥发成油蒸气从而引发明火，烧伤人员；冬天应脱下被浸湿的外套、鞋袜等衣物，过程中注意动作缓慢，以防产生静电和皮肤中毒，并及时更换衣服。</w:t>
      </w:r>
    </w:p>
    <w:p>
      <w:pPr>
        <w:widowControl w:val="0"/>
        <w:adjustRightInd/>
        <w:snapToGrid/>
        <w:spacing w:after="0" w:line="360" w:lineRule="auto"/>
        <w:ind w:firstLine="480"/>
        <w:jc w:val="both"/>
        <w:rPr>
          <w:rFonts w:eastAsia="仿宋_GB2312"/>
          <w:sz w:val="24"/>
          <w:szCs w:val="28"/>
        </w:rPr>
      </w:pPr>
      <w:r>
        <w:rPr>
          <w:rFonts w:hint="eastAsia" w:eastAsia="仿宋_GB2312"/>
          <w:sz w:val="24"/>
          <w:szCs w:val="28"/>
        </w:rPr>
        <w:t>（4）环境污染处理措施</w:t>
      </w:r>
    </w:p>
    <w:p>
      <w:pPr>
        <w:widowControl w:val="0"/>
        <w:adjustRightInd/>
        <w:snapToGrid/>
        <w:spacing w:after="0" w:line="360" w:lineRule="auto"/>
        <w:ind w:firstLine="480"/>
        <w:jc w:val="both"/>
        <w:rPr>
          <w:rFonts w:eastAsia="仿宋_GB2312"/>
          <w:sz w:val="24"/>
          <w:szCs w:val="28"/>
        </w:rPr>
      </w:pPr>
      <w:r>
        <w:rPr>
          <w:rFonts w:hint="eastAsia" w:eastAsia="仿宋_GB2312"/>
          <w:sz w:val="24"/>
          <w:szCs w:val="28"/>
        </w:rPr>
        <w:t>为防止油品泄漏后污染土壤及地下水，加油站设置为重点防渗区、一般防渗区、非防渗区等，重点防渗区为油罐区、输油管线、化粪池、油水分离池等，一般防渗区为加油区、卸油区，其余地区为非防渗区。应急事故经处理后，对充分吸收了油品的沙土统一放于防渗措施好的位置，避免造成环境污染和额外事故，并交由有资质的单位进行处理。</w:t>
      </w:r>
    </w:p>
    <w:p>
      <w:pPr>
        <w:keepNext/>
        <w:keepLines/>
        <w:widowControl w:val="0"/>
        <w:adjustRightInd/>
        <w:snapToGrid/>
        <w:spacing w:after="0" w:line="360" w:lineRule="auto"/>
        <w:contextualSpacing/>
        <w:jc w:val="both"/>
        <w:outlineLvl w:val="2"/>
        <w:rPr>
          <w:rFonts w:ascii="仿宋_GB2312" w:hAnsi="仿宋_GB2312" w:eastAsia="仿宋_GB2312" w:cs="仿宋_GB2312"/>
          <w:b/>
          <w:bCs/>
          <w:szCs w:val="28"/>
        </w:rPr>
      </w:pPr>
      <w:bookmarkStart w:id="499" w:name="_Toc472676882"/>
      <w:bookmarkStart w:id="500" w:name="_Toc74856034"/>
      <w:bookmarkStart w:id="501" w:name="_Toc25123"/>
      <w:r>
        <w:rPr>
          <w:rFonts w:hint="eastAsia" w:ascii="仿宋_GB2312" w:hAnsi="仿宋_GB2312" w:eastAsia="仿宋_GB2312" w:cs="仿宋_GB2312"/>
          <w:b/>
          <w:bCs/>
          <w:szCs w:val="28"/>
        </w:rPr>
        <w:t>7.3.2</w:t>
      </w:r>
      <w:bookmarkEnd w:id="499"/>
      <w:r>
        <w:rPr>
          <w:rFonts w:hint="eastAsia" w:ascii="仿宋_GB2312" w:hAnsi="仿宋_GB2312" w:eastAsia="仿宋_GB2312" w:cs="仿宋_GB2312"/>
          <w:b/>
          <w:bCs/>
          <w:szCs w:val="28"/>
        </w:rPr>
        <w:t>火灾、爆炸引发次生环境风险的应急处理</w:t>
      </w:r>
      <w:bookmarkEnd w:id="500"/>
      <w:bookmarkEnd w:id="501"/>
    </w:p>
    <w:p>
      <w:pPr>
        <w:widowControl w:val="0"/>
        <w:adjustRightInd/>
        <w:snapToGrid/>
        <w:spacing w:after="0" w:line="360" w:lineRule="auto"/>
        <w:ind w:firstLine="480"/>
        <w:jc w:val="both"/>
        <w:rPr>
          <w:rFonts w:eastAsia="仿宋_GB2312"/>
          <w:sz w:val="24"/>
          <w:szCs w:val="28"/>
        </w:rPr>
      </w:pPr>
      <w:r>
        <w:rPr>
          <w:rFonts w:hint="eastAsia" w:eastAsia="仿宋_GB2312"/>
          <w:sz w:val="24"/>
          <w:szCs w:val="28"/>
        </w:rPr>
        <w:t>（1）应急处理措施</w:t>
      </w:r>
    </w:p>
    <w:p>
      <w:pPr>
        <w:widowControl w:val="0"/>
        <w:adjustRightInd/>
        <w:snapToGrid/>
        <w:spacing w:after="0" w:line="360" w:lineRule="auto"/>
        <w:ind w:firstLine="480"/>
        <w:jc w:val="both"/>
        <w:rPr>
          <w:rFonts w:eastAsia="仿宋_GB2312"/>
          <w:sz w:val="24"/>
          <w:szCs w:val="28"/>
        </w:rPr>
      </w:pPr>
      <w:r>
        <w:rPr>
          <w:rFonts w:hint="eastAsia" w:eastAsia="仿宋_GB2312"/>
          <w:sz w:val="24"/>
          <w:szCs w:val="28"/>
        </w:rPr>
        <w:t>①事故发现者马上关闭油罐闸阀和罐车阀门，停止加油及卸油作业，至配电房切断电源，并通知班组长。班组长及时按响警铃，抢险救援组在第一时间赶到现场，尽力扑灭初期火灾。</w:t>
      </w:r>
    </w:p>
    <w:p>
      <w:pPr>
        <w:widowControl w:val="0"/>
        <w:adjustRightInd/>
        <w:snapToGrid/>
        <w:spacing w:after="0" w:line="360" w:lineRule="auto"/>
        <w:ind w:firstLine="480"/>
        <w:jc w:val="both"/>
        <w:rPr>
          <w:rFonts w:eastAsia="仿宋_GB2312"/>
          <w:sz w:val="24"/>
          <w:szCs w:val="28"/>
        </w:rPr>
      </w:pPr>
      <w:r>
        <w:rPr>
          <w:rFonts w:hint="eastAsia" w:eastAsia="仿宋_GB2312"/>
          <w:sz w:val="24"/>
          <w:szCs w:val="28"/>
        </w:rPr>
        <w:t>②班组长要根据火势进行灭火指挥，当初期小火时，可迅速使用加油岛、卸油区放置的灭火器和消防沙、消防毯等进行灭火。</w:t>
      </w:r>
    </w:p>
    <w:p>
      <w:pPr>
        <w:widowControl w:val="0"/>
        <w:adjustRightInd/>
        <w:snapToGrid/>
        <w:spacing w:after="0" w:line="360" w:lineRule="auto"/>
        <w:ind w:firstLine="480"/>
        <w:jc w:val="both"/>
        <w:rPr>
          <w:rFonts w:eastAsia="仿宋_GB2312"/>
          <w:sz w:val="24"/>
          <w:szCs w:val="28"/>
        </w:rPr>
      </w:pPr>
      <w:r>
        <w:rPr>
          <w:rFonts w:hint="eastAsia" w:eastAsia="仿宋_GB2312"/>
          <w:sz w:val="24"/>
          <w:szCs w:val="28"/>
        </w:rPr>
        <w:t>③抢险救援组维持加油站内加油车辆及人员的秩序，必要时进行疏散，视火势扑救情况报火警，并将现金、账簿和重要凭证放至保险柜后参加扑救工作。</w:t>
      </w:r>
    </w:p>
    <w:p>
      <w:pPr>
        <w:widowControl w:val="0"/>
        <w:adjustRightInd/>
        <w:snapToGrid/>
        <w:spacing w:after="0" w:line="360" w:lineRule="auto"/>
        <w:ind w:firstLine="480"/>
        <w:jc w:val="both"/>
        <w:rPr>
          <w:rFonts w:eastAsia="仿宋_GB2312"/>
          <w:sz w:val="24"/>
          <w:szCs w:val="28"/>
        </w:rPr>
      </w:pPr>
      <w:r>
        <w:rPr>
          <w:rFonts w:hint="eastAsia" w:eastAsia="仿宋_GB2312"/>
          <w:sz w:val="24"/>
          <w:szCs w:val="28"/>
        </w:rPr>
        <w:t>④如火势继续扩大，加油站内消防器材无法扑灭，值班班组长应向应急指挥部报告，并组织抢险救援组员工撤离到消防栓处，连接好消防水带，用消防水枪远距离控制火势，以免造成人员烧伤。</w:t>
      </w:r>
    </w:p>
    <w:p>
      <w:pPr>
        <w:widowControl w:val="0"/>
        <w:adjustRightInd/>
        <w:snapToGrid/>
        <w:spacing w:after="0" w:line="360" w:lineRule="auto"/>
        <w:ind w:firstLine="480"/>
        <w:jc w:val="both"/>
        <w:rPr>
          <w:rFonts w:eastAsia="仿宋_GB2312"/>
          <w:sz w:val="24"/>
          <w:szCs w:val="28"/>
        </w:rPr>
      </w:pPr>
      <w:r>
        <w:rPr>
          <w:rFonts w:hint="eastAsia" w:eastAsia="仿宋_GB2312"/>
          <w:sz w:val="24"/>
          <w:szCs w:val="28"/>
        </w:rPr>
        <w:t>⑤如火势已到不可控制的局面，应急总指挥应马上组织全体人员撤离火场，禁止任何人员、车辆进入加油站并立即疏散人群，指挥车辆撤离现场，并在站外安全区域等候消防车辆及消防人员。</w:t>
      </w:r>
    </w:p>
    <w:p>
      <w:pPr>
        <w:widowControl w:val="0"/>
        <w:adjustRightInd/>
        <w:snapToGrid/>
        <w:spacing w:after="0" w:line="360" w:lineRule="auto"/>
        <w:ind w:firstLine="480"/>
        <w:jc w:val="both"/>
        <w:rPr>
          <w:rFonts w:eastAsia="仿宋_GB2312"/>
          <w:sz w:val="24"/>
          <w:szCs w:val="28"/>
        </w:rPr>
      </w:pPr>
      <w:r>
        <w:rPr>
          <w:rFonts w:hint="eastAsia" w:eastAsia="仿宋_GB2312"/>
          <w:sz w:val="24"/>
          <w:szCs w:val="28"/>
        </w:rPr>
        <w:t>⑥员工在灭火同时应保证自身安全。当消防队赶到现场后，与消防队共同灭火。</w:t>
      </w:r>
    </w:p>
    <w:p>
      <w:pPr>
        <w:widowControl w:val="0"/>
        <w:adjustRightInd/>
        <w:snapToGrid/>
        <w:spacing w:after="0" w:line="360" w:lineRule="auto"/>
        <w:ind w:firstLine="480"/>
        <w:jc w:val="both"/>
        <w:rPr>
          <w:rFonts w:eastAsia="仿宋_GB2312"/>
          <w:sz w:val="24"/>
          <w:szCs w:val="28"/>
        </w:rPr>
      </w:pPr>
      <w:bookmarkStart w:id="502" w:name="_Toc72068750"/>
      <w:r>
        <w:rPr>
          <w:rFonts w:hint="eastAsia" w:eastAsia="仿宋_GB2312"/>
          <w:sz w:val="24"/>
          <w:szCs w:val="28"/>
        </w:rPr>
        <w:t>（2）紧急处理措施及隔离疏散</w:t>
      </w:r>
      <w:bookmarkEnd w:id="502"/>
    </w:p>
    <w:p>
      <w:pPr>
        <w:widowControl w:val="0"/>
        <w:adjustRightInd/>
        <w:snapToGrid/>
        <w:spacing w:after="0" w:line="360" w:lineRule="auto"/>
        <w:ind w:firstLine="480"/>
        <w:jc w:val="both"/>
        <w:rPr>
          <w:rFonts w:eastAsia="仿宋_GB2312"/>
          <w:sz w:val="24"/>
          <w:szCs w:val="28"/>
        </w:rPr>
      </w:pPr>
      <w:r>
        <w:rPr>
          <w:rFonts w:hint="eastAsia" w:eastAsia="仿宋_GB2312"/>
          <w:sz w:val="24"/>
          <w:szCs w:val="28"/>
        </w:rPr>
        <w:t>当发生火灾时，要保持镇定，视火情大小立即组织事故处置组对火势进行控制，尽快灭火；火势大到无法扑灭时，全体人员应迅速撤离到安全区域并保证自身安全，并由现场指挥清点人数。</w:t>
      </w:r>
    </w:p>
    <w:p>
      <w:pPr>
        <w:widowControl w:val="0"/>
        <w:adjustRightInd/>
        <w:snapToGrid/>
        <w:spacing w:after="0" w:line="360" w:lineRule="auto"/>
        <w:ind w:firstLine="480"/>
        <w:jc w:val="both"/>
        <w:rPr>
          <w:rFonts w:eastAsia="仿宋_GB2312"/>
          <w:sz w:val="24"/>
          <w:szCs w:val="28"/>
        </w:rPr>
      </w:pPr>
      <w:bookmarkStart w:id="503" w:name="_Toc72068751"/>
      <w:r>
        <w:rPr>
          <w:rFonts w:hint="eastAsia" w:eastAsia="仿宋_GB2312"/>
          <w:sz w:val="24"/>
          <w:szCs w:val="28"/>
        </w:rPr>
        <w:t>（3）现场急救</w:t>
      </w:r>
      <w:bookmarkEnd w:id="503"/>
    </w:p>
    <w:p>
      <w:pPr>
        <w:widowControl w:val="0"/>
        <w:adjustRightInd/>
        <w:snapToGrid/>
        <w:spacing w:after="0" w:line="360" w:lineRule="auto"/>
        <w:ind w:firstLine="480"/>
        <w:jc w:val="both"/>
        <w:rPr>
          <w:rFonts w:eastAsia="仿宋_GB2312"/>
          <w:sz w:val="24"/>
          <w:szCs w:val="28"/>
        </w:rPr>
      </w:pPr>
      <w:r>
        <w:rPr>
          <w:rFonts w:hint="eastAsia" w:eastAsia="仿宋_GB2312"/>
          <w:sz w:val="24"/>
          <w:szCs w:val="28"/>
        </w:rPr>
        <w:t>发现火灾现场有人中毒、窒息或烧伤时，立即抢救至空气新鲜的安全地带，如呼吸停止应立即实施人工呼吸。烧伤人员应注意保护创面并防止二次受伤，如有外伤流血应立即包扎。待医院急救中心人员赶到后作进一步处理。</w:t>
      </w:r>
    </w:p>
    <w:p>
      <w:pPr>
        <w:widowControl w:val="0"/>
        <w:adjustRightInd/>
        <w:snapToGrid/>
        <w:spacing w:after="0" w:line="360" w:lineRule="auto"/>
        <w:ind w:firstLine="480"/>
        <w:jc w:val="both"/>
        <w:rPr>
          <w:rFonts w:eastAsia="仿宋_GB2312"/>
          <w:sz w:val="24"/>
          <w:szCs w:val="28"/>
        </w:rPr>
      </w:pPr>
      <w:bookmarkStart w:id="504" w:name="_Toc72068752"/>
      <w:r>
        <w:rPr>
          <w:rFonts w:hint="eastAsia" w:eastAsia="仿宋_GB2312"/>
          <w:sz w:val="24"/>
          <w:szCs w:val="28"/>
        </w:rPr>
        <w:t>（4）环境污染处理措施</w:t>
      </w:r>
      <w:bookmarkEnd w:id="504"/>
    </w:p>
    <w:p>
      <w:pPr>
        <w:widowControl w:val="0"/>
        <w:adjustRightInd/>
        <w:snapToGrid/>
        <w:spacing w:after="0" w:line="360" w:lineRule="auto"/>
        <w:ind w:firstLine="480"/>
        <w:jc w:val="both"/>
        <w:rPr>
          <w:rFonts w:eastAsia="仿宋_GB2312"/>
          <w:sz w:val="24"/>
          <w:szCs w:val="28"/>
        </w:rPr>
      </w:pPr>
      <w:r>
        <w:rPr>
          <w:rFonts w:hint="eastAsia" w:eastAsia="仿宋_GB2312"/>
          <w:sz w:val="24"/>
          <w:szCs w:val="28"/>
        </w:rPr>
        <w:t>为防止消防废水直接排放后污染土壤及水体，利用收集设施收集漏油，然后用消油剂或者吸油毡等处理不能回收的油品，避免造成环境污染和额外事故。产生的危险废物交由有资质的单位进行处理。</w:t>
      </w:r>
    </w:p>
    <w:p>
      <w:pPr>
        <w:pStyle w:val="7"/>
        <w:rPr>
          <w:rFonts w:ascii="仿宋" w:hAnsi="仿宋" w:cs="仿宋"/>
          <w:color w:val="000000"/>
          <w:szCs w:val="28"/>
        </w:rPr>
      </w:pPr>
      <w:bookmarkStart w:id="505" w:name="_Toc74856035"/>
      <w:r>
        <w:rPr>
          <w:rFonts w:hint="eastAsia" w:ascii="仿宋" w:hAnsi="仿宋" w:cs="仿宋"/>
          <w:color w:val="000000"/>
          <w:szCs w:val="28"/>
        </w:rPr>
        <w:t>7.3.3人员的疏散与撤离</w:t>
      </w:r>
      <w:bookmarkEnd w:id="486"/>
      <w:bookmarkEnd w:id="487"/>
      <w:bookmarkEnd w:id="488"/>
      <w:bookmarkEnd w:id="489"/>
      <w:bookmarkEnd w:id="490"/>
      <w:bookmarkEnd w:id="505"/>
    </w:p>
    <w:p>
      <w:pPr>
        <w:pStyle w:val="7"/>
        <w:rPr>
          <w:rFonts w:ascii="仿宋" w:hAnsi="仿宋" w:cs="仿宋"/>
          <w:color w:val="000000"/>
          <w:szCs w:val="28"/>
        </w:rPr>
      </w:pPr>
      <w:bookmarkStart w:id="506" w:name="_Toc17403"/>
      <w:bookmarkStart w:id="507" w:name="_Toc16608"/>
      <w:bookmarkStart w:id="508" w:name="_Toc18966"/>
      <w:bookmarkStart w:id="509" w:name="_Toc1331"/>
      <w:bookmarkStart w:id="510" w:name="_Toc353444471"/>
      <w:r>
        <w:rPr>
          <w:rFonts w:hint="eastAsia" w:ascii="仿宋" w:hAnsi="仿宋" w:cs="仿宋"/>
          <w:color w:val="000000"/>
          <w:szCs w:val="28"/>
        </w:rPr>
        <w:t>7.3.3.1疏散运输工具</w:t>
      </w:r>
      <w:bookmarkEnd w:id="506"/>
      <w:bookmarkEnd w:id="507"/>
      <w:bookmarkEnd w:id="508"/>
      <w:bookmarkEnd w:id="509"/>
      <w:bookmarkEnd w:id="510"/>
    </w:p>
    <w:p>
      <w:pPr>
        <w:autoSpaceDE w:val="0"/>
        <w:autoSpaceDN w:val="0"/>
        <w:spacing w:line="360" w:lineRule="auto"/>
        <w:ind w:firstLine="480"/>
        <w:jc w:val="both"/>
        <w:rPr>
          <w:rFonts w:eastAsia="仿宋_GB2312"/>
          <w:sz w:val="24"/>
        </w:rPr>
      </w:pPr>
      <w:r>
        <w:rPr>
          <w:rFonts w:hint="eastAsia" w:eastAsia="仿宋_GB2312"/>
          <w:sz w:val="24"/>
        </w:rPr>
        <w:t xml:space="preserve">加油站人员疏散可利用公务车辆、交通车等疏散工具。疏散过程中若采用汽车作为疏散工具时，驾车期间宜关闭汽窗，切勿启动对外通风系统，且尽可能载乘他人远离污染受灾区。 </w:t>
      </w:r>
    </w:p>
    <w:p>
      <w:pPr>
        <w:pStyle w:val="7"/>
        <w:rPr>
          <w:rFonts w:ascii="仿宋" w:hAnsi="仿宋" w:cs="仿宋"/>
          <w:color w:val="000000"/>
          <w:szCs w:val="28"/>
        </w:rPr>
      </w:pPr>
      <w:bookmarkStart w:id="511" w:name="_Toc9374"/>
      <w:bookmarkStart w:id="512" w:name="_Toc31257"/>
      <w:bookmarkStart w:id="513" w:name="_Toc7559"/>
      <w:bookmarkStart w:id="514" w:name="_Toc17751"/>
      <w:bookmarkStart w:id="515" w:name="_Toc353444472"/>
      <w:r>
        <w:rPr>
          <w:rFonts w:hint="eastAsia" w:ascii="仿宋" w:hAnsi="仿宋" w:cs="仿宋"/>
          <w:color w:val="000000"/>
          <w:szCs w:val="28"/>
        </w:rPr>
        <w:t>7.3.3.2疏散路线与集合地点</w:t>
      </w:r>
      <w:bookmarkEnd w:id="511"/>
      <w:bookmarkEnd w:id="512"/>
      <w:bookmarkEnd w:id="513"/>
      <w:bookmarkEnd w:id="514"/>
      <w:bookmarkEnd w:id="515"/>
    </w:p>
    <w:p>
      <w:pPr>
        <w:autoSpaceDE w:val="0"/>
        <w:autoSpaceDN w:val="0"/>
        <w:spacing w:after="0" w:line="360" w:lineRule="auto"/>
        <w:ind w:firstLine="480"/>
        <w:jc w:val="both"/>
        <w:rPr>
          <w:rFonts w:eastAsia="仿宋_GB2312"/>
          <w:sz w:val="24"/>
        </w:rPr>
      </w:pPr>
      <w:r>
        <w:rPr>
          <w:rFonts w:hint="eastAsia" w:eastAsia="仿宋_GB2312"/>
          <w:sz w:val="24"/>
        </w:rPr>
        <w:t xml:space="preserve">为使疏散计划执行期间加油站内员工们皆能从容撤离灾区或加油站，且部门负责人能随时了解员工状况，采取必要应急措施，已规划公司内部疏散路线，员工们可依指示迅速撤离。依当时之风向及泄漏地，警戒疏散组判断疏散路线指示员工依此路线疏散至集合地点，等候清点人数。 </w:t>
      </w:r>
    </w:p>
    <w:p>
      <w:pPr>
        <w:autoSpaceDE w:val="0"/>
        <w:autoSpaceDN w:val="0"/>
        <w:spacing w:after="0" w:line="360" w:lineRule="auto"/>
        <w:ind w:firstLine="480"/>
        <w:jc w:val="both"/>
        <w:rPr>
          <w:rFonts w:eastAsia="仿宋_GB2312"/>
          <w:sz w:val="24"/>
        </w:rPr>
      </w:pPr>
      <w:r>
        <w:rPr>
          <w:rFonts w:hint="eastAsia" w:eastAsia="仿宋_GB2312"/>
          <w:sz w:val="24"/>
        </w:rPr>
        <w:t>依据加油站地理位置、平面布置及当时风向情况，加油站划定有紧急疏散地。遇疏散警报响起，首先判断风向，原则上往上风处疏散，若泄漏源为上风处时，宜向与风向垂直之方向疏散（以宽度疏散）。</w:t>
      </w:r>
    </w:p>
    <w:p>
      <w:pPr>
        <w:pStyle w:val="6"/>
        <w:rPr>
          <w:rFonts w:ascii="仿宋" w:hAnsi="仿宋"/>
          <w:sz w:val="28"/>
          <w:szCs w:val="28"/>
        </w:rPr>
      </w:pPr>
      <w:bookmarkStart w:id="516" w:name="_Toc27245"/>
      <w:bookmarkStart w:id="517" w:name="_Toc74856036"/>
      <w:bookmarkStart w:id="518" w:name="_Toc16374"/>
      <w:r>
        <w:rPr>
          <w:rFonts w:ascii="仿宋" w:hAnsi="仿宋"/>
          <w:sz w:val="28"/>
          <w:szCs w:val="28"/>
        </w:rPr>
        <w:t>7.</w:t>
      </w:r>
      <w:r>
        <w:rPr>
          <w:rFonts w:hint="eastAsia" w:ascii="仿宋" w:hAnsi="仿宋"/>
          <w:sz w:val="28"/>
          <w:szCs w:val="28"/>
        </w:rPr>
        <w:t>4</w:t>
      </w:r>
      <w:r>
        <w:rPr>
          <w:rFonts w:ascii="仿宋" w:hAnsi="仿宋"/>
          <w:sz w:val="28"/>
          <w:szCs w:val="28"/>
        </w:rPr>
        <w:t>应急监测</w:t>
      </w:r>
      <w:bookmarkEnd w:id="491"/>
      <w:bookmarkEnd w:id="492"/>
      <w:bookmarkEnd w:id="493"/>
      <w:bookmarkEnd w:id="494"/>
      <w:bookmarkEnd w:id="516"/>
      <w:bookmarkEnd w:id="517"/>
      <w:bookmarkEnd w:id="518"/>
    </w:p>
    <w:p>
      <w:pPr>
        <w:spacing w:after="0" w:line="360" w:lineRule="auto"/>
        <w:ind w:firstLine="480"/>
        <w:jc w:val="both"/>
        <w:rPr>
          <w:rFonts w:eastAsia="仿宋_GB2312"/>
          <w:sz w:val="24"/>
        </w:rPr>
      </w:pPr>
      <w:r>
        <w:rPr>
          <w:rFonts w:hint="eastAsia" w:eastAsia="仿宋_GB2312"/>
          <w:sz w:val="24"/>
        </w:rPr>
        <w:t>由于本加油站自身无应急监测能力，事故发生后，应急指挥部应根据事故造成的影响程度，决定应急监测开展情况。当突发环境事件内部可以控制时，不需要上报上级主管部门，则公司自行委托有资质的单位进行监测。当发生</w:t>
      </w:r>
      <w:r>
        <w:rPr>
          <w:rFonts w:hint="eastAsia" w:eastAsia="仿宋_GB2312"/>
          <w:sz w:val="24"/>
          <w:lang w:val="en-US" w:eastAsia="zh-CN"/>
        </w:rPr>
        <w:t>社会级（</w:t>
      </w:r>
      <w:r>
        <w:rPr>
          <w:rFonts w:hint="eastAsia" w:eastAsia="仿宋_GB2312"/>
          <w:sz w:val="24"/>
        </w:rPr>
        <w:t>Ⅰ级突发环境事件</w:t>
      </w:r>
      <w:r>
        <w:rPr>
          <w:rFonts w:hint="eastAsia" w:eastAsia="仿宋_GB2312"/>
          <w:sz w:val="24"/>
          <w:lang w:eastAsia="zh-CN"/>
        </w:rPr>
        <w:t>）</w:t>
      </w:r>
      <w:r>
        <w:rPr>
          <w:rFonts w:hint="eastAsia" w:eastAsia="仿宋_GB2312"/>
          <w:sz w:val="24"/>
        </w:rPr>
        <w:t>，需要上报上级主管部门时，应立即上报文山州生态环境局西畴分局，由分局启动相应应急监测预案。</w:t>
      </w:r>
    </w:p>
    <w:p>
      <w:pPr>
        <w:pStyle w:val="7"/>
        <w:rPr>
          <w:rFonts w:ascii="仿宋" w:hAnsi="仿宋" w:cs="仿宋"/>
          <w:color w:val="000000"/>
          <w:szCs w:val="28"/>
        </w:rPr>
      </w:pPr>
      <w:bookmarkStart w:id="519" w:name="_Toc30515"/>
      <w:bookmarkStart w:id="520" w:name="_Toc31055"/>
      <w:bookmarkStart w:id="521" w:name="_Toc74856037"/>
      <w:r>
        <w:rPr>
          <w:rFonts w:hint="eastAsia" w:ascii="仿宋" w:hAnsi="仿宋" w:cs="仿宋"/>
          <w:color w:val="000000"/>
          <w:szCs w:val="28"/>
        </w:rPr>
        <w:t>7.4.1应急监测一般原则</w:t>
      </w:r>
      <w:bookmarkEnd w:id="519"/>
      <w:bookmarkEnd w:id="520"/>
      <w:bookmarkEnd w:id="521"/>
    </w:p>
    <w:p>
      <w:pPr>
        <w:widowControl w:val="0"/>
        <w:spacing w:after="0" w:line="360" w:lineRule="auto"/>
        <w:ind w:firstLine="482"/>
        <w:rPr>
          <w:rFonts w:ascii="仿宋" w:hAnsi="仿宋" w:eastAsia="仿宋" w:cs="仿宋"/>
          <w:sz w:val="24"/>
        </w:rPr>
      </w:pPr>
      <w:r>
        <w:rPr>
          <w:rFonts w:hint="eastAsia" w:ascii="仿宋" w:hAnsi="仿宋" w:eastAsia="仿宋" w:cs="仿宋"/>
          <w:sz w:val="24"/>
        </w:rPr>
        <w:t>应急监测要求准确、快速、灵敏、简便。公司发生重大环境事件对当地大气、地表水产生影响的情况下，由于自身没有监测力量，建设单位立即向文山州生态环境局西畴分局上报，由委托第三方有资质单位按应急监测技术规范的要求展开监测。</w:t>
      </w:r>
    </w:p>
    <w:p>
      <w:pPr>
        <w:widowControl w:val="0"/>
        <w:spacing w:after="0" w:line="360" w:lineRule="auto"/>
        <w:ind w:firstLine="482"/>
        <w:rPr>
          <w:rFonts w:ascii="仿宋" w:hAnsi="仿宋" w:eastAsia="仿宋" w:cs="仿宋"/>
          <w:sz w:val="24"/>
        </w:rPr>
      </w:pPr>
      <w:r>
        <w:rPr>
          <w:rFonts w:hint="eastAsia" w:ascii="仿宋" w:hAnsi="仿宋" w:eastAsia="仿宋" w:cs="仿宋"/>
          <w:sz w:val="24"/>
        </w:rPr>
        <w:t>(1)布点原则:采样断面(点)的设置一般以突发环境事件发生地及其附近区域为主，同时必须注重人群和生活环境，重点关注对饮用水水源地、人群活动区域的空气、农田土壤等区域的影响，并合理设置监测断面(点)，以掌握污染发生地状况、反映事故发生区域环境的污染程度和范围。</w:t>
      </w:r>
      <w:r>
        <w:rPr>
          <w:rFonts w:hint="eastAsia" w:ascii="仿宋" w:hAnsi="仿宋" w:eastAsia="仿宋" w:cs="仿宋"/>
          <w:sz w:val="24"/>
        </w:rPr>
        <w:br w:type="textWrapping"/>
      </w:r>
      <w:r>
        <w:rPr>
          <w:rFonts w:hint="eastAsia" w:ascii="仿宋" w:hAnsi="仿宋" w:eastAsia="仿宋" w:cs="仿宋"/>
          <w:sz w:val="24"/>
        </w:rPr>
        <w:t>      </w:t>
      </w:r>
      <w:r>
        <w:rPr>
          <w:rFonts w:hint="eastAsia" w:ascii="仿宋" w:hAnsi="仿宋" w:eastAsia="仿宋" w:cs="仿宋"/>
          <w:sz w:val="24"/>
          <w:lang w:val="en-US" w:eastAsia="zh-CN"/>
        </w:rPr>
        <w:t xml:space="preserve"> </w:t>
      </w:r>
      <w:r>
        <w:rPr>
          <w:rFonts w:hint="eastAsia" w:ascii="仿宋" w:hAnsi="仿宋" w:eastAsia="仿宋" w:cs="仿宋"/>
          <w:sz w:val="24"/>
        </w:rPr>
        <w:t>对被突发环境事件所污染的地表水、地下水、大气和土壤应设置对照断面(点)、控制断面(点)，对地表水和地下水还应设置消减断面，尽可能以最少的断面(点)获取足够的有代表性的所需信息，同时须考虑采样的可行性和方便性。</w:t>
      </w:r>
    </w:p>
    <w:p>
      <w:pPr>
        <w:widowControl w:val="0"/>
        <w:spacing w:after="0" w:line="360" w:lineRule="auto"/>
        <w:ind w:firstLine="482"/>
        <w:rPr>
          <w:rFonts w:ascii="仿宋" w:hAnsi="仿宋" w:eastAsia="仿宋" w:cs="仿宋"/>
          <w:sz w:val="24"/>
        </w:rPr>
      </w:pPr>
      <w:r>
        <w:rPr>
          <w:rFonts w:hint="eastAsia" w:ascii="仿宋" w:hAnsi="仿宋" w:eastAsia="仿宋" w:cs="仿宋"/>
          <w:sz w:val="24"/>
        </w:rPr>
        <w:t>(2)现场检测仪器设备的确定原则:应能快速鉴定、鉴别污染物，并能给出定性、半定量或定量的检测结果，直接读数，使用方便，易于携带，对样品的前处理要求低。</w:t>
      </w:r>
      <w:r>
        <w:rPr>
          <w:rFonts w:hint="eastAsia" w:ascii="仿宋" w:hAnsi="仿宋" w:eastAsia="仿宋" w:cs="仿宋"/>
          <w:sz w:val="24"/>
        </w:rPr>
        <w:br w:type="textWrapping"/>
      </w:r>
      <w:r>
        <w:rPr>
          <w:rFonts w:hint="eastAsia" w:ascii="仿宋" w:hAnsi="仿宋" w:eastAsia="仿宋" w:cs="仿宋"/>
          <w:sz w:val="24"/>
        </w:rPr>
        <w:t>      (3)采样原则:制定初步有关采样计划，包括布点原则、监测频次、采样方法、监测项目、采样人员及分工、采样器材、安全防护设备、必要的简易快速检测器材等。</w:t>
      </w:r>
      <w:r>
        <w:rPr>
          <w:rFonts w:hint="eastAsia" w:ascii="仿宋" w:hAnsi="仿宋" w:eastAsia="仿宋" w:cs="仿宋"/>
          <w:sz w:val="24"/>
        </w:rPr>
        <w:br w:type="textWrapping"/>
      </w:r>
      <w:r>
        <w:rPr>
          <w:rFonts w:hint="eastAsia" w:ascii="仿宋" w:hAnsi="仿宋" w:eastAsia="仿宋" w:cs="仿宋"/>
          <w:sz w:val="24"/>
        </w:rPr>
        <w:t>      (4)采样和现场监测的安全防护原则:进入突发环境事件现场的应急监测人员，必须注意自身的安全防护，对事故现场不熟悉、不能确认现场安全或不按规定佩戴必需的防护设备，未经现场指挥/警戒人员许可，不应进入事故现场进行采样监测。</w:t>
      </w:r>
      <w:r>
        <w:rPr>
          <w:rFonts w:hint="eastAsia" w:ascii="仿宋" w:hAnsi="仿宋" w:eastAsia="仿宋" w:cs="仿宋"/>
          <w:sz w:val="24"/>
        </w:rPr>
        <w:br w:type="textWrapping"/>
      </w:r>
      <w:r>
        <w:rPr>
          <w:rFonts w:hint="eastAsia" w:ascii="仿宋" w:hAnsi="仿宋" w:eastAsia="仿宋" w:cs="仿宋"/>
          <w:sz w:val="24"/>
        </w:rPr>
        <w:t>      (5)监测项目的确定原则:突发环境事件由于其发生的突然性、形式的多样性、成分的复杂性决定了应急监测项目往往一时难以确定，此时应通过多种途径尽快确定主要污染物和监测项目。</w:t>
      </w:r>
    </w:p>
    <w:p>
      <w:pPr>
        <w:pStyle w:val="7"/>
        <w:rPr>
          <w:rFonts w:ascii="仿宋" w:hAnsi="仿宋"/>
          <w:szCs w:val="28"/>
        </w:rPr>
      </w:pPr>
      <w:bookmarkStart w:id="522" w:name="_Toc74856038"/>
      <w:bookmarkStart w:id="523" w:name="_Toc2732"/>
      <w:bookmarkStart w:id="524" w:name="_Toc3442"/>
      <w:r>
        <w:rPr>
          <w:rFonts w:ascii="仿宋" w:hAnsi="仿宋"/>
          <w:szCs w:val="28"/>
        </w:rPr>
        <w:t>7.</w:t>
      </w:r>
      <w:r>
        <w:rPr>
          <w:rFonts w:hint="eastAsia" w:ascii="仿宋" w:hAnsi="仿宋"/>
          <w:szCs w:val="28"/>
        </w:rPr>
        <w:t>4</w:t>
      </w:r>
      <w:r>
        <w:rPr>
          <w:rFonts w:ascii="仿宋" w:hAnsi="仿宋"/>
          <w:szCs w:val="28"/>
        </w:rPr>
        <w:t>.</w:t>
      </w:r>
      <w:r>
        <w:rPr>
          <w:rFonts w:hint="eastAsia" w:ascii="仿宋" w:hAnsi="仿宋"/>
          <w:szCs w:val="28"/>
        </w:rPr>
        <w:t>2应急监测方案</w:t>
      </w:r>
      <w:bookmarkEnd w:id="522"/>
      <w:bookmarkEnd w:id="523"/>
    </w:p>
    <w:p>
      <w:pPr>
        <w:widowControl w:val="0"/>
        <w:spacing w:after="0" w:line="360" w:lineRule="auto"/>
        <w:ind w:firstLine="480"/>
        <w:jc w:val="both"/>
        <w:rPr>
          <w:rFonts w:eastAsia="仿宋_GB2312"/>
          <w:sz w:val="24"/>
        </w:rPr>
      </w:pPr>
      <w:r>
        <w:rPr>
          <w:rFonts w:hint="eastAsia" w:eastAsia="仿宋_GB2312"/>
          <w:sz w:val="24"/>
        </w:rPr>
        <w:t>(1)布点方案</w:t>
      </w:r>
    </w:p>
    <w:p>
      <w:pPr>
        <w:widowControl w:val="0"/>
        <w:spacing w:after="0" w:line="360" w:lineRule="auto"/>
        <w:ind w:firstLine="480"/>
        <w:jc w:val="both"/>
        <w:rPr>
          <w:rFonts w:eastAsia="仿宋_GB2312"/>
          <w:sz w:val="24"/>
        </w:rPr>
      </w:pPr>
      <w:r>
        <w:rPr>
          <w:rFonts w:hint="eastAsia" w:eastAsia="仿宋_GB2312"/>
          <w:sz w:val="24"/>
        </w:rPr>
        <w:t>①空气：应尽可能在事故发生地就近采样，并以事故点为中心，根据事故发生地的地理特点、盛行风向及其他自然条件，在事故发生地下风向影响区域、掩体或低洼地等位置，按一定间隔的圆形布点采样，并根据污染物的特性在不同高度采样，同时在事故点的上风向适当位置布设对照点，在距事故发生地最近的居民住宅区布点采样，采样过程中应注意风向的变化，及时调整采样点位置。对于应急监测采样器，应经常予以校正，以免情况紧急时没有时间进行校正。利用检气管快速监测污染物的种类和浓度范围，现场确定采样流量和采样时间。采样时，应同时记录气温、气压、风向和风速，采样总体积应换算成标准状态下的体积。</w:t>
      </w:r>
    </w:p>
    <w:p>
      <w:pPr>
        <w:widowControl w:val="0"/>
        <w:spacing w:after="0" w:line="360" w:lineRule="auto"/>
        <w:ind w:firstLine="480"/>
        <w:jc w:val="both"/>
        <w:rPr>
          <w:rFonts w:eastAsia="仿宋_GB2312"/>
          <w:sz w:val="24"/>
        </w:rPr>
      </w:pPr>
      <w:r>
        <w:rPr>
          <w:rFonts w:hint="eastAsia" w:eastAsia="仿宋_GB2312"/>
          <w:sz w:val="24"/>
        </w:rPr>
        <w:t>②地表水：监测点位以事故发生地为主，根据水流方向、扩散速度和现场具体情况进行布点采样，同时应测定流量。采样器具应洁净并应避免交叉感染，现场可采集平行双样，一份供现场快速测定，另一份现场立即交入保护剂，尽快送至实验室进行分析。若需要，可同时用专用采泥器或塑料铲采集事发生地的沉积物样品密封装入塑料广口瓶中。</w:t>
      </w:r>
    </w:p>
    <w:p>
      <w:pPr>
        <w:widowControl w:val="0"/>
        <w:spacing w:after="0" w:line="360" w:lineRule="auto"/>
        <w:ind w:firstLine="480"/>
        <w:jc w:val="both"/>
        <w:rPr>
          <w:rFonts w:eastAsia="仿宋_GB2312"/>
          <w:sz w:val="24"/>
        </w:rPr>
      </w:pPr>
      <w:r>
        <w:rPr>
          <w:rFonts w:hint="eastAsia" w:eastAsia="仿宋_GB2312"/>
          <w:sz w:val="24"/>
        </w:rPr>
        <w:t>③地下水：应以事故发生地为中心，根据本地区地下水流向采用网格法或辐射法在周围 2km 内布设监测井采样，同进视地下水主要补给来源，在垂直于地下水流的上方向，设置对照监测井采样，在以地下水为饮用水源的取水处必须设置采样点。采样应避开井壁，采样瓶以均匀的速度沉入水中，使整个垂直断面的各层水样进入采样瓶。若用泵或直接从取水管采集水样时，应先排尽管内的积水后采集水样，同时要在事故发生地的上游采样一个对照样品。</w:t>
      </w:r>
    </w:p>
    <w:p>
      <w:pPr>
        <w:widowControl w:val="0"/>
        <w:spacing w:after="0" w:line="360" w:lineRule="auto"/>
        <w:ind w:firstLine="480"/>
        <w:jc w:val="both"/>
        <w:rPr>
          <w:rFonts w:eastAsia="仿宋_GB2312"/>
          <w:sz w:val="24"/>
        </w:rPr>
      </w:pPr>
      <w:r>
        <w:rPr>
          <w:rFonts w:hint="eastAsia" w:eastAsia="仿宋_GB2312"/>
          <w:sz w:val="24"/>
        </w:rPr>
        <w:t>④土壤：应以事故发生地为中心，在事故发生地及周围一定距离内的区域按一定的间隔圆形布点采样，并根据污染物的特性在不同深度采样，同时采集未受污染区域的样品作为对照样品。必要时还应采集事故地附近的作物样品。在相对开阔的污染区域采取垂直深 10cm 的表层土。一般在10m×10m 范围内，采用梅花形布点方法或根据地形采用蛇形布点方法（采样点不少于 5 个）。将多点采集的土壤样品除去石块、草根等杂物，现场混合后取1-2kg 样品装在塑料袋内密封。</w:t>
      </w:r>
    </w:p>
    <w:p>
      <w:pPr>
        <w:widowControl w:val="0"/>
        <w:spacing w:after="0" w:line="360" w:lineRule="auto"/>
        <w:ind w:firstLine="480"/>
        <w:jc w:val="both"/>
        <w:rPr>
          <w:rFonts w:eastAsia="仿宋_GB2312"/>
          <w:sz w:val="24"/>
        </w:rPr>
      </w:pPr>
      <w:r>
        <w:rPr>
          <w:rFonts w:hint="eastAsia" w:eastAsia="仿宋_GB2312"/>
          <w:sz w:val="24"/>
        </w:rPr>
        <w:t>（2）应急监测数据的统计处理</w:t>
      </w:r>
    </w:p>
    <w:p>
      <w:pPr>
        <w:widowControl w:val="0"/>
        <w:spacing w:after="0" w:line="360" w:lineRule="auto"/>
        <w:ind w:firstLine="480"/>
        <w:jc w:val="both"/>
        <w:rPr>
          <w:rFonts w:eastAsia="仿宋_GB2312"/>
          <w:sz w:val="24"/>
        </w:rPr>
      </w:pPr>
      <w:r>
        <w:rPr>
          <w:rFonts w:hint="eastAsia" w:eastAsia="仿宋_GB2312"/>
          <w:sz w:val="24"/>
        </w:rPr>
        <w:t>①现场的原始记录</w:t>
      </w:r>
    </w:p>
    <w:p>
      <w:pPr>
        <w:widowControl w:val="0"/>
        <w:spacing w:after="0" w:line="360" w:lineRule="auto"/>
        <w:ind w:firstLine="480"/>
        <w:jc w:val="both"/>
        <w:rPr>
          <w:rFonts w:eastAsia="仿宋_GB2312"/>
          <w:sz w:val="24"/>
        </w:rPr>
      </w:pPr>
      <w:r>
        <w:rPr>
          <w:rFonts w:hint="eastAsia" w:eastAsia="仿宋_GB2312"/>
          <w:sz w:val="24"/>
        </w:rPr>
        <w:t>要绘制事故现场的位置示意图，标出采样点位，记录发生时间，事故发生现场性状描述事故原因，事故持续时间，采样时间，必要的水文、气象参数，事故企业名称，联系方法，可能存在的污染物种类、流失量和影响范围。应在记录中按规定格式进行详细填写，监测任务完成后归档保存。</w:t>
      </w:r>
    </w:p>
    <w:p>
      <w:pPr>
        <w:widowControl w:val="0"/>
        <w:spacing w:after="0" w:line="360" w:lineRule="auto"/>
        <w:ind w:firstLine="480"/>
        <w:jc w:val="both"/>
        <w:rPr>
          <w:rFonts w:eastAsia="仿宋_GB2312"/>
          <w:sz w:val="24"/>
        </w:rPr>
      </w:pPr>
      <w:r>
        <w:rPr>
          <w:rFonts w:hint="eastAsia" w:eastAsia="仿宋_GB2312"/>
          <w:sz w:val="24"/>
        </w:rPr>
        <w:t>原始记录的数据有误需要修改时，应在错误的数据上划上横线，再在错误的数据上方写上正确的数据，并在右下方盖章或签字，不准在原始记录上涂改或撕页。原始记录应有统一编号，个人不准擅自销毁。</w:t>
      </w:r>
    </w:p>
    <w:p>
      <w:pPr>
        <w:widowControl w:val="0"/>
        <w:spacing w:after="0" w:line="360" w:lineRule="auto"/>
        <w:ind w:firstLine="480"/>
        <w:jc w:val="both"/>
        <w:rPr>
          <w:rFonts w:eastAsia="仿宋_GB2312"/>
          <w:sz w:val="24"/>
        </w:rPr>
      </w:pPr>
      <w:r>
        <w:rPr>
          <w:rFonts w:hint="eastAsia" w:eastAsia="仿宋_GB2312"/>
          <w:sz w:val="24"/>
        </w:rPr>
        <w:t>参加应急监测的人员必须持严肃认真的工作态度，对现场原始记录负责，做到及时记录信息，不应以回忆的方式填写。</w:t>
      </w:r>
    </w:p>
    <w:p>
      <w:pPr>
        <w:widowControl w:val="0"/>
        <w:spacing w:after="0" w:line="360" w:lineRule="auto"/>
        <w:ind w:firstLine="480"/>
        <w:jc w:val="both"/>
        <w:rPr>
          <w:rFonts w:eastAsia="仿宋_GB2312"/>
          <w:sz w:val="24"/>
        </w:rPr>
      </w:pPr>
      <w:r>
        <w:rPr>
          <w:rFonts w:hint="eastAsia" w:eastAsia="仿宋_GB2312"/>
          <w:sz w:val="24"/>
        </w:rPr>
        <w:t>每次报出数据时前，原始记录上必须有测试人的签名。</w:t>
      </w:r>
    </w:p>
    <w:p>
      <w:pPr>
        <w:widowControl w:val="0"/>
        <w:spacing w:after="0" w:line="360" w:lineRule="auto"/>
        <w:ind w:firstLine="480"/>
        <w:jc w:val="both"/>
        <w:rPr>
          <w:rFonts w:eastAsia="仿宋_GB2312"/>
          <w:sz w:val="24"/>
        </w:rPr>
      </w:pPr>
      <w:r>
        <w:rPr>
          <w:rFonts w:hint="eastAsia" w:eastAsia="仿宋_GB2312"/>
          <w:sz w:val="24"/>
        </w:rPr>
        <w:t>按常规的做法，监测数据汇总成表，经分析后编写成报告上报，需要一定的时间。为适应应急监测快速报告的需要，可采取边采样、边分析、边汇总、边报告的形式进行。</w:t>
      </w:r>
    </w:p>
    <w:p>
      <w:pPr>
        <w:widowControl w:val="0"/>
        <w:spacing w:after="0" w:line="360" w:lineRule="auto"/>
        <w:ind w:firstLine="480"/>
        <w:jc w:val="both"/>
        <w:rPr>
          <w:rFonts w:eastAsia="仿宋_GB2312"/>
          <w:sz w:val="24"/>
        </w:rPr>
      </w:pPr>
      <w:r>
        <w:rPr>
          <w:rFonts w:hint="eastAsia" w:eastAsia="仿宋_GB2312"/>
          <w:sz w:val="24"/>
        </w:rPr>
        <w:t>现场监测记录是报告应急监测结果的重要依据之一，应按规范格式记录，保证信息的完整性，主要包括环境条件、分析项目、分析方法、分析日期、样品类型、仪器名称、仪器型号、仪器编号、测定结果、分析人员、校核人员、审核人员签名等。</w:t>
      </w:r>
    </w:p>
    <w:p>
      <w:pPr>
        <w:widowControl w:val="0"/>
        <w:spacing w:after="0" w:line="360" w:lineRule="auto"/>
        <w:ind w:firstLine="480"/>
        <w:jc w:val="both"/>
        <w:rPr>
          <w:rFonts w:eastAsia="仿宋_GB2312"/>
          <w:sz w:val="24"/>
        </w:rPr>
      </w:pPr>
      <w:bookmarkStart w:id="525" w:name="_Toc72068757"/>
      <w:r>
        <w:rPr>
          <w:rFonts w:hint="eastAsia" w:eastAsia="仿宋_GB2312"/>
          <w:sz w:val="24"/>
        </w:rPr>
        <w:t>（3）应急监测报告内容</w:t>
      </w:r>
      <w:bookmarkEnd w:id="525"/>
    </w:p>
    <w:p>
      <w:pPr>
        <w:widowControl w:val="0"/>
        <w:spacing w:after="0" w:line="360" w:lineRule="auto"/>
        <w:ind w:firstLine="480"/>
        <w:jc w:val="both"/>
        <w:rPr>
          <w:rFonts w:eastAsia="仿宋_GB2312"/>
          <w:sz w:val="24"/>
        </w:rPr>
      </w:pPr>
      <w:r>
        <w:rPr>
          <w:rFonts w:hint="eastAsia" w:eastAsia="仿宋_GB2312"/>
          <w:sz w:val="24"/>
        </w:rPr>
        <w:t>应急监测报告速报、确报、最终确报几种形式。报告的手段可采用电话、传真、电子邮件、监测快报、简报、应急监测报告等方式进行。应根据现场情况和监测结果，编写现场监测报告并迅速上报同级生态环境主管部门和现场应急指挥中心。重大、特大污染事故报当地生态环境行政主管部门及上一级环境监测站，逐级上报。应急监测报告的主要内容包括：</w:t>
      </w:r>
    </w:p>
    <w:p>
      <w:pPr>
        <w:widowControl w:val="0"/>
        <w:spacing w:after="0" w:line="360" w:lineRule="auto"/>
        <w:ind w:firstLine="480"/>
        <w:jc w:val="both"/>
        <w:rPr>
          <w:rFonts w:eastAsia="仿宋_GB2312"/>
          <w:sz w:val="24"/>
        </w:rPr>
      </w:pPr>
      <w:r>
        <w:rPr>
          <w:rFonts w:hint="eastAsia" w:eastAsia="仿宋_GB2312"/>
          <w:sz w:val="24"/>
        </w:rPr>
        <w:t>①事故发生的时间，接到通知的时间，到达现场监测时间；</w:t>
      </w:r>
    </w:p>
    <w:p>
      <w:pPr>
        <w:widowControl w:val="0"/>
        <w:spacing w:after="0" w:line="360" w:lineRule="auto"/>
        <w:ind w:firstLine="480"/>
        <w:jc w:val="both"/>
        <w:rPr>
          <w:rFonts w:eastAsia="仿宋_GB2312"/>
          <w:sz w:val="24"/>
        </w:rPr>
      </w:pPr>
      <w:r>
        <w:rPr>
          <w:rFonts w:hint="eastAsia" w:eastAsia="仿宋_GB2312"/>
          <w:sz w:val="24"/>
        </w:rPr>
        <w:t>②事故发生的具体地点及周边的自然环境；</w:t>
      </w:r>
    </w:p>
    <w:p>
      <w:pPr>
        <w:widowControl w:val="0"/>
        <w:spacing w:after="0" w:line="360" w:lineRule="auto"/>
        <w:ind w:firstLine="480"/>
        <w:jc w:val="both"/>
        <w:rPr>
          <w:rFonts w:eastAsia="仿宋_GB2312"/>
          <w:sz w:val="24"/>
        </w:rPr>
      </w:pPr>
      <w:r>
        <w:rPr>
          <w:rFonts w:hint="eastAsia" w:eastAsia="仿宋_GB2312"/>
          <w:sz w:val="24"/>
        </w:rPr>
        <w:t>③事故发生的性质与类型；</w:t>
      </w:r>
    </w:p>
    <w:p>
      <w:pPr>
        <w:widowControl w:val="0"/>
        <w:spacing w:after="0" w:line="360" w:lineRule="auto"/>
        <w:ind w:firstLine="480"/>
        <w:jc w:val="both"/>
        <w:rPr>
          <w:rFonts w:eastAsia="仿宋_GB2312"/>
          <w:sz w:val="24"/>
        </w:rPr>
      </w:pPr>
      <w:r>
        <w:rPr>
          <w:rFonts w:hint="eastAsia" w:eastAsia="仿宋_GB2312"/>
          <w:sz w:val="24"/>
        </w:rPr>
        <w:t>④采样断面（点位）、监测频次、监测方法；</w:t>
      </w:r>
    </w:p>
    <w:p>
      <w:pPr>
        <w:widowControl w:val="0"/>
        <w:spacing w:after="0" w:line="360" w:lineRule="auto"/>
        <w:ind w:firstLine="480"/>
        <w:jc w:val="both"/>
        <w:rPr>
          <w:rFonts w:eastAsia="仿宋_GB2312"/>
          <w:sz w:val="24"/>
        </w:rPr>
      </w:pPr>
      <w:r>
        <w:rPr>
          <w:rFonts w:hint="eastAsia" w:eastAsia="仿宋_GB2312"/>
          <w:sz w:val="24"/>
        </w:rPr>
        <w:t>⑤污染事故的性质，主要污染物的种类、排放量、浓度及影响范围；</w:t>
      </w:r>
    </w:p>
    <w:p>
      <w:pPr>
        <w:widowControl w:val="0"/>
        <w:spacing w:after="0" w:line="360" w:lineRule="auto"/>
        <w:ind w:firstLine="480"/>
        <w:jc w:val="both"/>
        <w:rPr>
          <w:rFonts w:eastAsia="仿宋_GB2312"/>
          <w:sz w:val="24"/>
        </w:rPr>
      </w:pPr>
      <w:r>
        <w:rPr>
          <w:rFonts w:hint="eastAsia" w:eastAsia="仿宋_GB2312"/>
          <w:sz w:val="24"/>
        </w:rPr>
        <w:t>⑥污染事故的危害与损失，包括人员伤亡、事故原因等；</w:t>
      </w:r>
    </w:p>
    <w:p>
      <w:pPr>
        <w:widowControl w:val="0"/>
        <w:spacing w:after="0" w:line="360" w:lineRule="auto"/>
        <w:ind w:firstLine="480"/>
        <w:jc w:val="both"/>
        <w:rPr>
          <w:rFonts w:eastAsia="仿宋_GB2312"/>
          <w:sz w:val="24"/>
        </w:rPr>
      </w:pPr>
      <w:r>
        <w:rPr>
          <w:rFonts w:hint="eastAsia" w:eastAsia="仿宋_GB2312"/>
          <w:sz w:val="24"/>
        </w:rPr>
        <w:t>⑦简要说明污染物的危害特性及处理处置建议；</w:t>
      </w:r>
    </w:p>
    <w:p>
      <w:pPr>
        <w:widowControl w:val="0"/>
        <w:spacing w:after="0" w:line="360" w:lineRule="auto"/>
        <w:ind w:firstLine="480"/>
        <w:jc w:val="both"/>
        <w:rPr>
          <w:rFonts w:eastAsia="仿宋_GB2312"/>
          <w:sz w:val="24"/>
        </w:rPr>
      </w:pPr>
      <w:r>
        <w:rPr>
          <w:rFonts w:hint="eastAsia" w:eastAsia="仿宋_GB2312"/>
          <w:sz w:val="24"/>
        </w:rPr>
        <w:t>⑧应急监测现场负责人签字。</w:t>
      </w:r>
    </w:p>
    <w:p>
      <w:pPr>
        <w:widowControl w:val="0"/>
        <w:spacing w:after="0" w:line="360" w:lineRule="auto"/>
        <w:ind w:firstLine="480"/>
        <w:jc w:val="both"/>
        <w:rPr>
          <w:rFonts w:eastAsia="仿宋_GB2312"/>
          <w:sz w:val="24"/>
        </w:rPr>
      </w:pPr>
      <w:r>
        <w:rPr>
          <w:rFonts w:hint="eastAsia" w:eastAsia="仿宋_GB2312"/>
          <w:sz w:val="24"/>
        </w:rPr>
        <w:t>（4）监测方法和标准</w:t>
      </w:r>
    </w:p>
    <w:p>
      <w:pPr>
        <w:widowControl w:val="0"/>
        <w:spacing w:after="0" w:line="360" w:lineRule="auto"/>
        <w:ind w:firstLine="480"/>
        <w:jc w:val="both"/>
        <w:rPr>
          <w:rFonts w:eastAsia="仿宋_GB2312"/>
          <w:sz w:val="24"/>
        </w:rPr>
      </w:pPr>
      <w:r>
        <w:rPr>
          <w:rFonts w:hint="eastAsia" w:eastAsia="仿宋_GB2312"/>
          <w:sz w:val="24"/>
        </w:rPr>
        <w:t>监测方法按《突发环境事件应急监测技术规范》（HJ589-2010）实施。应急监测标准如下表7.4.2-1。</w:t>
      </w:r>
    </w:p>
    <w:p>
      <w:pPr>
        <w:widowControl w:val="0"/>
        <w:spacing w:after="0" w:line="360" w:lineRule="auto"/>
        <w:jc w:val="center"/>
        <w:rPr>
          <w:rFonts w:eastAsia="仿宋_GB2312"/>
          <w:b/>
          <w:sz w:val="24"/>
        </w:rPr>
      </w:pPr>
      <w:r>
        <w:rPr>
          <w:rFonts w:hint="eastAsia" w:eastAsia="仿宋_GB2312"/>
          <w:b/>
          <w:sz w:val="24"/>
        </w:rPr>
        <w:t>表7.4.2-1   应急监测标准</w:t>
      </w:r>
    </w:p>
    <w:tbl>
      <w:tblPr>
        <w:tblStyle w:val="31"/>
        <w:tblW w:w="84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5"/>
        <w:gridCol w:w="1541"/>
        <w:gridCol w:w="1133"/>
        <w:gridCol w:w="3005"/>
        <w:gridCol w:w="1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75" w:type="dxa"/>
            <w:noWrap/>
            <w:vAlign w:val="center"/>
          </w:tcPr>
          <w:p>
            <w:pPr>
              <w:pStyle w:val="73"/>
              <w:spacing w:after="0"/>
              <w:jc w:val="center"/>
              <w:rPr>
                <w:b/>
                <w:sz w:val="21"/>
                <w:szCs w:val="21"/>
              </w:rPr>
            </w:pPr>
            <w:r>
              <w:rPr>
                <w:rFonts w:hint="eastAsia"/>
                <w:b/>
                <w:sz w:val="21"/>
                <w:szCs w:val="21"/>
              </w:rPr>
              <w:t>加油站</w:t>
            </w:r>
          </w:p>
        </w:tc>
        <w:tc>
          <w:tcPr>
            <w:tcW w:w="1541" w:type="dxa"/>
            <w:noWrap/>
            <w:vAlign w:val="center"/>
          </w:tcPr>
          <w:p>
            <w:pPr>
              <w:pStyle w:val="73"/>
              <w:spacing w:after="0"/>
              <w:jc w:val="center"/>
              <w:rPr>
                <w:b/>
                <w:sz w:val="21"/>
                <w:szCs w:val="21"/>
              </w:rPr>
            </w:pPr>
            <w:r>
              <w:rPr>
                <w:rFonts w:hint="eastAsia"/>
                <w:b/>
                <w:sz w:val="21"/>
                <w:szCs w:val="21"/>
              </w:rPr>
              <w:t>监测因子</w:t>
            </w:r>
          </w:p>
        </w:tc>
        <w:tc>
          <w:tcPr>
            <w:tcW w:w="1133" w:type="dxa"/>
            <w:noWrap/>
            <w:vAlign w:val="center"/>
          </w:tcPr>
          <w:p>
            <w:pPr>
              <w:widowControl w:val="0"/>
              <w:spacing w:after="0" w:line="360" w:lineRule="auto"/>
              <w:jc w:val="center"/>
              <w:rPr>
                <w:rFonts w:eastAsia="仿宋_GB2312"/>
                <w:b/>
                <w:sz w:val="21"/>
                <w:szCs w:val="21"/>
              </w:rPr>
            </w:pPr>
            <w:r>
              <w:rPr>
                <w:rFonts w:hint="eastAsia" w:eastAsia="仿宋_GB2312"/>
                <w:b/>
                <w:sz w:val="21"/>
                <w:szCs w:val="21"/>
              </w:rPr>
              <w:t>标准限值</w:t>
            </w:r>
          </w:p>
        </w:tc>
        <w:tc>
          <w:tcPr>
            <w:tcW w:w="3005" w:type="dxa"/>
            <w:noWrap/>
            <w:vAlign w:val="center"/>
          </w:tcPr>
          <w:p>
            <w:pPr>
              <w:pStyle w:val="73"/>
              <w:spacing w:after="0"/>
              <w:jc w:val="center"/>
              <w:rPr>
                <w:b/>
                <w:sz w:val="21"/>
                <w:szCs w:val="21"/>
              </w:rPr>
            </w:pPr>
            <w:r>
              <w:rPr>
                <w:rFonts w:hint="eastAsia"/>
                <w:b/>
                <w:sz w:val="21"/>
                <w:szCs w:val="21"/>
              </w:rPr>
              <w:t>执行标准</w:t>
            </w:r>
          </w:p>
        </w:tc>
        <w:tc>
          <w:tcPr>
            <w:tcW w:w="1375" w:type="dxa"/>
            <w:noWrap/>
            <w:vAlign w:val="center"/>
          </w:tcPr>
          <w:p>
            <w:pPr>
              <w:pStyle w:val="73"/>
              <w:spacing w:after="0"/>
              <w:jc w:val="center"/>
              <w:rPr>
                <w:b/>
                <w:sz w:val="21"/>
                <w:szCs w:val="21"/>
              </w:rPr>
            </w:pPr>
            <w:r>
              <w:rPr>
                <w:rFonts w:hint="eastAsia"/>
                <w:b/>
                <w:sz w:val="21"/>
                <w:szCs w:val="21"/>
              </w:rPr>
              <w:t>监测单位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375" w:type="dxa"/>
            <w:noWrap/>
            <w:vAlign w:val="center"/>
          </w:tcPr>
          <w:p>
            <w:pPr>
              <w:pStyle w:val="73"/>
              <w:spacing w:line="240" w:lineRule="auto"/>
              <w:jc w:val="center"/>
              <w:rPr>
                <w:sz w:val="21"/>
                <w:szCs w:val="21"/>
              </w:rPr>
            </w:pPr>
            <w:r>
              <w:rPr>
                <w:rFonts w:hint="eastAsia"/>
                <w:sz w:val="21"/>
                <w:szCs w:val="21"/>
              </w:rPr>
              <w:t>废气</w:t>
            </w:r>
          </w:p>
        </w:tc>
        <w:tc>
          <w:tcPr>
            <w:tcW w:w="1541" w:type="dxa"/>
            <w:noWrap/>
            <w:vAlign w:val="center"/>
          </w:tcPr>
          <w:p>
            <w:pPr>
              <w:pStyle w:val="73"/>
              <w:spacing w:line="240" w:lineRule="auto"/>
              <w:jc w:val="center"/>
              <w:rPr>
                <w:sz w:val="21"/>
                <w:szCs w:val="21"/>
              </w:rPr>
            </w:pPr>
            <w:r>
              <w:rPr>
                <w:rFonts w:hint="eastAsia"/>
                <w:sz w:val="21"/>
                <w:szCs w:val="21"/>
              </w:rPr>
              <w:t>非甲烷总烃</w:t>
            </w:r>
          </w:p>
        </w:tc>
        <w:tc>
          <w:tcPr>
            <w:tcW w:w="1133" w:type="dxa"/>
            <w:noWrap/>
            <w:vAlign w:val="center"/>
          </w:tcPr>
          <w:p>
            <w:pPr>
              <w:pStyle w:val="73"/>
              <w:spacing w:line="240" w:lineRule="auto"/>
              <w:jc w:val="center"/>
              <w:rPr>
                <w:sz w:val="21"/>
                <w:szCs w:val="21"/>
              </w:rPr>
            </w:pPr>
            <w:r>
              <w:rPr>
                <w:rFonts w:hint="eastAsia"/>
                <w:sz w:val="21"/>
                <w:szCs w:val="21"/>
              </w:rPr>
              <w:t>4.0mg/m</w:t>
            </w:r>
            <w:r>
              <w:rPr>
                <w:rFonts w:hint="eastAsia"/>
                <w:sz w:val="21"/>
                <w:szCs w:val="21"/>
                <w:vertAlign w:val="superscript"/>
              </w:rPr>
              <w:t>3</w:t>
            </w:r>
          </w:p>
        </w:tc>
        <w:tc>
          <w:tcPr>
            <w:tcW w:w="3005" w:type="dxa"/>
            <w:noWrap/>
            <w:vAlign w:val="center"/>
          </w:tcPr>
          <w:p>
            <w:pPr>
              <w:widowControl w:val="0"/>
              <w:jc w:val="center"/>
              <w:rPr>
                <w:rFonts w:eastAsia="仿宋_GB2312"/>
                <w:sz w:val="21"/>
                <w:szCs w:val="21"/>
              </w:rPr>
            </w:pPr>
            <w:r>
              <w:rPr>
                <w:rFonts w:hint="eastAsia" w:eastAsia="仿宋_GB2312"/>
                <w:sz w:val="21"/>
                <w:szCs w:val="21"/>
              </w:rPr>
              <w:t>《大气污染物综合排放标准》（GB16297-1996）</w:t>
            </w:r>
          </w:p>
        </w:tc>
        <w:tc>
          <w:tcPr>
            <w:tcW w:w="1375" w:type="dxa"/>
            <w:vMerge w:val="restart"/>
            <w:noWrap/>
            <w:vAlign w:val="center"/>
          </w:tcPr>
          <w:p>
            <w:pPr>
              <w:widowControl w:val="0"/>
              <w:jc w:val="center"/>
              <w:rPr>
                <w:rFonts w:eastAsia="仿宋_GB2312"/>
                <w:sz w:val="21"/>
                <w:szCs w:val="21"/>
              </w:rPr>
            </w:pPr>
            <w:r>
              <w:rPr>
                <w:rFonts w:hint="eastAsia" w:eastAsia="仿宋_GB2312"/>
                <w:sz w:val="21"/>
                <w:szCs w:val="21"/>
              </w:rPr>
              <w:t>有资质的环</w:t>
            </w:r>
          </w:p>
          <w:p>
            <w:pPr>
              <w:widowControl w:val="0"/>
              <w:jc w:val="center"/>
              <w:rPr>
                <w:rFonts w:eastAsia="仿宋_GB2312"/>
                <w:sz w:val="21"/>
                <w:szCs w:val="21"/>
              </w:rPr>
            </w:pPr>
            <w:r>
              <w:rPr>
                <w:rFonts w:hint="eastAsia" w:eastAsia="仿宋_GB2312"/>
                <w:sz w:val="21"/>
                <w:szCs w:val="21"/>
              </w:rPr>
              <w:t>境监测单位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375" w:type="dxa"/>
            <w:vMerge w:val="restart"/>
            <w:noWrap/>
            <w:vAlign w:val="center"/>
          </w:tcPr>
          <w:p>
            <w:pPr>
              <w:widowControl w:val="0"/>
              <w:jc w:val="center"/>
              <w:rPr>
                <w:rFonts w:eastAsia="仿宋_GB2312"/>
                <w:sz w:val="21"/>
                <w:szCs w:val="21"/>
              </w:rPr>
            </w:pPr>
            <w:r>
              <w:rPr>
                <w:rFonts w:hint="eastAsia" w:eastAsia="仿宋_GB2312"/>
                <w:sz w:val="21"/>
                <w:szCs w:val="21"/>
              </w:rPr>
              <w:t>废水</w:t>
            </w:r>
          </w:p>
        </w:tc>
        <w:tc>
          <w:tcPr>
            <w:tcW w:w="1541" w:type="dxa"/>
            <w:noWrap/>
            <w:vAlign w:val="center"/>
          </w:tcPr>
          <w:p>
            <w:pPr>
              <w:pStyle w:val="73"/>
              <w:spacing w:line="240" w:lineRule="auto"/>
              <w:jc w:val="center"/>
              <w:rPr>
                <w:sz w:val="21"/>
                <w:szCs w:val="21"/>
              </w:rPr>
            </w:pPr>
            <w:r>
              <w:rPr>
                <w:rFonts w:hint="eastAsia"/>
                <w:sz w:val="21"/>
                <w:szCs w:val="21"/>
              </w:rPr>
              <w:t>悬浮物（SS）</w:t>
            </w:r>
          </w:p>
        </w:tc>
        <w:tc>
          <w:tcPr>
            <w:tcW w:w="1133" w:type="dxa"/>
            <w:noWrap/>
            <w:vAlign w:val="center"/>
          </w:tcPr>
          <w:p>
            <w:pPr>
              <w:widowControl w:val="0"/>
              <w:jc w:val="center"/>
              <w:rPr>
                <w:sz w:val="21"/>
                <w:szCs w:val="21"/>
              </w:rPr>
            </w:pPr>
            <w:r>
              <w:rPr>
                <w:rFonts w:hint="eastAsia" w:eastAsia="仿宋_GB2312"/>
                <w:sz w:val="21"/>
                <w:szCs w:val="21"/>
              </w:rPr>
              <w:t>400mg/L</w:t>
            </w:r>
          </w:p>
        </w:tc>
        <w:tc>
          <w:tcPr>
            <w:tcW w:w="3005" w:type="dxa"/>
            <w:vMerge w:val="restart"/>
            <w:noWrap/>
            <w:vAlign w:val="center"/>
          </w:tcPr>
          <w:p>
            <w:pPr>
              <w:widowControl w:val="0"/>
              <w:jc w:val="center"/>
              <w:rPr>
                <w:rFonts w:eastAsia="仿宋_GB2312"/>
                <w:sz w:val="21"/>
                <w:szCs w:val="21"/>
              </w:rPr>
            </w:pPr>
            <w:r>
              <w:rPr>
                <w:rFonts w:hint="eastAsia" w:eastAsia="仿宋_GB2312"/>
                <w:sz w:val="21"/>
                <w:szCs w:val="21"/>
              </w:rPr>
              <w:t>《污水综合排放标准》</w:t>
            </w:r>
          </w:p>
          <w:p>
            <w:pPr>
              <w:widowControl w:val="0"/>
              <w:jc w:val="center"/>
              <w:rPr>
                <w:rFonts w:eastAsia="仿宋_GB2312"/>
                <w:sz w:val="21"/>
                <w:szCs w:val="21"/>
              </w:rPr>
            </w:pPr>
            <w:r>
              <w:rPr>
                <w:rFonts w:hint="eastAsia" w:eastAsia="仿宋_GB2312"/>
                <w:sz w:val="21"/>
                <w:szCs w:val="21"/>
              </w:rPr>
              <w:t>（GB8978-1996）三级标准</w:t>
            </w:r>
          </w:p>
        </w:tc>
        <w:tc>
          <w:tcPr>
            <w:tcW w:w="1375" w:type="dxa"/>
            <w:vMerge w:val="continue"/>
            <w:noWrap/>
            <w:vAlign w:val="center"/>
          </w:tcPr>
          <w:p>
            <w:pPr>
              <w:pStyle w:val="73"/>
              <w:spacing w:line="240" w:lineRule="auto"/>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375" w:type="dxa"/>
            <w:vMerge w:val="continue"/>
            <w:noWrap/>
            <w:vAlign w:val="center"/>
          </w:tcPr>
          <w:p>
            <w:pPr>
              <w:widowControl w:val="0"/>
              <w:jc w:val="center"/>
              <w:rPr>
                <w:rFonts w:eastAsia="仿宋_GB2312"/>
                <w:sz w:val="21"/>
                <w:szCs w:val="21"/>
              </w:rPr>
            </w:pPr>
          </w:p>
        </w:tc>
        <w:tc>
          <w:tcPr>
            <w:tcW w:w="1541" w:type="dxa"/>
            <w:noWrap/>
            <w:vAlign w:val="center"/>
          </w:tcPr>
          <w:p>
            <w:pPr>
              <w:pStyle w:val="73"/>
              <w:spacing w:line="240" w:lineRule="auto"/>
              <w:jc w:val="center"/>
              <w:rPr>
                <w:sz w:val="21"/>
                <w:szCs w:val="21"/>
              </w:rPr>
            </w:pPr>
            <w:r>
              <w:rPr>
                <w:rFonts w:hint="eastAsia"/>
                <w:sz w:val="21"/>
                <w:szCs w:val="21"/>
              </w:rPr>
              <w:t>石油类</w:t>
            </w:r>
          </w:p>
        </w:tc>
        <w:tc>
          <w:tcPr>
            <w:tcW w:w="1133" w:type="dxa"/>
            <w:noWrap/>
            <w:vAlign w:val="center"/>
          </w:tcPr>
          <w:p>
            <w:pPr>
              <w:widowControl w:val="0"/>
              <w:jc w:val="center"/>
              <w:rPr>
                <w:rFonts w:eastAsia="仿宋_GB2312"/>
                <w:sz w:val="21"/>
                <w:szCs w:val="21"/>
              </w:rPr>
            </w:pPr>
            <w:r>
              <w:rPr>
                <w:rFonts w:hint="eastAsia" w:eastAsia="仿宋_GB2312"/>
                <w:sz w:val="21"/>
                <w:szCs w:val="21"/>
              </w:rPr>
              <w:t>20mg/L</w:t>
            </w:r>
          </w:p>
        </w:tc>
        <w:tc>
          <w:tcPr>
            <w:tcW w:w="3005" w:type="dxa"/>
            <w:vMerge w:val="continue"/>
            <w:noWrap/>
            <w:vAlign w:val="center"/>
          </w:tcPr>
          <w:p>
            <w:pPr>
              <w:widowControl w:val="0"/>
              <w:jc w:val="center"/>
              <w:rPr>
                <w:rFonts w:eastAsia="仿宋_GB2312"/>
                <w:sz w:val="21"/>
                <w:szCs w:val="21"/>
              </w:rPr>
            </w:pPr>
          </w:p>
        </w:tc>
        <w:tc>
          <w:tcPr>
            <w:tcW w:w="1375" w:type="dxa"/>
            <w:vMerge w:val="continue"/>
            <w:noWrap/>
            <w:vAlign w:val="center"/>
          </w:tcPr>
          <w:p>
            <w:pPr>
              <w:pStyle w:val="73"/>
              <w:spacing w:line="240" w:lineRule="auto"/>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375" w:type="dxa"/>
            <w:vMerge w:val="continue"/>
            <w:noWrap/>
            <w:vAlign w:val="center"/>
          </w:tcPr>
          <w:p>
            <w:pPr>
              <w:widowControl w:val="0"/>
              <w:jc w:val="center"/>
              <w:rPr>
                <w:rFonts w:eastAsia="仿宋_GB2312"/>
                <w:sz w:val="21"/>
                <w:szCs w:val="21"/>
              </w:rPr>
            </w:pPr>
          </w:p>
        </w:tc>
        <w:tc>
          <w:tcPr>
            <w:tcW w:w="1541" w:type="dxa"/>
            <w:noWrap/>
            <w:vAlign w:val="center"/>
          </w:tcPr>
          <w:p>
            <w:pPr>
              <w:pStyle w:val="73"/>
              <w:spacing w:line="240" w:lineRule="auto"/>
              <w:jc w:val="center"/>
              <w:rPr>
                <w:sz w:val="21"/>
                <w:szCs w:val="21"/>
              </w:rPr>
            </w:pPr>
            <w:r>
              <w:rPr>
                <w:rFonts w:hint="eastAsia"/>
                <w:sz w:val="21"/>
                <w:szCs w:val="21"/>
              </w:rPr>
              <w:t>pH</w:t>
            </w:r>
          </w:p>
        </w:tc>
        <w:tc>
          <w:tcPr>
            <w:tcW w:w="1133" w:type="dxa"/>
            <w:noWrap/>
            <w:vAlign w:val="center"/>
          </w:tcPr>
          <w:p>
            <w:pPr>
              <w:widowControl w:val="0"/>
              <w:jc w:val="center"/>
              <w:rPr>
                <w:rFonts w:eastAsia="仿宋_GB2312"/>
                <w:sz w:val="21"/>
                <w:szCs w:val="21"/>
              </w:rPr>
            </w:pPr>
            <w:r>
              <w:rPr>
                <w:rFonts w:hint="eastAsia" w:eastAsia="仿宋_GB2312"/>
                <w:sz w:val="21"/>
                <w:szCs w:val="21"/>
              </w:rPr>
              <w:t>6~9</w:t>
            </w:r>
          </w:p>
        </w:tc>
        <w:tc>
          <w:tcPr>
            <w:tcW w:w="3005" w:type="dxa"/>
            <w:vMerge w:val="continue"/>
            <w:noWrap/>
            <w:vAlign w:val="center"/>
          </w:tcPr>
          <w:p>
            <w:pPr>
              <w:widowControl w:val="0"/>
              <w:jc w:val="center"/>
              <w:rPr>
                <w:rFonts w:eastAsia="仿宋_GB2312"/>
                <w:sz w:val="21"/>
                <w:szCs w:val="21"/>
              </w:rPr>
            </w:pPr>
          </w:p>
        </w:tc>
        <w:tc>
          <w:tcPr>
            <w:tcW w:w="1375" w:type="dxa"/>
            <w:vMerge w:val="continue"/>
            <w:noWrap/>
            <w:vAlign w:val="center"/>
          </w:tcPr>
          <w:p>
            <w:pPr>
              <w:pStyle w:val="73"/>
              <w:spacing w:line="240" w:lineRule="auto"/>
              <w:jc w:val="center"/>
              <w:rPr>
                <w:sz w:val="21"/>
                <w:szCs w:val="21"/>
              </w:rPr>
            </w:pPr>
          </w:p>
        </w:tc>
      </w:tr>
    </w:tbl>
    <w:p>
      <w:pPr>
        <w:widowControl w:val="0"/>
        <w:spacing w:line="360" w:lineRule="auto"/>
        <w:ind w:firstLine="480"/>
        <w:jc w:val="both"/>
        <w:rPr>
          <w:rFonts w:eastAsia="仿宋_GB2312"/>
          <w:sz w:val="24"/>
        </w:rPr>
      </w:pPr>
      <w:r>
        <w:rPr>
          <w:rFonts w:hint="eastAsia" w:eastAsia="仿宋_GB2312"/>
          <w:sz w:val="24"/>
        </w:rPr>
        <w:t>（5）应急监测内容</w:t>
      </w:r>
    </w:p>
    <w:p>
      <w:pPr>
        <w:widowControl w:val="0"/>
        <w:spacing w:line="360" w:lineRule="auto"/>
        <w:ind w:firstLine="480"/>
        <w:jc w:val="both"/>
        <w:rPr>
          <w:rFonts w:eastAsia="仿宋_GB2312"/>
          <w:sz w:val="24"/>
        </w:rPr>
      </w:pPr>
      <w:r>
        <w:rPr>
          <w:rFonts w:hint="eastAsia" w:eastAsia="仿宋_GB2312"/>
          <w:sz w:val="24"/>
        </w:rPr>
        <w:t>本加油站制定的应急监测方案见下表7.4.2-2。</w:t>
      </w:r>
    </w:p>
    <w:p>
      <w:pPr>
        <w:pStyle w:val="73"/>
        <w:spacing w:after="0"/>
        <w:jc w:val="center"/>
        <w:rPr>
          <w:b/>
          <w:sz w:val="24"/>
          <w:szCs w:val="24"/>
        </w:rPr>
      </w:pPr>
      <w:r>
        <w:rPr>
          <w:b/>
          <w:sz w:val="24"/>
          <w:szCs w:val="24"/>
        </w:rPr>
        <w:t>表 7.4.2-</w:t>
      </w:r>
      <w:r>
        <w:rPr>
          <w:rFonts w:hint="eastAsia"/>
          <w:b/>
          <w:sz w:val="24"/>
          <w:szCs w:val="24"/>
        </w:rPr>
        <w:t xml:space="preserve">2  </w:t>
      </w:r>
      <w:r>
        <w:rPr>
          <w:b/>
          <w:sz w:val="24"/>
          <w:szCs w:val="24"/>
        </w:rPr>
        <w:t xml:space="preserve"> 应急监测方案</w:t>
      </w:r>
    </w:p>
    <w:tbl>
      <w:tblPr>
        <w:tblStyle w:val="31"/>
        <w:tblW w:w="83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134"/>
        <w:gridCol w:w="3139"/>
        <w:gridCol w:w="1947"/>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851" w:type="dxa"/>
            <w:noWrap/>
            <w:vAlign w:val="center"/>
          </w:tcPr>
          <w:p>
            <w:pPr>
              <w:jc w:val="center"/>
              <w:rPr>
                <w:rFonts w:eastAsia="仿宋_GB2312"/>
                <w:b/>
                <w:sz w:val="21"/>
                <w:szCs w:val="21"/>
              </w:rPr>
            </w:pPr>
            <w:r>
              <w:rPr>
                <w:rFonts w:eastAsia="仿宋_GB2312"/>
                <w:b/>
                <w:sz w:val="21"/>
                <w:szCs w:val="21"/>
              </w:rPr>
              <w:t>类别</w:t>
            </w:r>
          </w:p>
        </w:tc>
        <w:tc>
          <w:tcPr>
            <w:tcW w:w="1134" w:type="dxa"/>
            <w:noWrap/>
            <w:vAlign w:val="center"/>
          </w:tcPr>
          <w:p>
            <w:pPr>
              <w:jc w:val="center"/>
              <w:rPr>
                <w:rFonts w:eastAsia="仿宋_GB2312"/>
                <w:b/>
                <w:sz w:val="21"/>
                <w:szCs w:val="21"/>
              </w:rPr>
            </w:pPr>
            <w:r>
              <w:rPr>
                <w:rFonts w:eastAsia="仿宋_GB2312"/>
                <w:b/>
                <w:sz w:val="21"/>
                <w:szCs w:val="21"/>
              </w:rPr>
              <w:t>事故点</w:t>
            </w:r>
          </w:p>
        </w:tc>
        <w:tc>
          <w:tcPr>
            <w:tcW w:w="3139" w:type="dxa"/>
            <w:noWrap/>
            <w:vAlign w:val="center"/>
          </w:tcPr>
          <w:p>
            <w:pPr>
              <w:jc w:val="center"/>
              <w:rPr>
                <w:rFonts w:eastAsia="仿宋_GB2312"/>
                <w:b/>
                <w:sz w:val="21"/>
                <w:szCs w:val="21"/>
              </w:rPr>
            </w:pPr>
            <w:r>
              <w:rPr>
                <w:rFonts w:eastAsia="仿宋_GB2312"/>
                <w:b/>
                <w:sz w:val="21"/>
                <w:szCs w:val="21"/>
              </w:rPr>
              <w:t>监测点</w:t>
            </w:r>
          </w:p>
        </w:tc>
        <w:tc>
          <w:tcPr>
            <w:tcW w:w="1947" w:type="dxa"/>
            <w:noWrap/>
            <w:vAlign w:val="center"/>
          </w:tcPr>
          <w:p>
            <w:pPr>
              <w:jc w:val="center"/>
              <w:rPr>
                <w:rFonts w:eastAsia="仿宋_GB2312"/>
                <w:b/>
                <w:sz w:val="21"/>
                <w:szCs w:val="21"/>
              </w:rPr>
            </w:pPr>
            <w:r>
              <w:rPr>
                <w:rFonts w:eastAsia="仿宋_GB2312"/>
                <w:b/>
                <w:sz w:val="21"/>
                <w:szCs w:val="21"/>
              </w:rPr>
              <w:t>监测频率</w:t>
            </w:r>
          </w:p>
        </w:tc>
        <w:tc>
          <w:tcPr>
            <w:tcW w:w="1276" w:type="dxa"/>
            <w:noWrap/>
            <w:vAlign w:val="center"/>
          </w:tcPr>
          <w:p>
            <w:pPr>
              <w:jc w:val="center"/>
              <w:rPr>
                <w:rFonts w:eastAsia="仿宋_GB2312"/>
                <w:b/>
                <w:sz w:val="21"/>
                <w:szCs w:val="21"/>
              </w:rPr>
            </w:pPr>
            <w:r>
              <w:rPr>
                <w:rFonts w:hint="eastAsia" w:eastAsia="仿宋_GB2312"/>
                <w:b/>
                <w:sz w:val="21"/>
                <w:szCs w:val="21"/>
              </w:rPr>
              <w:t>监测项目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1" w:type="dxa"/>
            <w:noWrap/>
            <w:vAlign w:val="center"/>
          </w:tcPr>
          <w:p>
            <w:pPr>
              <w:jc w:val="center"/>
              <w:rPr>
                <w:rFonts w:eastAsia="仿宋_GB2312"/>
                <w:sz w:val="21"/>
                <w:szCs w:val="21"/>
              </w:rPr>
            </w:pPr>
            <w:r>
              <w:rPr>
                <w:rFonts w:eastAsia="仿宋_GB2312"/>
                <w:sz w:val="21"/>
                <w:szCs w:val="21"/>
              </w:rPr>
              <w:t>地表水</w:t>
            </w:r>
          </w:p>
        </w:tc>
        <w:tc>
          <w:tcPr>
            <w:tcW w:w="1134" w:type="dxa"/>
            <w:noWrap/>
            <w:vAlign w:val="center"/>
          </w:tcPr>
          <w:p>
            <w:pPr>
              <w:jc w:val="center"/>
              <w:rPr>
                <w:rFonts w:eastAsia="仿宋_GB2312"/>
                <w:sz w:val="21"/>
                <w:szCs w:val="21"/>
              </w:rPr>
            </w:pPr>
            <w:r>
              <w:rPr>
                <w:rFonts w:eastAsia="仿宋_GB2312"/>
                <w:sz w:val="21"/>
                <w:szCs w:val="21"/>
              </w:rPr>
              <w:t>事故废水</w:t>
            </w:r>
          </w:p>
          <w:p>
            <w:pPr>
              <w:jc w:val="center"/>
              <w:rPr>
                <w:rFonts w:eastAsia="仿宋_GB2312"/>
                <w:sz w:val="21"/>
                <w:szCs w:val="21"/>
              </w:rPr>
            </w:pPr>
            <w:r>
              <w:rPr>
                <w:rFonts w:eastAsia="仿宋_GB2312"/>
                <w:sz w:val="21"/>
                <w:szCs w:val="21"/>
              </w:rPr>
              <w:t>进入周边</w:t>
            </w:r>
          </w:p>
          <w:p>
            <w:pPr>
              <w:jc w:val="center"/>
              <w:rPr>
                <w:rFonts w:eastAsia="仿宋_GB2312"/>
                <w:sz w:val="21"/>
                <w:szCs w:val="21"/>
              </w:rPr>
            </w:pPr>
            <w:r>
              <w:rPr>
                <w:rFonts w:eastAsia="仿宋_GB2312"/>
                <w:sz w:val="21"/>
                <w:szCs w:val="21"/>
              </w:rPr>
              <w:t>地表水体</w:t>
            </w:r>
          </w:p>
        </w:tc>
        <w:tc>
          <w:tcPr>
            <w:tcW w:w="3139" w:type="dxa"/>
            <w:noWrap/>
            <w:vAlign w:val="center"/>
          </w:tcPr>
          <w:p>
            <w:pPr>
              <w:jc w:val="both"/>
              <w:rPr>
                <w:rFonts w:eastAsia="仿宋_GB2312"/>
                <w:sz w:val="21"/>
                <w:szCs w:val="21"/>
              </w:rPr>
            </w:pPr>
            <w:r>
              <w:rPr>
                <w:rFonts w:hint="eastAsia" w:eastAsia="仿宋_GB2312"/>
                <w:sz w:val="21"/>
                <w:szCs w:val="21"/>
              </w:rPr>
              <w:t>设 3～5 个监控断面，按距排放口100m、500m、1000m、1500m、2000m 等设置监控点，另根据实际情况增加监控点。</w:t>
            </w:r>
          </w:p>
        </w:tc>
        <w:tc>
          <w:tcPr>
            <w:tcW w:w="1947" w:type="dxa"/>
            <w:noWrap/>
            <w:vAlign w:val="center"/>
          </w:tcPr>
          <w:p>
            <w:pPr>
              <w:jc w:val="both"/>
              <w:rPr>
                <w:rFonts w:eastAsia="仿宋_GB2312"/>
                <w:sz w:val="21"/>
                <w:szCs w:val="21"/>
              </w:rPr>
            </w:pPr>
            <w:r>
              <w:rPr>
                <w:rFonts w:hint="eastAsia" w:eastAsia="仿宋_GB2312"/>
                <w:sz w:val="21"/>
                <w:szCs w:val="21"/>
              </w:rPr>
              <w:t>采样1次/30min；1h向指挥部报数据1次，直到恢复正常。</w:t>
            </w:r>
          </w:p>
        </w:tc>
        <w:tc>
          <w:tcPr>
            <w:tcW w:w="1276" w:type="dxa"/>
            <w:noWrap/>
            <w:vAlign w:val="center"/>
          </w:tcPr>
          <w:p>
            <w:pPr>
              <w:jc w:val="both"/>
              <w:rPr>
                <w:rFonts w:eastAsia="仿宋_GB2312"/>
                <w:sz w:val="21"/>
                <w:szCs w:val="21"/>
              </w:rPr>
            </w:pPr>
            <w:r>
              <w:rPr>
                <w:rFonts w:eastAsia="仿宋_GB2312"/>
                <w:sz w:val="21"/>
                <w:szCs w:val="21"/>
              </w:rPr>
              <w:t>pH、</w:t>
            </w:r>
            <w:r>
              <w:rPr>
                <w:rFonts w:hint="eastAsia" w:eastAsia="仿宋_GB2312"/>
                <w:sz w:val="21"/>
                <w:szCs w:val="21"/>
              </w:rPr>
              <w:t>悬浮物、石油类</w:t>
            </w:r>
            <w:r>
              <w:rPr>
                <w:rFonts w:eastAsia="仿宋_GB2312"/>
                <w:sz w:val="21"/>
                <w:szCs w:val="21"/>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1" w:type="dxa"/>
            <w:noWrap/>
            <w:vAlign w:val="center"/>
          </w:tcPr>
          <w:p>
            <w:pPr>
              <w:pStyle w:val="73"/>
              <w:spacing w:line="240" w:lineRule="auto"/>
              <w:jc w:val="center"/>
              <w:rPr>
                <w:sz w:val="21"/>
                <w:szCs w:val="21"/>
              </w:rPr>
            </w:pPr>
            <w:r>
              <w:rPr>
                <w:rFonts w:hint="eastAsia"/>
                <w:sz w:val="21"/>
                <w:szCs w:val="21"/>
              </w:rPr>
              <w:t>环境</w:t>
            </w:r>
          </w:p>
          <w:p>
            <w:pPr>
              <w:pStyle w:val="73"/>
              <w:spacing w:line="240" w:lineRule="auto"/>
              <w:jc w:val="center"/>
              <w:rPr>
                <w:sz w:val="21"/>
                <w:szCs w:val="21"/>
              </w:rPr>
            </w:pPr>
            <w:r>
              <w:rPr>
                <w:rFonts w:hint="eastAsia"/>
                <w:sz w:val="21"/>
                <w:szCs w:val="21"/>
              </w:rPr>
              <w:t>空</w:t>
            </w:r>
          </w:p>
          <w:p>
            <w:pPr>
              <w:pStyle w:val="73"/>
              <w:spacing w:line="240" w:lineRule="auto"/>
              <w:jc w:val="center"/>
              <w:rPr>
                <w:sz w:val="21"/>
                <w:szCs w:val="21"/>
              </w:rPr>
            </w:pPr>
            <w:r>
              <w:rPr>
                <w:rFonts w:hint="eastAsia"/>
                <w:sz w:val="21"/>
                <w:szCs w:val="21"/>
              </w:rPr>
              <w:t>气</w:t>
            </w:r>
          </w:p>
        </w:tc>
        <w:tc>
          <w:tcPr>
            <w:tcW w:w="1134" w:type="dxa"/>
            <w:noWrap/>
            <w:vAlign w:val="center"/>
          </w:tcPr>
          <w:p>
            <w:pPr>
              <w:pStyle w:val="73"/>
              <w:spacing w:line="240" w:lineRule="auto"/>
              <w:jc w:val="center"/>
              <w:rPr>
                <w:sz w:val="21"/>
                <w:szCs w:val="21"/>
              </w:rPr>
            </w:pPr>
            <w:r>
              <w:rPr>
                <w:rFonts w:hint="eastAsia"/>
                <w:sz w:val="21"/>
                <w:szCs w:val="21"/>
              </w:rPr>
              <w:t>废气泄漏、火灾爆炸</w:t>
            </w:r>
          </w:p>
        </w:tc>
        <w:tc>
          <w:tcPr>
            <w:tcW w:w="3139" w:type="dxa"/>
            <w:noWrap/>
            <w:vAlign w:val="center"/>
          </w:tcPr>
          <w:p>
            <w:pPr>
              <w:pStyle w:val="73"/>
              <w:spacing w:line="240" w:lineRule="auto"/>
              <w:jc w:val="both"/>
              <w:rPr>
                <w:sz w:val="21"/>
                <w:szCs w:val="21"/>
              </w:rPr>
            </w:pPr>
            <w:r>
              <w:rPr>
                <w:rFonts w:hint="eastAsia"/>
                <w:sz w:val="21"/>
                <w:szCs w:val="21"/>
              </w:rPr>
              <w:t>上风向1个对照点，下风向距离事故源50m、100m、200m、400m不等距设点，并在周边村庄各设1个监测点</w:t>
            </w:r>
          </w:p>
        </w:tc>
        <w:tc>
          <w:tcPr>
            <w:tcW w:w="1947" w:type="dxa"/>
            <w:noWrap/>
            <w:vAlign w:val="center"/>
          </w:tcPr>
          <w:p>
            <w:pPr>
              <w:pStyle w:val="73"/>
              <w:spacing w:line="240" w:lineRule="auto"/>
              <w:jc w:val="both"/>
              <w:rPr>
                <w:sz w:val="21"/>
                <w:szCs w:val="21"/>
              </w:rPr>
            </w:pPr>
            <w:r>
              <w:rPr>
                <w:rFonts w:hint="eastAsia"/>
                <w:sz w:val="21"/>
                <w:szCs w:val="21"/>
              </w:rPr>
              <w:t>连续取样，监测大气污染物浓度变化，直到恢复正常。</w:t>
            </w:r>
          </w:p>
        </w:tc>
        <w:tc>
          <w:tcPr>
            <w:tcW w:w="1276" w:type="dxa"/>
            <w:noWrap/>
            <w:vAlign w:val="center"/>
          </w:tcPr>
          <w:p>
            <w:pPr>
              <w:pStyle w:val="73"/>
              <w:spacing w:line="240" w:lineRule="auto"/>
              <w:jc w:val="both"/>
              <w:rPr>
                <w:sz w:val="21"/>
                <w:szCs w:val="21"/>
              </w:rPr>
            </w:pPr>
            <w:r>
              <w:rPr>
                <w:rFonts w:hint="eastAsia"/>
                <w:sz w:val="21"/>
                <w:szCs w:val="21"/>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851" w:type="dxa"/>
            <w:noWrap/>
            <w:vAlign w:val="center"/>
          </w:tcPr>
          <w:p>
            <w:pPr>
              <w:pStyle w:val="73"/>
              <w:spacing w:line="240" w:lineRule="auto"/>
              <w:jc w:val="center"/>
              <w:rPr>
                <w:sz w:val="21"/>
                <w:szCs w:val="21"/>
              </w:rPr>
            </w:pPr>
            <w:r>
              <w:rPr>
                <w:rFonts w:hint="eastAsia"/>
                <w:sz w:val="21"/>
                <w:szCs w:val="21"/>
              </w:rPr>
              <w:t>土壤</w:t>
            </w:r>
          </w:p>
        </w:tc>
        <w:tc>
          <w:tcPr>
            <w:tcW w:w="1134" w:type="dxa"/>
            <w:noWrap/>
            <w:vAlign w:val="center"/>
          </w:tcPr>
          <w:p>
            <w:pPr>
              <w:pStyle w:val="73"/>
              <w:spacing w:line="240" w:lineRule="auto"/>
              <w:jc w:val="center"/>
              <w:rPr>
                <w:sz w:val="21"/>
                <w:szCs w:val="21"/>
              </w:rPr>
            </w:pPr>
            <w:r>
              <w:rPr>
                <w:rFonts w:hint="eastAsia"/>
                <w:sz w:val="21"/>
                <w:szCs w:val="21"/>
              </w:rPr>
              <w:t>事故发生点土壤</w:t>
            </w:r>
          </w:p>
        </w:tc>
        <w:tc>
          <w:tcPr>
            <w:tcW w:w="3139" w:type="dxa"/>
            <w:noWrap/>
            <w:vAlign w:val="center"/>
          </w:tcPr>
          <w:p>
            <w:pPr>
              <w:pStyle w:val="73"/>
              <w:spacing w:line="240" w:lineRule="auto"/>
              <w:jc w:val="center"/>
              <w:rPr>
                <w:sz w:val="21"/>
                <w:szCs w:val="21"/>
              </w:rPr>
            </w:pPr>
            <w:r>
              <w:rPr>
                <w:rFonts w:hint="eastAsia" w:cs="仿宋"/>
                <w:sz w:val="21"/>
                <w:szCs w:val="21"/>
              </w:rPr>
              <w:t>事故发生点周围设监测点</w:t>
            </w:r>
          </w:p>
        </w:tc>
        <w:tc>
          <w:tcPr>
            <w:tcW w:w="3223" w:type="dxa"/>
            <w:gridSpan w:val="2"/>
            <w:noWrap/>
            <w:vAlign w:val="center"/>
          </w:tcPr>
          <w:p>
            <w:pPr>
              <w:pStyle w:val="73"/>
              <w:spacing w:line="240" w:lineRule="auto"/>
              <w:jc w:val="both"/>
              <w:rPr>
                <w:sz w:val="21"/>
                <w:szCs w:val="21"/>
              </w:rPr>
            </w:pPr>
            <w:r>
              <w:rPr>
                <w:rFonts w:hint="eastAsia"/>
                <w:sz w:val="21"/>
                <w:szCs w:val="21"/>
              </w:rPr>
              <w:t>事故后期应对污染的土壤、生物进行环境影响评估</w:t>
            </w:r>
          </w:p>
        </w:tc>
      </w:tr>
    </w:tbl>
    <w:p>
      <w:pPr>
        <w:pStyle w:val="7"/>
        <w:spacing w:beforeLines="50"/>
        <w:rPr>
          <w:rFonts w:ascii="仿宋" w:hAnsi="仿宋"/>
          <w:szCs w:val="28"/>
        </w:rPr>
      </w:pPr>
      <w:bookmarkStart w:id="526" w:name="_Toc16759"/>
      <w:bookmarkStart w:id="527" w:name="_Toc74856039"/>
      <w:r>
        <w:rPr>
          <w:rFonts w:hint="eastAsia" w:ascii="仿宋" w:hAnsi="仿宋"/>
          <w:szCs w:val="28"/>
        </w:rPr>
        <w:t>7.4.3监测安全</w:t>
      </w:r>
      <w:bookmarkEnd w:id="524"/>
      <w:bookmarkEnd w:id="526"/>
      <w:bookmarkEnd w:id="527"/>
    </w:p>
    <w:p>
      <w:pPr>
        <w:widowControl w:val="0"/>
        <w:spacing w:after="0" w:line="360" w:lineRule="auto"/>
        <w:ind w:firstLine="482"/>
        <w:jc w:val="both"/>
        <w:rPr>
          <w:rFonts w:ascii="仿宋" w:hAnsi="仿宋" w:eastAsia="仿宋" w:cs="仿宋"/>
          <w:sz w:val="24"/>
        </w:rPr>
      </w:pPr>
      <w:r>
        <w:rPr>
          <w:rFonts w:hint="eastAsia" w:ascii="仿宋" w:hAnsi="仿宋" w:eastAsia="仿宋" w:cs="仿宋"/>
          <w:sz w:val="24"/>
        </w:rPr>
        <w:t>进入突发环境事件现场的应急监测人员，必须注意自身的安全防护。对事件现场不熟悉、不能确认现场安全或不按规定佩戴必需的防护设备(如防护服、防毒呼吸器等)，未经现场指挥/警戒人员许可，不应进入事件现场进行采样监测。</w:t>
      </w:r>
    </w:p>
    <w:p>
      <w:pPr>
        <w:widowControl w:val="0"/>
        <w:spacing w:after="0" w:line="360" w:lineRule="auto"/>
        <w:ind w:firstLine="482"/>
        <w:jc w:val="both"/>
        <w:rPr>
          <w:rFonts w:ascii="仿宋" w:hAnsi="仿宋" w:eastAsia="仿宋" w:cs="仿宋"/>
          <w:sz w:val="24"/>
        </w:rPr>
      </w:pPr>
      <w:bookmarkStart w:id="528" w:name="_Toc72068759"/>
      <w:r>
        <w:rPr>
          <w:rFonts w:hint="eastAsia" w:ascii="仿宋" w:hAnsi="仿宋" w:eastAsia="仿宋" w:cs="仿宋"/>
          <w:sz w:val="24"/>
        </w:rPr>
        <w:t>（1）采样和现场监测人员安全防护设备的准备</w:t>
      </w:r>
      <w:bookmarkEnd w:id="528"/>
    </w:p>
    <w:p>
      <w:pPr>
        <w:widowControl w:val="0"/>
        <w:spacing w:after="0" w:line="360" w:lineRule="auto"/>
        <w:ind w:firstLine="482"/>
        <w:jc w:val="both"/>
        <w:rPr>
          <w:rFonts w:ascii="仿宋" w:hAnsi="仿宋" w:eastAsia="仿宋" w:cs="仿宋"/>
          <w:sz w:val="24"/>
        </w:rPr>
      </w:pPr>
      <w:r>
        <w:rPr>
          <w:rFonts w:hint="eastAsia" w:ascii="仿宋" w:hAnsi="仿宋" w:eastAsia="仿宋" w:cs="仿宋"/>
          <w:sz w:val="24"/>
        </w:rPr>
        <w:t>应根据当地的具体情况，配备必要的现场监测人员安全防护设备。常用的有：</w:t>
      </w:r>
    </w:p>
    <w:p>
      <w:pPr>
        <w:widowControl w:val="0"/>
        <w:spacing w:after="0" w:line="360" w:lineRule="auto"/>
        <w:ind w:firstLine="482"/>
        <w:jc w:val="both"/>
        <w:rPr>
          <w:rFonts w:ascii="仿宋" w:hAnsi="仿宋" w:eastAsia="仿宋" w:cs="仿宋"/>
          <w:sz w:val="24"/>
        </w:rPr>
      </w:pPr>
      <w:r>
        <w:rPr>
          <w:rFonts w:hint="eastAsia" w:ascii="仿宋" w:hAnsi="仿宋" w:eastAsia="仿宋" w:cs="仿宋"/>
          <w:sz w:val="24"/>
        </w:rPr>
        <w:t>a.测爆仪、一氧化碳、挥发性有机物等现场测定仪等。</w:t>
      </w:r>
    </w:p>
    <w:p>
      <w:pPr>
        <w:widowControl w:val="0"/>
        <w:spacing w:after="0" w:line="360" w:lineRule="auto"/>
        <w:ind w:firstLine="482"/>
        <w:jc w:val="both"/>
        <w:rPr>
          <w:rFonts w:ascii="仿宋" w:hAnsi="仿宋" w:eastAsia="仿宋" w:cs="仿宋"/>
          <w:sz w:val="24"/>
        </w:rPr>
      </w:pPr>
      <w:r>
        <w:rPr>
          <w:rFonts w:hint="eastAsia" w:ascii="仿宋" w:hAnsi="仿宋" w:eastAsia="仿宋" w:cs="仿宋"/>
          <w:sz w:val="24"/>
        </w:rPr>
        <w:t>b.防护服、防护手套、胶靴等防酸碱、防有机物渗透的各类防护用品。</w:t>
      </w:r>
    </w:p>
    <w:p>
      <w:pPr>
        <w:widowControl w:val="0"/>
        <w:spacing w:after="0" w:line="360" w:lineRule="auto"/>
        <w:ind w:firstLine="482"/>
        <w:jc w:val="both"/>
        <w:rPr>
          <w:rFonts w:ascii="仿宋" w:hAnsi="仿宋" w:eastAsia="仿宋" w:cs="仿宋"/>
          <w:sz w:val="24"/>
        </w:rPr>
      </w:pPr>
      <w:r>
        <w:rPr>
          <w:rFonts w:hint="eastAsia" w:ascii="仿宋" w:hAnsi="仿宋" w:eastAsia="仿宋" w:cs="仿宋"/>
          <w:sz w:val="24"/>
        </w:rPr>
        <w:t>c.各类防毒面具、防毒呼吸器(带氧气呼吸器)及常用的解毒药品。</w:t>
      </w:r>
    </w:p>
    <w:p>
      <w:pPr>
        <w:widowControl w:val="0"/>
        <w:spacing w:after="0" w:line="360" w:lineRule="auto"/>
        <w:ind w:firstLine="482"/>
        <w:jc w:val="both"/>
        <w:rPr>
          <w:rFonts w:ascii="仿宋" w:hAnsi="仿宋" w:eastAsia="仿宋" w:cs="仿宋"/>
          <w:sz w:val="24"/>
        </w:rPr>
      </w:pPr>
      <w:r>
        <w:rPr>
          <w:rFonts w:hint="eastAsia" w:ascii="仿宋" w:hAnsi="仿宋" w:eastAsia="仿宋" w:cs="仿宋"/>
          <w:sz w:val="24"/>
        </w:rPr>
        <w:t>d.防爆应急灯、醒目安全帽、带明显标志的小背心(色彩鲜艳且有荧光反射物)、救生衣、防护安全带(绳)、呼救器等。</w:t>
      </w:r>
    </w:p>
    <w:p>
      <w:pPr>
        <w:widowControl w:val="0"/>
        <w:spacing w:after="0" w:line="360" w:lineRule="auto"/>
        <w:ind w:firstLine="482"/>
        <w:jc w:val="both"/>
        <w:rPr>
          <w:rFonts w:ascii="仿宋" w:hAnsi="仿宋" w:eastAsia="仿宋" w:cs="仿宋"/>
          <w:sz w:val="24"/>
        </w:rPr>
      </w:pPr>
      <w:r>
        <w:rPr>
          <w:rFonts w:hint="eastAsia" w:ascii="仿宋" w:hAnsi="仿宋" w:eastAsia="仿宋" w:cs="仿宋"/>
          <w:sz w:val="24"/>
        </w:rPr>
        <w:t>（2）采样和现场监测安全事项</w:t>
      </w:r>
    </w:p>
    <w:p>
      <w:pPr>
        <w:widowControl w:val="0"/>
        <w:spacing w:after="0" w:line="360" w:lineRule="auto"/>
        <w:ind w:firstLine="482"/>
        <w:jc w:val="both"/>
        <w:rPr>
          <w:rFonts w:ascii="仿宋" w:hAnsi="仿宋" w:eastAsia="仿宋" w:cs="仿宋"/>
          <w:sz w:val="24"/>
        </w:rPr>
      </w:pPr>
      <w:r>
        <w:rPr>
          <w:rFonts w:hint="eastAsia" w:ascii="仿宋" w:hAnsi="仿宋" w:eastAsia="仿宋" w:cs="仿宋"/>
          <w:sz w:val="24"/>
        </w:rPr>
        <w:t>a.应急监测，至少二人同行。</w:t>
      </w:r>
    </w:p>
    <w:p>
      <w:pPr>
        <w:widowControl w:val="0"/>
        <w:spacing w:after="0" w:line="360" w:lineRule="auto"/>
        <w:ind w:firstLine="482"/>
        <w:jc w:val="both"/>
        <w:rPr>
          <w:rFonts w:ascii="仿宋" w:hAnsi="仿宋" w:eastAsia="仿宋" w:cs="仿宋"/>
          <w:sz w:val="24"/>
        </w:rPr>
      </w:pPr>
      <w:r>
        <w:rPr>
          <w:rFonts w:hint="eastAsia" w:ascii="仿宋" w:hAnsi="仿宋" w:eastAsia="仿宋" w:cs="仿宋"/>
          <w:sz w:val="24"/>
        </w:rPr>
        <w:t>b.进入事件现场进行采样监测，应经现场指挥/警戒人员许可，在确认安全的情况下，按规定佩戴必需的防护设备(如防护服、防毒呼吸器等)。</w:t>
      </w:r>
    </w:p>
    <w:p>
      <w:pPr>
        <w:widowControl w:val="0"/>
        <w:spacing w:after="0" w:line="360" w:lineRule="auto"/>
        <w:ind w:firstLine="482"/>
        <w:jc w:val="both"/>
        <w:rPr>
          <w:rFonts w:ascii="仿宋" w:hAnsi="仿宋" w:eastAsia="仿宋" w:cs="仿宋"/>
          <w:sz w:val="24"/>
        </w:rPr>
      </w:pPr>
      <w:r>
        <w:rPr>
          <w:rFonts w:hint="eastAsia" w:ascii="仿宋" w:hAnsi="仿宋" w:eastAsia="仿宋" w:cs="仿宋"/>
          <w:sz w:val="24"/>
        </w:rPr>
        <w:t>c.进入易燃易爆事件现场的应急监测车辆应有防火、防爆安全装置，应使用防爆的现场应急监测仪器设备(包括附件如电源等)进行现场监测，或在确认安全的情况下使用现场应急监测仪器设备进行现场监测。</w:t>
      </w:r>
    </w:p>
    <w:p>
      <w:pPr>
        <w:widowControl w:val="0"/>
        <w:spacing w:after="0" w:line="360" w:lineRule="auto"/>
        <w:ind w:firstLine="482"/>
        <w:jc w:val="both"/>
        <w:rPr>
          <w:rFonts w:ascii="仿宋" w:hAnsi="仿宋" w:eastAsia="仿宋" w:cs="仿宋"/>
          <w:sz w:val="24"/>
        </w:rPr>
      </w:pPr>
      <w:r>
        <w:rPr>
          <w:rFonts w:hint="eastAsia" w:ascii="仿宋" w:hAnsi="仿宋" w:eastAsia="仿宋" w:cs="仿宋"/>
          <w:sz w:val="24"/>
        </w:rPr>
        <w:t>d.进入水体或登高采样，应穿戴救生衣或佩带防护安全带(绳)。</w:t>
      </w:r>
    </w:p>
    <w:p>
      <w:pPr>
        <w:pStyle w:val="6"/>
        <w:rPr>
          <w:rFonts w:ascii="仿宋" w:hAnsi="仿宋"/>
          <w:sz w:val="28"/>
          <w:szCs w:val="28"/>
        </w:rPr>
      </w:pPr>
      <w:bookmarkStart w:id="529" w:name="_Toc23912"/>
      <w:bookmarkStart w:id="530" w:name="_Toc25088"/>
      <w:bookmarkStart w:id="531" w:name="_Toc11680"/>
      <w:bookmarkStart w:id="532" w:name="_Toc74856040"/>
      <w:r>
        <w:rPr>
          <w:rFonts w:ascii="仿宋" w:hAnsi="仿宋"/>
          <w:sz w:val="28"/>
          <w:szCs w:val="28"/>
        </w:rPr>
        <w:t>7.</w:t>
      </w:r>
      <w:r>
        <w:rPr>
          <w:rFonts w:hint="eastAsia" w:ascii="仿宋" w:hAnsi="仿宋"/>
          <w:sz w:val="28"/>
          <w:szCs w:val="28"/>
        </w:rPr>
        <w:t>5应急终止</w:t>
      </w:r>
      <w:bookmarkEnd w:id="495"/>
      <w:bookmarkEnd w:id="496"/>
      <w:bookmarkEnd w:id="529"/>
      <w:bookmarkEnd w:id="530"/>
      <w:bookmarkEnd w:id="531"/>
      <w:bookmarkEnd w:id="532"/>
    </w:p>
    <w:p>
      <w:pPr>
        <w:pStyle w:val="7"/>
        <w:rPr>
          <w:rFonts w:ascii="仿宋" w:hAnsi="仿宋"/>
          <w:szCs w:val="28"/>
        </w:rPr>
      </w:pPr>
      <w:bookmarkStart w:id="533" w:name="_Toc74856041"/>
      <w:bookmarkStart w:id="534" w:name="_Toc14053"/>
      <w:bookmarkStart w:id="535" w:name="_Toc522025691"/>
      <w:bookmarkStart w:id="536" w:name="_Toc1020"/>
      <w:r>
        <w:rPr>
          <w:rFonts w:ascii="仿宋" w:hAnsi="仿宋"/>
          <w:szCs w:val="28"/>
        </w:rPr>
        <w:t>7.</w:t>
      </w:r>
      <w:r>
        <w:rPr>
          <w:rFonts w:hint="eastAsia" w:ascii="仿宋" w:hAnsi="仿宋"/>
          <w:szCs w:val="28"/>
        </w:rPr>
        <w:t>5</w:t>
      </w:r>
      <w:r>
        <w:rPr>
          <w:rFonts w:ascii="仿宋" w:hAnsi="仿宋"/>
          <w:szCs w:val="28"/>
        </w:rPr>
        <w:t>.1</w:t>
      </w:r>
      <w:r>
        <w:rPr>
          <w:rFonts w:hint="eastAsia" w:ascii="仿宋" w:hAnsi="仿宋"/>
          <w:szCs w:val="28"/>
        </w:rPr>
        <w:t>应急终止的条件</w:t>
      </w:r>
      <w:bookmarkEnd w:id="533"/>
      <w:bookmarkEnd w:id="534"/>
      <w:bookmarkEnd w:id="535"/>
      <w:bookmarkEnd w:id="536"/>
    </w:p>
    <w:p>
      <w:pPr>
        <w:widowControl w:val="0"/>
        <w:spacing w:after="0" w:line="360" w:lineRule="auto"/>
        <w:ind w:firstLine="482"/>
        <w:jc w:val="both"/>
        <w:rPr>
          <w:rFonts w:eastAsia="仿宋_GB2312"/>
          <w:sz w:val="24"/>
        </w:rPr>
      </w:pPr>
      <w:r>
        <w:rPr>
          <w:rFonts w:hint="eastAsia" w:eastAsia="仿宋_GB2312"/>
          <w:sz w:val="24"/>
        </w:rPr>
        <w:t>指挥部在认真分析事件现场情况后，确认事件现场对相关人员和周边环境不会再造成危害，符合下列条件之一时，经事件现场应急指挥机构批准后，宣布应急终止：</w:t>
      </w:r>
    </w:p>
    <w:p>
      <w:pPr>
        <w:widowControl w:val="0"/>
        <w:spacing w:after="0" w:line="360" w:lineRule="auto"/>
        <w:ind w:firstLine="482"/>
        <w:jc w:val="both"/>
        <w:rPr>
          <w:rFonts w:eastAsia="仿宋_GB2312"/>
          <w:sz w:val="24"/>
        </w:rPr>
      </w:pPr>
      <w:r>
        <w:rPr>
          <w:rFonts w:hint="eastAsia" w:eastAsia="仿宋_GB2312"/>
          <w:sz w:val="24"/>
        </w:rPr>
        <w:t>（</w:t>
      </w:r>
      <w:r>
        <w:rPr>
          <w:rFonts w:eastAsia="仿宋_GB2312"/>
          <w:sz w:val="24"/>
        </w:rPr>
        <w:t>1</w:t>
      </w:r>
      <w:r>
        <w:rPr>
          <w:rFonts w:hint="eastAsia" w:eastAsia="仿宋_GB2312"/>
          <w:sz w:val="24"/>
        </w:rPr>
        <w:t>）事件现场得到控制，突发环境事件已经消除；</w:t>
      </w:r>
    </w:p>
    <w:p>
      <w:pPr>
        <w:widowControl w:val="0"/>
        <w:spacing w:after="0" w:line="360" w:lineRule="auto"/>
        <w:ind w:firstLine="482"/>
        <w:jc w:val="both"/>
        <w:rPr>
          <w:rFonts w:eastAsia="仿宋_GB2312"/>
          <w:sz w:val="24"/>
        </w:rPr>
      </w:pPr>
      <w:r>
        <w:rPr>
          <w:rFonts w:hint="eastAsia" w:eastAsia="仿宋_GB2312"/>
          <w:sz w:val="24"/>
        </w:rPr>
        <w:t>（</w:t>
      </w:r>
      <w:r>
        <w:rPr>
          <w:rFonts w:eastAsia="仿宋_GB2312"/>
          <w:sz w:val="24"/>
        </w:rPr>
        <w:t>2</w:t>
      </w:r>
      <w:r>
        <w:rPr>
          <w:rFonts w:hint="eastAsia" w:eastAsia="仿宋_GB2312"/>
          <w:sz w:val="24"/>
        </w:rPr>
        <w:t>）污染物的泄漏或释放已降至规定限值以内；</w:t>
      </w:r>
    </w:p>
    <w:p>
      <w:pPr>
        <w:widowControl w:val="0"/>
        <w:spacing w:after="0" w:line="360" w:lineRule="auto"/>
        <w:ind w:firstLine="482"/>
        <w:jc w:val="both"/>
        <w:rPr>
          <w:rFonts w:eastAsia="仿宋_GB2312"/>
          <w:sz w:val="24"/>
        </w:rPr>
      </w:pPr>
      <w:r>
        <w:rPr>
          <w:rFonts w:hint="eastAsia" w:eastAsia="仿宋_GB2312"/>
          <w:sz w:val="24"/>
        </w:rPr>
        <w:t>（</w:t>
      </w:r>
      <w:r>
        <w:rPr>
          <w:rFonts w:eastAsia="仿宋_GB2312"/>
          <w:sz w:val="24"/>
        </w:rPr>
        <w:t>3</w:t>
      </w:r>
      <w:r>
        <w:rPr>
          <w:rFonts w:hint="eastAsia" w:eastAsia="仿宋_GB2312"/>
          <w:sz w:val="24"/>
        </w:rPr>
        <w:t>）事件所造成的危害已经被彻底消除，无继发可能；</w:t>
      </w:r>
    </w:p>
    <w:p>
      <w:pPr>
        <w:widowControl w:val="0"/>
        <w:spacing w:after="0" w:line="360" w:lineRule="auto"/>
        <w:ind w:firstLine="482"/>
        <w:jc w:val="both"/>
        <w:rPr>
          <w:rFonts w:eastAsia="仿宋_GB2312"/>
          <w:sz w:val="24"/>
        </w:rPr>
      </w:pPr>
      <w:r>
        <w:rPr>
          <w:rFonts w:hint="eastAsia" w:eastAsia="仿宋_GB2312"/>
          <w:sz w:val="24"/>
        </w:rPr>
        <w:t>（</w:t>
      </w:r>
      <w:r>
        <w:rPr>
          <w:rFonts w:eastAsia="仿宋_GB2312"/>
          <w:sz w:val="24"/>
        </w:rPr>
        <w:t>4</w:t>
      </w:r>
      <w:r>
        <w:rPr>
          <w:rFonts w:hint="eastAsia" w:eastAsia="仿宋_GB2312"/>
          <w:sz w:val="24"/>
        </w:rPr>
        <w:t>）事件现场的各种专业应急处置行动已无继续的必要；</w:t>
      </w:r>
    </w:p>
    <w:p>
      <w:pPr>
        <w:widowControl w:val="0"/>
        <w:spacing w:after="0" w:line="360" w:lineRule="auto"/>
        <w:ind w:firstLine="482"/>
        <w:jc w:val="both"/>
        <w:rPr>
          <w:rFonts w:eastAsia="仿宋_GB2312"/>
          <w:sz w:val="24"/>
        </w:rPr>
      </w:pPr>
      <w:r>
        <w:rPr>
          <w:rFonts w:hint="eastAsia" w:eastAsia="仿宋_GB2312"/>
          <w:sz w:val="24"/>
        </w:rPr>
        <w:t>（</w:t>
      </w:r>
      <w:r>
        <w:rPr>
          <w:rFonts w:eastAsia="仿宋_GB2312"/>
          <w:sz w:val="24"/>
        </w:rPr>
        <w:t>5</w:t>
      </w:r>
      <w:r>
        <w:rPr>
          <w:rFonts w:hint="eastAsia" w:eastAsia="仿宋_GB2312"/>
          <w:sz w:val="24"/>
        </w:rPr>
        <w:t>）采取了必要的防护措施以保护公众免受再次危害，并使事件可能引起的中长期影响趋于合理且尽量低的水平。</w:t>
      </w:r>
    </w:p>
    <w:p>
      <w:pPr>
        <w:widowControl w:val="0"/>
        <w:spacing w:after="0" w:line="360" w:lineRule="auto"/>
        <w:ind w:firstLine="482"/>
        <w:jc w:val="both"/>
        <w:rPr>
          <w:rFonts w:eastAsia="仿宋_GB2312"/>
          <w:sz w:val="24"/>
        </w:rPr>
      </w:pPr>
      <w:r>
        <w:rPr>
          <w:rFonts w:eastAsia="仿宋_GB2312"/>
          <w:sz w:val="24"/>
        </w:rPr>
        <w:t>（6）</w:t>
      </w:r>
      <w:r>
        <w:rPr>
          <w:rFonts w:hint="eastAsia" w:eastAsia="仿宋_GB2312"/>
          <w:sz w:val="24"/>
        </w:rPr>
        <w:t>发生涉外环境级事件时</w:t>
      </w:r>
      <w:r>
        <w:rPr>
          <w:rFonts w:eastAsia="仿宋_GB2312"/>
          <w:sz w:val="24"/>
        </w:rPr>
        <w:t>地方政府及其环境保护等相关部门确定可以应急终止。</w:t>
      </w:r>
    </w:p>
    <w:p>
      <w:pPr>
        <w:widowControl w:val="0"/>
        <w:spacing w:after="0" w:line="360" w:lineRule="auto"/>
        <w:ind w:firstLine="482"/>
        <w:jc w:val="both"/>
        <w:rPr>
          <w:rFonts w:eastAsia="仿宋_GB2312"/>
          <w:sz w:val="24"/>
        </w:rPr>
      </w:pPr>
      <w:r>
        <w:rPr>
          <w:rFonts w:eastAsia="仿宋_GB2312"/>
          <w:sz w:val="24"/>
        </w:rPr>
        <w:t>根据环境应急监测和初步评估结果，由应急指挥部决定应急响应终止，下达应急响应终止指令，并决定是否跟踪开展环境监测工作。</w:t>
      </w:r>
    </w:p>
    <w:p>
      <w:pPr>
        <w:pStyle w:val="7"/>
        <w:rPr>
          <w:rFonts w:ascii="仿宋" w:hAnsi="仿宋"/>
          <w:szCs w:val="28"/>
        </w:rPr>
      </w:pPr>
      <w:bookmarkStart w:id="537" w:name="_Toc14140"/>
      <w:bookmarkStart w:id="538" w:name="_Toc522025692"/>
      <w:bookmarkStart w:id="539" w:name="_Toc2836"/>
      <w:bookmarkStart w:id="540" w:name="_Toc74856042"/>
      <w:r>
        <w:rPr>
          <w:rFonts w:ascii="仿宋" w:hAnsi="仿宋"/>
          <w:szCs w:val="28"/>
        </w:rPr>
        <w:t>7.</w:t>
      </w:r>
      <w:r>
        <w:rPr>
          <w:rFonts w:hint="eastAsia" w:ascii="仿宋" w:hAnsi="仿宋"/>
          <w:szCs w:val="28"/>
        </w:rPr>
        <w:t>5</w:t>
      </w:r>
      <w:r>
        <w:rPr>
          <w:rFonts w:ascii="仿宋" w:hAnsi="仿宋"/>
          <w:szCs w:val="28"/>
        </w:rPr>
        <w:t>.2</w:t>
      </w:r>
      <w:r>
        <w:rPr>
          <w:rFonts w:hint="eastAsia" w:ascii="仿宋" w:hAnsi="仿宋"/>
          <w:szCs w:val="28"/>
        </w:rPr>
        <w:t>应急终止的程序</w:t>
      </w:r>
      <w:bookmarkEnd w:id="537"/>
      <w:bookmarkEnd w:id="538"/>
      <w:bookmarkEnd w:id="539"/>
      <w:bookmarkEnd w:id="540"/>
    </w:p>
    <w:p>
      <w:pPr>
        <w:pStyle w:val="73"/>
        <w:spacing w:after="0"/>
        <w:ind w:firstLine="482"/>
        <w:rPr>
          <w:sz w:val="24"/>
        </w:rPr>
      </w:pPr>
      <w:r>
        <w:rPr>
          <w:rFonts w:hint="eastAsia"/>
          <w:sz w:val="24"/>
        </w:rPr>
        <w:t xml:space="preserve">应急响应终止按照“谁启动、谁终止”的原则执行。 </w:t>
      </w:r>
    </w:p>
    <w:p>
      <w:pPr>
        <w:pStyle w:val="73"/>
        <w:spacing w:after="0"/>
        <w:ind w:firstLine="482"/>
        <w:rPr>
          <w:sz w:val="24"/>
        </w:rPr>
      </w:pPr>
      <w:r>
        <w:rPr>
          <w:rFonts w:hint="eastAsia"/>
          <w:sz w:val="24"/>
        </w:rPr>
        <w:t>（1）各个应急处置组成员将事故处置情况实时汇报给现场应急处置小组组长，由应急指挥办公室汇总整理后上报公司应急领导小组；</w:t>
      </w:r>
    </w:p>
    <w:p>
      <w:pPr>
        <w:pStyle w:val="73"/>
        <w:spacing w:after="0"/>
        <w:ind w:firstLine="482"/>
        <w:rPr>
          <w:sz w:val="24"/>
        </w:rPr>
      </w:pPr>
      <w:bookmarkStart w:id="541" w:name="_Toc72068763"/>
      <w:r>
        <w:rPr>
          <w:rFonts w:hint="eastAsia"/>
          <w:sz w:val="24"/>
        </w:rPr>
        <w:t>（2）应急指挥部收到上报信息后，进行确认，并及时上报总指挥；</w:t>
      </w:r>
      <w:bookmarkEnd w:id="541"/>
    </w:p>
    <w:p>
      <w:pPr>
        <w:pStyle w:val="73"/>
        <w:spacing w:after="0"/>
        <w:ind w:firstLine="482"/>
        <w:rPr>
          <w:sz w:val="24"/>
        </w:rPr>
      </w:pPr>
      <w:r>
        <w:rPr>
          <w:rFonts w:hint="eastAsia"/>
          <w:sz w:val="24"/>
        </w:rPr>
        <w:t>（3）总指挥根据实际情况批准应急终止；</w:t>
      </w:r>
    </w:p>
    <w:p>
      <w:pPr>
        <w:pStyle w:val="73"/>
        <w:spacing w:after="0"/>
        <w:ind w:firstLine="482"/>
        <w:rPr>
          <w:sz w:val="24"/>
        </w:rPr>
      </w:pPr>
      <w:r>
        <w:rPr>
          <w:rFonts w:hint="eastAsia"/>
          <w:sz w:val="24"/>
        </w:rPr>
        <w:t>（4）应急指挥部将应急终止的信息反馈到应急指挥办公室，同时通告相关政府救援部门，现场应急办公室通知各专业救援小组；</w:t>
      </w:r>
    </w:p>
    <w:p>
      <w:pPr>
        <w:pStyle w:val="73"/>
        <w:spacing w:after="0"/>
        <w:ind w:firstLine="482"/>
        <w:rPr>
          <w:sz w:val="24"/>
        </w:rPr>
      </w:pPr>
      <w:r>
        <w:rPr>
          <w:rFonts w:hint="eastAsia"/>
          <w:sz w:val="24"/>
        </w:rPr>
        <w:t>（5）应急状态终止后，应急指挥部应根据有关指示和实际情况，继续组织和协调相关部门进行环境监测和事故影响评价工作。</w:t>
      </w:r>
    </w:p>
    <w:p>
      <w:pPr>
        <w:pStyle w:val="6"/>
        <w:rPr>
          <w:rFonts w:ascii="仿宋" w:hAnsi="仿宋"/>
          <w:sz w:val="28"/>
          <w:szCs w:val="28"/>
        </w:rPr>
      </w:pPr>
      <w:bookmarkStart w:id="542" w:name="_Toc5397"/>
      <w:bookmarkStart w:id="543" w:name="_Toc522025693"/>
      <w:bookmarkStart w:id="544" w:name="_Toc74856043"/>
      <w:bookmarkStart w:id="545" w:name="_Toc466379497"/>
      <w:bookmarkStart w:id="546" w:name="_Toc1850"/>
      <w:bookmarkStart w:id="547" w:name="_Toc14776"/>
      <w:r>
        <w:rPr>
          <w:rFonts w:ascii="仿宋" w:hAnsi="仿宋"/>
          <w:sz w:val="28"/>
          <w:szCs w:val="28"/>
        </w:rPr>
        <w:t>7.</w:t>
      </w:r>
      <w:r>
        <w:rPr>
          <w:rFonts w:hint="eastAsia" w:ascii="仿宋" w:hAnsi="仿宋"/>
          <w:sz w:val="28"/>
          <w:szCs w:val="28"/>
        </w:rPr>
        <w:t>6应急终止后的行动</w:t>
      </w:r>
      <w:bookmarkEnd w:id="542"/>
      <w:bookmarkEnd w:id="543"/>
      <w:bookmarkEnd w:id="544"/>
      <w:bookmarkEnd w:id="545"/>
      <w:bookmarkEnd w:id="546"/>
      <w:bookmarkEnd w:id="547"/>
    </w:p>
    <w:p>
      <w:pPr>
        <w:widowControl w:val="0"/>
        <w:spacing w:after="0" w:line="360" w:lineRule="auto"/>
        <w:ind w:firstLine="482"/>
        <w:jc w:val="both"/>
        <w:rPr>
          <w:rFonts w:eastAsia="仿宋_GB2312"/>
          <w:sz w:val="24"/>
        </w:rPr>
      </w:pPr>
      <w:r>
        <w:rPr>
          <w:rFonts w:hint="eastAsia" w:eastAsia="仿宋_GB2312"/>
          <w:sz w:val="24"/>
        </w:rPr>
        <w:t>抢险救援行动完成后，进入临时应急恢复阶段，现场指挥部要组织现场清理、人员清点和撤离，制定恢复生产、生活计划并组织实施。</w:t>
      </w:r>
    </w:p>
    <w:p>
      <w:pPr>
        <w:widowControl w:val="0"/>
        <w:spacing w:after="0" w:line="360" w:lineRule="auto"/>
        <w:ind w:firstLine="482"/>
        <w:jc w:val="both"/>
        <w:rPr>
          <w:rFonts w:eastAsia="仿宋_GB2312"/>
          <w:sz w:val="24"/>
        </w:rPr>
      </w:pPr>
      <w:r>
        <w:rPr>
          <w:rFonts w:hint="eastAsia" w:eastAsia="仿宋_GB2312"/>
          <w:sz w:val="24"/>
        </w:rPr>
        <w:t>（1）各应急处置小组依次向应急指挥部报告应急处理情况，以及现场当前状态，包括人员伤亡情况、设备损失情况、环境污染情况等，应急指挥部根据情况确认；</w:t>
      </w:r>
    </w:p>
    <w:p>
      <w:pPr>
        <w:widowControl w:val="0"/>
        <w:spacing w:after="0" w:line="360" w:lineRule="auto"/>
        <w:ind w:firstLine="482"/>
        <w:jc w:val="both"/>
        <w:rPr>
          <w:rFonts w:eastAsia="仿宋_GB2312"/>
          <w:sz w:val="24"/>
        </w:rPr>
      </w:pPr>
      <w:bookmarkStart w:id="548" w:name="_Toc72068765"/>
      <w:r>
        <w:rPr>
          <w:rFonts w:hint="eastAsia" w:eastAsia="仿宋_GB2312"/>
          <w:sz w:val="24"/>
        </w:rPr>
        <w:t>（2）应急指挥部负责组织保护现场，组织事故调查取证；</w:t>
      </w:r>
      <w:bookmarkEnd w:id="548"/>
    </w:p>
    <w:p>
      <w:pPr>
        <w:widowControl w:val="0"/>
        <w:spacing w:after="0" w:line="360" w:lineRule="auto"/>
        <w:ind w:firstLine="482"/>
        <w:jc w:val="both"/>
        <w:rPr>
          <w:rFonts w:eastAsia="仿宋_GB2312"/>
          <w:sz w:val="24"/>
        </w:rPr>
      </w:pPr>
      <w:r>
        <w:rPr>
          <w:rFonts w:hint="eastAsia" w:eastAsia="仿宋_GB2312"/>
          <w:sz w:val="24"/>
        </w:rPr>
        <w:t>（3）经应急指挥部决定，并报告上级相应负责部门，将疏散到周边村庄的人员撤回；</w:t>
      </w:r>
    </w:p>
    <w:p>
      <w:pPr>
        <w:widowControl w:val="0"/>
        <w:spacing w:after="0" w:line="360" w:lineRule="auto"/>
        <w:ind w:firstLine="482"/>
        <w:jc w:val="both"/>
        <w:rPr>
          <w:rFonts w:eastAsia="仿宋_GB2312"/>
          <w:sz w:val="24"/>
        </w:rPr>
      </w:pPr>
      <w:bookmarkStart w:id="549" w:name="_Toc72068766"/>
      <w:r>
        <w:rPr>
          <w:rFonts w:hint="eastAsia" w:eastAsia="仿宋_GB2312"/>
          <w:sz w:val="24"/>
        </w:rPr>
        <w:t>（4）经应急指挥部决定，应急指挥部通知撤离人员返回各自岗位；</w:t>
      </w:r>
      <w:bookmarkEnd w:id="549"/>
    </w:p>
    <w:p>
      <w:pPr>
        <w:widowControl w:val="0"/>
        <w:spacing w:after="0" w:line="360" w:lineRule="auto"/>
        <w:ind w:firstLine="482"/>
        <w:jc w:val="both"/>
        <w:rPr>
          <w:rFonts w:eastAsia="仿宋_GB2312"/>
          <w:sz w:val="24"/>
        </w:rPr>
      </w:pPr>
      <w:r>
        <w:rPr>
          <w:rFonts w:hint="eastAsia" w:eastAsia="仿宋_GB2312"/>
          <w:sz w:val="24"/>
        </w:rPr>
        <w:t>（5）组织好受伤人员的医疗救治，处理好善后工作；</w:t>
      </w:r>
    </w:p>
    <w:p>
      <w:pPr>
        <w:widowControl w:val="0"/>
        <w:spacing w:after="0" w:line="360" w:lineRule="auto"/>
        <w:ind w:firstLine="482"/>
        <w:jc w:val="both"/>
        <w:rPr>
          <w:rFonts w:eastAsia="仿宋_GB2312"/>
          <w:sz w:val="24"/>
        </w:rPr>
      </w:pPr>
      <w:bookmarkStart w:id="550" w:name="_Toc72068767"/>
      <w:r>
        <w:rPr>
          <w:rFonts w:hint="eastAsia" w:eastAsia="仿宋_GB2312"/>
          <w:sz w:val="24"/>
        </w:rPr>
        <w:t>（6）对现场应急行动人员和受污染的设施、设备进行洗消清洁；</w:t>
      </w:r>
      <w:bookmarkEnd w:id="550"/>
    </w:p>
    <w:p>
      <w:pPr>
        <w:widowControl w:val="0"/>
        <w:spacing w:after="0" w:line="360" w:lineRule="auto"/>
        <w:ind w:firstLine="482"/>
        <w:jc w:val="both"/>
        <w:rPr>
          <w:rFonts w:eastAsia="仿宋_GB2312"/>
          <w:sz w:val="24"/>
        </w:rPr>
      </w:pPr>
      <w:r>
        <w:rPr>
          <w:rFonts w:hint="eastAsia" w:eastAsia="仿宋_GB2312"/>
          <w:sz w:val="24"/>
        </w:rPr>
        <w:t>（7）全面检查、维修生产设施设备，清点救援物资消耗，并及时补充应急设备、设施和仪器；</w:t>
      </w:r>
    </w:p>
    <w:p>
      <w:pPr>
        <w:widowControl w:val="0"/>
        <w:spacing w:after="0" w:line="360" w:lineRule="auto"/>
        <w:ind w:firstLine="482"/>
        <w:jc w:val="both"/>
        <w:rPr>
          <w:rFonts w:eastAsia="仿宋_GB2312"/>
          <w:sz w:val="24"/>
        </w:rPr>
      </w:pPr>
      <w:r>
        <w:rPr>
          <w:rFonts w:hint="eastAsia" w:eastAsia="仿宋_GB2312"/>
          <w:sz w:val="24"/>
        </w:rPr>
        <w:t>（8）对突发环境事件应急行动全过程进行评估，分析预案是否科学、有效，应急组织机构和应急队伍设置是否合理，应急响应和处置程序、方案制定执行是否科学、实用、到位，应急设施设备和物资是否满足需要等；</w:t>
      </w:r>
    </w:p>
    <w:p>
      <w:pPr>
        <w:widowControl w:val="0"/>
        <w:spacing w:after="0" w:line="360" w:lineRule="auto"/>
        <w:ind w:firstLine="482"/>
        <w:jc w:val="both"/>
        <w:rPr>
          <w:rFonts w:eastAsia="仿宋_GB2312"/>
          <w:sz w:val="24"/>
        </w:rPr>
      </w:pPr>
      <w:bookmarkStart w:id="551" w:name="_Toc72068768"/>
      <w:r>
        <w:rPr>
          <w:rFonts w:hint="eastAsia" w:eastAsia="仿宋_GB2312"/>
          <w:sz w:val="24"/>
        </w:rPr>
        <w:t>（9）编制应急救援工作总结报告，必要时对应急预案进行修订、完善；</w:t>
      </w:r>
      <w:bookmarkEnd w:id="551"/>
    </w:p>
    <w:p>
      <w:pPr>
        <w:widowControl w:val="0"/>
        <w:spacing w:after="0" w:line="360" w:lineRule="auto"/>
        <w:ind w:firstLine="482"/>
        <w:jc w:val="both"/>
        <w:rPr>
          <w:rFonts w:eastAsia="仿宋_GB2312"/>
          <w:sz w:val="24"/>
        </w:rPr>
      </w:pPr>
      <w:r>
        <w:rPr>
          <w:rFonts w:hint="eastAsia" w:eastAsia="仿宋_GB2312"/>
          <w:sz w:val="24"/>
        </w:rPr>
        <w:t>（10）在事件影响范围内进行后续环境质量监测，用以对突发环境事件所产生的环境影响进行后续评估。根据监测数据对环境损害进行评估，根据当地政府和环保部门意见和要求采取修复措施。</w:t>
      </w:r>
    </w:p>
    <w:p>
      <w:pPr>
        <w:widowControl w:val="0"/>
        <w:spacing w:line="360" w:lineRule="auto"/>
        <w:ind w:firstLine="480"/>
        <w:jc w:val="both"/>
        <w:rPr>
          <w:rFonts w:eastAsia="仿宋_GB2312"/>
          <w:sz w:val="24"/>
        </w:rPr>
      </w:pPr>
    </w:p>
    <w:p>
      <w:pPr>
        <w:widowControl w:val="0"/>
        <w:ind w:firstLine="560"/>
        <w:jc w:val="both"/>
        <w:rPr>
          <w:rFonts w:ascii="仿宋" w:hAnsi="仿宋"/>
          <w:szCs w:val="28"/>
          <w:shd w:val="clear" w:color="auto" w:fill="FFFFFF"/>
        </w:rPr>
        <w:sectPr>
          <w:pgSz w:w="11906" w:h="16838"/>
          <w:pgMar w:top="1440" w:right="1800" w:bottom="1440" w:left="1800" w:header="708" w:footer="708" w:gutter="0"/>
          <w:cols w:space="720" w:num="1"/>
          <w:docGrid w:linePitch="360" w:charSpace="0"/>
        </w:sectPr>
      </w:pPr>
    </w:p>
    <w:p>
      <w:pPr>
        <w:pStyle w:val="5"/>
        <w:rPr>
          <w:rFonts w:ascii="仿宋" w:hAnsi="仿宋"/>
          <w:sz w:val="28"/>
          <w:szCs w:val="28"/>
        </w:rPr>
      </w:pPr>
      <w:bookmarkStart w:id="552" w:name="_Toc17925"/>
      <w:bookmarkStart w:id="553" w:name="_Toc466379498"/>
      <w:bookmarkStart w:id="554" w:name="_Toc3756"/>
      <w:bookmarkStart w:id="555" w:name="_Toc522025694"/>
      <w:bookmarkStart w:id="556" w:name="_Toc74856044"/>
      <w:bookmarkStart w:id="557" w:name="_Toc11057"/>
      <w:bookmarkStart w:id="558" w:name="_Toc466379502"/>
      <w:bookmarkStart w:id="559" w:name="_Toc522025698"/>
      <w:r>
        <w:rPr>
          <w:rFonts w:ascii="仿宋" w:hAnsi="仿宋"/>
          <w:sz w:val="28"/>
          <w:szCs w:val="28"/>
        </w:rPr>
        <w:t>8</w:t>
      </w:r>
      <w:r>
        <w:rPr>
          <w:rFonts w:hint="eastAsia" w:ascii="仿宋" w:hAnsi="仿宋"/>
          <w:sz w:val="28"/>
          <w:szCs w:val="28"/>
        </w:rPr>
        <w:t>.</w:t>
      </w:r>
      <w:r>
        <w:rPr>
          <w:rFonts w:ascii="仿宋" w:hAnsi="仿宋"/>
          <w:sz w:val="28"/>
          <w:szCs w:val="28"/>
        </w:rPr>
        <w:t>后期处置</w:t>
      </w:r>
      <w:bookmarkEnd w:id="552"/>
      <w:bookmarkEnd w:id="553"/>
      <w:bookmarkEnd w:id="554"/>
      <w:bookmarkEnd w:id="555"/>
      <w:bookmarkEnd w:id="556"/>
    </w:p>
    <w:p>
      <w:pPr>
        <w:pStyle w:val="6"/>
        <w:rPr>
          <w:rFonts w:ascii="仿宋" w:hAnsi="仿宋"/>
          <w:sz w:val="28"/>
          <w:szCs w:val="28"/>
        </w:rPr>
      </w:pPr>
      <w:bookmarkStart w:id="560" w:name="_Toc13333"/>
      <w:bookmarkStart w:id="561" w:name="_Toc74856045"/>
      <w:bookmarkStart w:id="562" w:name="_Toc16339"/>
      <w:bookmarkStart w:id="563" w:name="_Toc466379499"/>
      <w:bookmarkStart w:id="564" w:name="_Toc522025695"/>
      <w:bookmarkStart w:id="565" w:name="_Toc13733"/>
      <w:r>
        <w:rPr>
          <w:rFonts w:ascii="仿宋" w:hAnsi="仿宋"/>
          <w:sz w:val="28"/>
          <w:szCs w:val="28"/>
        </w:rPr>
        <w:t>8.1</w:t>
      </w:r>
      <w:r>
        <w:rPr>
          <w:rFonts w:hint="eastAsia" w:ascii="仿宋" w:hAnsi="仿宋"/>
          <w:sz w:val="28"/>
          <w:szCs w:val="28"/>
        </w:rPr>
        <w:t>善后处置</w:t>
      </w:r>
      <w:bookmarkEnd w:id="560"/>
      <w:bookmarkEnd w:id="561"/>
      <w:bookmarkEnd w:id="562"/>
      <w:bookmarkEnd w:id="563"/>
      <w:bookmarkEnd w:id="564"/>
      <w:bookmarkEnd w:id="565"/>
    </w:p>
    <w:p>
      <w:pPr>
        <w:pStyle w:val="73"/>
        <w:ind w:firstLine="480"/>
        <w:rPr>
          <w:sz w:val="24"/>
        </w:rPr>
      </w:pPr>
      <w:r>
        <w:rPr>
          <w:rFonts w:hint="eastAsia"/>
          <w:sz w:val="24"/>
        </w:rPr>
        <w:t>（1）加油站负责组织善后组织工作，包括污染物清理与处理等事项，尽快恢复正常秩序，消除事故后果的影响，安抚受影响人员。</w:t>
      </w:r>
    </w:p>
    <w:p>
      <w:pPr>
        <w:pStyle w:val="73"/>
        <w:ind w:firstLine="480"/>
        <w:rPr>
          <w:sz w:val="24"/>
        </w:rPr>
      </w:pPr>
      <w:r>
        <w:rPr>
          <w:rFonts w:hint="eastAsia"/>
          <w:sz w:val="24"/>
        </w:rPr>
        <w:t>（2）应急工作结束后，参加人员应清查装备、器材；核算污染事故处置发生的费用，整理应急处置记录，写出污染事故处置报告。</w:t>
      </w:r>
    </w:p>
    <w:p>
      <w:pPr>
        <w:pStyle w:val="73"/>
        <w:ind w:firstLine="480"/>
        <w:rPr>
          <w:sz w:val="24"/>
        </w:rPr>
      </w:pPr>
      <w:r>
        <w:rPr>
          <w:rFonts w:hint="eastAsia"/>
          <w:sz w:val="24"/>
        </w:rPr>
        <w:t>（3）应急工作结束后，公司领导应根据对周围环境、人群造成的影响程度给予相应的赔偿。</w:t>
      </w:r>
    </w:p>
    <w:p>
      <w:pPr>
        <w:pStyle w:val="73"/>
        <w:ind w:firstLine="480"/>
        <w:rPr>
          <w:sz w:val="24"/>
        </w:rPr>
      </w:pPr>
      <w:r>
        <w:rPr>
          <w:rFonts w:hint="eastAsia"/>
          <w:sz w:val="24"/>
        </w:rPr>
        <w:t>（4）应认真分析污染事故发生的原因，应深刻吸取污染事故教训，加强管理，制定防范措施，加大投入，认真落实环保与安全责任制，在恢复运营过程中制定防范措施，防止环境污染事故发生。</w:t>
      </w:r>
    </w:p>
    <w:p>
      <w:pPr>
        <w:pStyle w:val="6"/>
        <w:rPr>
          <w:rFonts w:ascii="仿宋" w:hAnsi="仿宋"/>
          <w:sz w:val="28"/>
          <w:szCs w:val="28"/>
        </w:rPr>
      </w:pPr>
      <w:bookmarkStart w:id="566" w:name="_Toc353444481"/>
      <w:bookmarkStart w:id="567" w:name="_Toc18957"/>
      <w:bookmarkStart w:id="568" w:name="_Toc304992589"/>
      <w:bookmarkStart w:id="569" w:name="_Toc25047"/>
      <w:bookmarkStart w:id="570" w:name="_Toc19326"/>
      <w:bookmarkStart w:id="571" w:name="_Toc74856046"/>
      <w:bookmarkStart w:id="572" w:name="_Toc16970"/>
      <w:r>
        <w:rPr>
          <w:rFonts w:ascii="仿宋" w:hAnsi="仿宋"/>
          <w:sz w:val="28"/>
          <w:szCs w:val="28"/>
        </w:rPr>
        <w:t>8.2保险</w:t>
      </w:r>
      <w:bookmarkEnd w:id="566"/>
      <w:bookmarkEnd w:id="567"/>
      <w:bookmarkEnd w:id="568"/>
      <w:bookmarkEnd w:id="569"/>
      <w:bookmarkEnd w:id="570"/>
      <w:bookmarkEnd w:id="571"/>
      <w:bookmarkEnd w:id="572"/>
    </w:p>
    <w:p>
      <w:pPr>
        <w:widowControl w:val="0"/>
        <w:spacing w:line="360" w:lineRule="auto"/>
        <w:ind w:firstLine="480"/>
        <w:rPr>
          <w:rFonts w:eastAsia="仿宋_GB2312"/>
          <w:sz w:val="24"/>
        </w:rPr>
      </w:pPr>
      <w:r>
        <w:rPr>
          <w:rFonts w:hint="eastAsia" w:eastAsia="仿宋_GB2312"/>
          <w:sz w:val="24"/>
        </w:rPr>
        <w:t>根据《国家突发环境事件应急预案》中</w:t>
      </w:r>
      <w:r>
        <w:rPr>
          <w:rFonts w:eastAsia="仿宋_GB2312"/>
          <w:sz w:val="24"/>
        </w:rPr>
        <w:t>6.2</w:t>
      </w:r>
      <w:r>
        <w:rPr>
          <w:rFonts w:hint="eastAsia" w:eastAsia="仿宋_GB2312"/>
          <w:sz w:val="24"/>
        </w:rPr>
        <w:t>条款要求积极办理各类保险。对环境应急工作人员办理意外伤害保险，同时积极创造条件，依法办理突发环境事件责任险及其他险种。在发生突发环境事件后，应及时通报相关承保的保险公司开展理赔工作，保险公司在获悉突发环境事件后，工伤保险经办机构应及时足额支付参保的工伤保险待遇费用；各相关保险公司应及时定损理赔。在此过程中，公司应允许保险公司对环境事件现场进行勘查，配合保险公司要求，提供相关材料。</w:t>
      </w:r>
    </w:p>
    <w:p>
      <w:pPr>
        <w:pStyle w:val="6"/>
        <w:rPr>
          <w:rFonts w:ascii="仿宋" w:hAnsi="仿宋"/>
          <w:sz w:val="28"/>
          <w:szCs w:val="28"/>
        </w:rPr>
      </w:pPr>
      <w:bookmarkStart w:id="573" w:name="_Toc18257"/>
      <w:bookmarkStart w:id="574" w:name="_Toc13047"/>
      <w:bookmarkStart w:id="575" w:name="_Toc30064"/>
      <w:bookmarkStart w:id="576" w:name="_Toc18056"/>
      <w:bookmarkStart w:id="577" w:name="_Toc74856047"/>
      <w:r>
        <w:rPr>
          <w:rFonts w:ascii="仿宋" w:hAnsi="仿宋"/>
          <w:sz w:val="28"/>
          <w:szCs w:val="28"/>
        </w:rPr>
        <w:t>8.3</w:t>
      </w:r>
      <w:bookmarkEnd w:id="573"/>
      <w:bookmarkEnd w:id="574"/>
      <w:bookmarkEnd w:id="575"/>
      <w:r>
        <w:rPr>
          <w:rFonts w:hint="eastAsia" w:ascii="仿宋" w:hAnsi="仿宋"/>
          <w:sz w:val="28"/>
          <w:szCs w:val="28"/>
        </w:rPr>
        <w:t>事故调查报告、经验教训总结及改进建议</w:t>
      </w:r>
      <w:bookmarkEnd w:id="576"/>
      <w:bookmarkEnd w:id="577"/>
    </w:p>
    <w:p>
      <w:pPr>
        <w:pStyle w:val="73"/>
        <w:spacing w:after="0"/>
        <w:ind w:firstLine="480"/>
        <w:rPr>
          <w:rFonts w:ascii="仿宋" w:hAnsi="仿宋" w:eastAsia="仿宋" w:cs="仿宋"/>
          <w:sz w:val="24"/>
        </w:rPr>
      </w:pPr>
      <w:r>
        <w:rPr>
          <w:rFonts w:hint="eastAsia" w:ascii="仿宋" w:hAnsi="仿宋" w:eastAsia="仿宋" w:cs="仿宋"/>
          <w:sz w:val="24"/>
        </w:rPr>
        <w:t>（1）按照《中华人民共和国环境保护法》、《公司事故调查管理标准》</w:t>
      </w:r>
    </w:p>
    <w:p>
      <w:pPr>
        <w:pStyle w:val="73"/>
        <w:spacing w:after="0"/>
        <w:rPr>
          <w:rFonts w:ascii="仿宋" w:hAnsi="仿宋" w:eastAsia="仿宋" w:cs="仿宋"/>
          <w:sz w:val="24"/>
        </w:rPr>
      </w:pPr>
      <w:r>
        <w:rPr>
          <w:rFonts w:hint="eastAsia" w:ascii="仿宋" w:hAnsi="仿宋" w:eastAsia="仿宋" w:cs="仿宋"/>
          <w:sz w:val="24"/>
        </w:rPr>
        <w:t>等有关法规、文件要求以及事件分级，积极参与、主动配合或自主进行突发环境事件的调查；</w:t>
      </w:r>
    </w:p>
    <w:p>
      <w:pPr>
        <w:pStyle w:val="73"/>
        <w:spacing w:after="0"/>
        <w:ind w:firstLine="480"/>
        <w:rPr>
          <w:rFonts w:ascii="仿宋" w:hAnsi="仿宋" w:eastAsia="仿宋" w:cs="仿宋"/>
          <w:sz w:val="24"/>
        </w:rPr>
      </w:pPr>
      <w:r>
        <w:rPr>
          <w:rFonts w:hint="eastAsia" w:ascii="仿宋" w:hAnsi="仿宋" w:eastAsia="仿宋" w:cs="仿宋"/>
          <w:sz w:val="24"/>
        </w:rPr>
        <w:t>（2）事件调查应坚持实事求是、尊重科学的原则，客观、公正、准确地查清突发环境事件原因、发生过程、人员伤亡情况、事件责任等，按照“四不放过”原则提出防范措施和事件责任处理意见；</w:t>
      </w:r>
    </w:p>
    <w:p>
      <w:pPr>
        <w:pStyle w:val="73"/>
        <w:spacing w:after="0"/>
        <w:ind w:firstLine="480"/>
        <w:rPr>
          <w:rFonts w:ascii="仿宋" w:hAnsi="仿宋" w:eastAsia="仿宋" w:cs="仿宋"/>
          <w:sz w:val="24"/>
        </w:rPr>
      </w:pPr>
      <w:r>
        <w:rPr>
          <w:rFonts w:hint="eastAsia" w:ascii="仿宋" w:hAnsi="仿宋" w:eastAsia="仿宋" w:cs="仿宋"/>
          <w:sz w:val="24"/>
        </w:rPr>
        <w:t>（3）在进行现场应急的同时，应急办公室就要抓紧进行现场调查取证工作，全面收集有关事故发生的原因、危害及其损失等方面的证据和资料，必要时要组织有关部门和专业技术人员进行技术鉴定，对于涉及刑事犯罪的，应当请求公安司法部门介入和参与调查取证工作；</w:t>
      </w:r>
    </w:p>
    <w:p>
      <w:pPr>
        <w:pStyle w:val="73"/>
        <w:spacing w:after="0"/>
        <w:ind w:firstLine="480"/>
        <w:rPr>
          <w:rFonts w:ascii="仿宋" w:hAnsi="仿宋" w:eastAsia="仿宋" w:cs="仿宋"/>
          <w:sz w:val="24"/>
        </w:rPr>
      </w:pPr>
      <w:bookmarkStart w:id="578" w:name="_Toc425812171"/>
      <w:r>
        <w:rPr>
          <w:rFonts w:hint="eastAsia" w:ascii="仿宋" w:hAnsi="仿宋" w:eastAsia="仿宋" w:cs="仿宋"/>
          <w:sz w:val="24"/>
        </w:rPr>
        <w:t>（4）现场应急处理工作告一段落后，由应急指挥部根据调查取证情况，依据相关制度，拟定追究事故责任部门和责任人的意见，报总指挥审批，对于触犯刑法的，移交司法机关追究刑事责任。突发环境事件善后处置工作结束后，现场应急指挥部认真分析总结事故经验教训，提出改进应急救援工作的建议。根据调查所获得数据，以及事件发生的原因、过程、进展情况及采取的应急措施等基本情况，填写突发环境应急信息登记表，以书面形式报告处理事件的措施、过程和结果，事件潜在或间接的危害、社会影响、处理后的遗留问题，参加处理工作的有关部门和工作内容，最终形成应急救援总结报告及时上报上级有关部门备案</w:t>
      </w:r>
      <w:bookmarkEnd w:id="578"/>
      <w:r>
        <w:rPr>
          <w:rFonts w:hint="eastAsia" w:ascii="仿宋" w:hAnsi="仿宋" w:eastAsia="仿宋" w:cs="仿宋"/>
          <w:sz w:val="24"/>
        </w:rPr>
        <w:t>；</w:t>
      </w:r>
    </w:p>
    <w:p>
      <w:pPr>
        <w:pStyle w:val="73"/>
        <w:spacing w:after="0"/>
        <w:ind w:firstLine="480"/>
        <w:rPr>
          <w:rFonts w:ascii="仿宋" w:hAnsi="仿宋" w:eastAsia="仿宋" w:cs="仿宋"/>
          <w:sz w:val="24"/>
        </w:rPr>
      </w:pPr>
      <w:r>
        <w:rPr>
          <w:rFonts w:hint="eastAsia" w:ascii="仿宋" w:hAnsi="仿宋" w:eastAsia="仿宋" w:cs="仿宋"/>
          <w:sz w:val="24"/>
        </w:rPr>
        <w:t>（5）突发环境事件应急结束后，公司有关部门组织对使用的应急预案和应急救援处置过程进行全面地总结、评价，找出不足并明确改进方向，及时对应急预案的不足予以修订。</w:t>
      </w:r>
    </w:p>
    <w:p>
      <w:pPr>
        <w:ind w:left="560"/>
      </w:pPr>
    </w:p>
    <w:p>
      <w:pPr>
        <w:ind w:left="560"/>
      </w:pPr>
    </w:p>
    <w:p>
      <w:pPr>
        <w:pStyle w:val="73"/>
        <w:ind w:firstLine="560"/>
      </w:pPr>
    </w:p>
    <w:p>
      <w:pPr>
        <w:ind w:firstLine="560"/>
      </w:pPr>
    </w:p>
    <w:p>
      <w:pPr>
        <w:pStyle w:val="73"/>
        <w:ind w:firstLine="560"/>
      </w:pPr>
    </w:p>
    <w:p>
      <w:pPr>
        <w:ind w:firstLine="560"/>
      </w:pPr>
    </w:p>
    <w:p>
      <w:pPr>
        <w:pStyle w:val="73"/>
        <w:ind w:firstLine="560"/>
      </w:pPr>
    </w:p>
    <w:p>
      <w:pPr>
        <w:ind w:firstLine="560"/>
      </w:pPr>
    </w:p>
    <w:p>
      <w:pPr>
        <w:pStyle w:val="73"/>
        <w:ind w:firstLine="560"/>
      </w:pPr>
    </w:p>
    <w:p>
      <w:pPr>
        <w:ind w:firstLine="560"/>
      </w:pPr>
    </w:p>
    <w:p>
      <w:pPr>
        <w:pStyle w:val="73"/>
        <w:ind w:firstLine="560"/>
      </w:pPr>
    </w:p>
    <w:bookmarkEnd w:id="557"/>
    <w:bookmarkEnd w:id="558"/>
    <w:bookmarkEnd w:id="559"/>
    <w:p>
      <w:pPr>
        <w:pStyle w:val="5"/>
        <w:rPr>
          <w:rFonts w:ascii="仿宋" w:hAnsi="仿宋"/>
          <w:sz w:val="28"/>
          <w:szCs w:val="28"/>
        </w:rPr>
      </w:pPr>
      <w:bookmarkStart w:id="579" w:name="_Toc74856048"/>
      <w:bookmarkStart w:id="580" w:name="_Toc26744"/>
      <w:bookmarkStart w:id="581" w:name="_Toc26093"/>
      <w:bookmarkStart w:id="582" w:name="_Toc5790"/>
      <w:bookmarkStart w:id="583" w:name="_Toc522025708"/>
      <w:bookmarkStart w:id="584" w:name="_Toc466379508"/>
      <w:r>
        <w:rPr>
          <w:rFonts w:ascii="仿宋" w:hAnsi="仿宋"/>
          <w:sz w:val="28"/>
          <w:szCs w:val="28"/>
        </w:rPr>
        <w:t>9</w:t>
      </w:r>
      <w:r>
        <w:rPr>
          <w:rFonts w:hint="eastAsia" w:ascii="仿宋" w:hAnsi="仿宋"/>
          <w:sz w:val="28"/>
          <w:szCs w:val="28"/>
        </w:rPr>
        <w:t>.保障措施</w:t>
      </w:r>
      <w:bookmarkEnd w:id="579"/>
      <w:bookmarkEnd w:id="580"/>
      <w:bookmarkEnd w:id="581"/>
    </w:p>
    <w:p>
      <w:pPr>
        <w:pStyle w:val="6"/>
        <w:rPr>
          <w:rFonts w:ascii="仿宋" w:hAnsi="仿宋"/>
          <w:sz w:val="28"/>
          <w:szCs w:val="28"/>
        </w:rPr>
      </w:pPr>
      <w:bookmarkStart w:id="585" w:name="_Toc13216"/>
      <w:bookmarkStart w:id="586" w:name="_Toc30395"/>
      <w:bookmarkStart w:id="587" w:name="_Toc3843"/>
      <w:bookmarkStart w:id="588" w:name="_Toc522025699"/>
      <w:bookmarkStart w:id="589" w:name="_Toc74856049"/>
      <w:bookmarkStart w:id="590" w:name="_Toc466379503"/>
      <w:r>
        <w:rPr>
          <w:rFonts w:ascii="仿宋" w:hAnsi="仿宋"/>
          <w:sz w:val="28"/>
          <w:szCs w:val="28"/>
        </w:rPr>
        <w:t>9.1</w:t>
      </w:r>
      <w:r>
        <w:rPr>
          <w:rFonts w:hint="eastAsia" w:ascii="仿宋" w:hAnsi="仿宋"/>
          <w:sz w:val="28"/>
          <w:szCs w:val="28"/>
        </w:rPr>
        <w:t>通信与信息保障</w:t>
      </w:r>
      <w:bookmarkEnd w:id="585"/>
      <w:bookmarkEnd w:id="586"/>
      <w:bookmarkEnd w:id="587"/>
      <w:bookmarkEnd w:id="588"/>
      <w:bookmarkEnd w:id="589"/>
      <w:bookmarkEnd w:id="590"/>
    </w:p>
    <w:p>
      <w:pPr>
        <w:spacing w:after="0" w:line="360" w:lineRule="auto"/>
        <w:ind w:firstLine="482"/>
        <w:rPr>
          <w:rFonts w:eastAsia="仿宋_GB2312"/>
          <w:sz w:val="24"/>
        </w:rPr>
      </w:pPr>
      <w:bookmarkStart w:id="591" w:name="_Toc12157"/>
      <w:bookmarkStart w:id="592" w:name="_Toc466379504"/>
      <w:bookmarkStart w:id="593" w:name="_Toc522025700"/>
      <w:bookmarkStart w:id="594" w:name="_Toc16028"/>
      <w:r>
        <w:rPr>
          <w:rFonts w:hint="eastAsia" w:eastAsia="仿宋_GB2312"/>
          <w:sz w:val="24"/>
        </w:rPr>
        <w:t>（1）有关人员和有关部门的联系方式保证能够随时取得联系，有关部门的负责人电话保证24小时畅通；</w:t>
      </w:r>
    </w:p>
    <w:p>
      <w:pPr>
        <w:spacing w:after="0" w:line="360" w:lineRule="auto"/>
        <w:ind w:firstLine="482"/>
        <w:rPr>
          <w:rFonts w:eastAsia="仿宋_GB2312"/>
          <w:sz w:val="24"/>
        </w:rPr>
      </w:pPr>
      <w:bookmarkStart w:id="595" w:name="_Toc72068775"/>
      <w:r>
        <w:rPr>
          <w:rFonts w:hint="eastAsia" w:eastAsia="仿宋_GB2312"/>
          <w:sz w:val="24"/>
        </w:rPr>
        <w:t>（2）通过有线电话、移动电话等通信手段，保证有关部门通讯联系畅通；</w:t>
      </w:r>
      <w:bookmarkEnd w:id="595"/>
    </w:p>
    <w:p>
      <w:pPr>
        <w:spacing w:after="0" w:line="360" w:lineRule="auto"/>
        <w:ind w:firstLine="482"/>
        <w:rPr>
          <w:rFonts w:eastAsia="仿宋_GB2312"/>
          <w:sz w:val="24"/>
        </w:rPr>
      </w:pPr>
      <w:r>
        <w:rPr>
          <w:rFonts w:hint="eastAsia" w:eastAsia="仿宋_GB2312"/>
          <w:sz w:val="24"/>
        </w:rPr>
        <w:t>（3）应急指挥部负责建立、维护、更新有关应急救援机构（外部社会救援机构）的通信联系数据库，负责建设、维护、更新应急救援指挥系统、决策支持系统和相关保障系统；</w:t>
      </w:r>
    </w:p>
    <w:p>
      <w:pPr>
        <w:spacing w:after="0" w:line="360" w:lineRule="auto"/>
        <w:ind w:firstLine="482"/>
        <w:rPr>
          <w:rFonts w:eastAsia="仿宋_GB2312"/>
          <w:sz w:val="24"/>
        </w:rPr>
      </w:pPr>
      <w:r>
        <w:rPr>
          <w:rFonts w:hint="eastAsia" w:eastAsia="仿宋_GB2312"/>
          <w:sz w:val="24"/>
        </w:rPr>
        <w:t>（4）若有线电话和移动电话通信中断，应急指挥部立刻组织将公司内部对讲机发放到各相关部门和事故现场指挥；</w:t>
      </w:r>
    </w:p>
    <w:p>
      <w:pPr>
        <w:spacing w:after="0" w:line="360" w:lineRule="auto"/>
        <w:ind w:firstLine="482"/>
        <w:rPr>
          <w:rFonts w:eastAsia="仿宋_GB2312"/>
          <w:sz w:val="24"/>
        </w:rPr>
      </w:pPr>
      <w:r>
        <w:rPr>
          <w:rFonts w:hint="eastAsia" w:eastAsia="仿宋_GB2312"/>
          <w:sz w:val="24"/>
        </w:rPr>
        <w:t>（5）节假日必须安排人员值班，要充分发挥信息网络系统的作用，确保应急时能够统一调动有关人员、物资迅速到位。</w:t>
      </w:r>
    </w:p>
    <w:p>
      <w:pPr>
        <w:pStyle w:val="6"/>
        <w:rPr>
          <w:rFonts w:ascii="仿宋" w:hAnsi="仿宋"/>
          <w:sz w:val="28"/>
          <w:szCs w:val="28"/>
        </w:rPr>
      </w:pPr>
      <w:bookmarkStart w:id="596" w:name="_Toc28379"/>
      <w:bookmarkStart w:id="597" w:name="_Toc74856050"/>
      <w:r>
        <w:rPr>
          <w:rFonts w:ascii="仿宋" w:hAnsi="仿宋"/>
          <w:sz w:val="28"/>
          <w:szCs w:val="28"/>
        </w:rPr>
        <w:t>9.2</w:t>
      </w:r>
      <w:r>
        <w:rPr>
          <w:rFonts w:hint="eastAsia" w:ascii="仿宋" w:hAnsi="仿宋"/>
          <w:sz w:val="28"/>
          <w:szCs w:val="28"/>
        </w:rPr>
        <w:t>应急队伍保障</w:t>
      </w:r>
      <w:bookmarkEnd w:id="591"/>
      <w:bookmarkEnd w:id="592"/>
      <w:bookmarkEnd w:id="593"/>
      <w:bookmarkEnd w:id="594"/>
      <w:bookmarkEnd w:id="596"/>
      <w:bookmarkEnd w:id="597"/>
    </w:p>
    <w:p>
      <w:pPr>
        <w:spacing w:after="0" w:line="360" w:lineRule="auto"/>
        <w:ind w:firstLine="482"/>
        <w:rPr>
          <w:rFonts w:eastAsia="仿宋_GB2312"/>
          <w:sz w:val="24"/>
        </w:rPr>
      </w:pPr>
      <w:bookmarkStart w:id="598" w:name="_Toc466379505"/>
      <w:bookmarkStart w:id="599" w:name="_Toc29377"/>
      <w:bookmarkStart w:id="600" w:name="_Toc28802"/>
      <w:bookmarkStart w:id="601" w:name="_Toc522025701"/>
      <w:r>
        <w:rPr>
          <w:rFonts w:hint="eastAsia" w:eastAsia="仿宋_GB2312"/>
          <w:sz w:val="24"/>
        </w:rPr>
        <w:t>（1）应急指挥部负责利用公司的全部人力资源，规划、组建应急队伍并组织实施演练，形成一支熟练操作本企业应急器材、能迅速处置本企业事件应急的兼职应急队伍；</w:t>
      </w:r>
    </w:p>
    <w:p>
      <w:pPr>
        <w:spacing w:after="0" w:line="360" w:lineRule="auto"/>
        <w:ind w:firstLine="482"/>
        <w:rPr>
          <w:rFonts w:eastAsia="仿宋_GB2312"/>
          <w:sz w:val="24"/>
        </w:rPr>
      </w:pPr>
      <w:r>
        <w:rPr>
          <w:rFonts w:hint="eastAsia" w:eastAsia="仿宋_GB2312"/>
          <w:sz w:val="24"/>
        </w:rPr>
        <w:t>（2）各部门必须无条件地服从总指挥的命令，所有参加抢险救援的人员必须积极主动，不得推诿扯皮；服从指挥，杜绝盲从蛮干；</w:t>
      </w:r>
    </w:p>
    <w:p>
      <w:pPr>
        <w:spacing w:after="0" w:line="360" w:lineRule="auto"/>
        <w:ind w:firstLine="482"/>
        <w:rPr>
          <w:rFonts w:eastAsia="仿宋_GB2312"/>
          <w:sz w:val="24"/>
        </w:rPr>
      </w:pPr>
      <w:r>
        <w:rPr>
          <w:rFonts w:hint="eastAsia" w:eastAsia="仿宋_GB2312"/>
          <w:sz w:val="24"/>
        </w:rPr>
        <w:t>（3）各部门负责人如有变动，由接替人履行职责。</w:t>
      </w:r>
    </w:p>
    <w:p>
      <w:pPr>
        <w:pStyle w:val="6"/>
        <w:rPr>
          <w:rFonts w:ascii="仿宋" w:hAnsi="仿宋"/>
          <w:sz w:val="28"/>
          <w:szCs w:val="28"/>
        </w:rPr>
      </w:pPr>
      <w:bookmarkStart w:id="602" w:name="_Toc11064"/>
      <w:bookmarkStart w:id="603" w:name="_Toc74856051"/>
      <w:r>
        <w:rPr>
          <w:rFonts w:ascii="仿宋" w:hAnsi="仿宋"/>
          <w:sz w:val="28"/>
          <w:szCs w:val="28"/>
        </w:rPr>
        <w:t>9.3</w:t>
      </w:r>
      <w:r>
        <w:rPr>
          <w:rFonts w:hint="eastAsia" w:ascii="仿宋" w:hAnsi="仿宋"/>
          <w:sz w:val="28"/>
          <w:szCs w:val="28"/>
        </w:rPr>
        <w:t>应急物资装备保障</w:t>
      </w:r>
      <w:bookmarkEnd w:id="598"/>
      <w:bookmarkEnd w:id="599"/>
      <w:bookmarkEnd w:id="600"/>
      <w:bookmarkEnd w:id="601"/>
      <w:bookmarkEnd w:id="602"/>
      <w:bookmarkEnd w:id="603"/>
    </w:p>
    <w:p>
      <w:pPr>
        <w:spacing w:after="0" w:line="360" w:lineRule="auto"/>
        <w:ind w:firstLine="482"/>
        <w:rPr>
          <w:rFonts w:eastAsia="仿宋_GB2312"/>
          <w:sz w:val="24"/>
        </w:rPr>
      </w:pPr>
      <w:r>
        <w:rPr>
          <w:rFonts w:hint="eastAsia" w:eastAsia="仿宋_GB2312"/>
          <w:sz w:val="24"/>
        </w:rPr>
        <w:t>（1）建立应急救援物资储备制度。各部门根据自己在应急救援工作中承担的责任，制定本部门救灾物资选购、储存、调拨体系和方案；</w:t>
      </w:r>
    </w:p>
    <w:p>
      <w:pPr>
        <w:spacing w:after="0" w:line="360" w:lineRule="auto"/>
        <w:ind w:firstLine="482"/>
        <w:rPr>
          <w:rFonts w:eastAsia="仿宋_GB2312"/>
          <w:sz w:val="24"/>
        </w:rPr>
      </w:pPr>
      <w:r>
        <w:rPr>
          <w:rFonts w:hint="eastAsia" w:eastAsia="仿宋_GB2312"/>
          <w:sz w:val="24"/>
        </w:rPr>
        <w:t>（2）加强对储备物资的管理，防止储备物资被盗用、挪用、流失和失效，对各类物资及时予以补充和更新；</w:t>
      </w:r>
    </w:p>
    <w:p>
      <w:pPr>
        <w:spacing w:after="0" w:line="360" w:lineRule="auto"/>
        <w:ind w:firstLine="482"/>
        <w:rPr>
          <w:rFonts w:eastAsia="仿宋_GB2312"/>
          <w:sz w:val="24"/>
        </w:rPr>
      </w:pPr>
      <w:r>
        <w:rPr>
          <w:rFonts w:hint="eastAsia" w:eastAsia="仿宋_GB2312"/>
          <w:sz w:val="24"/>
        </w:rPr>
        <w:t>（3）建立与当地政府及友邻单位物资调剂供应的渠道，以备公司物资短缺时，可迅速调入；</w:t>
      </w:r>
    </w:p>
    <w:p>
      <w:pPr>
        <w:spacing w:after="0" w:line="360" w:lineRule="auto"/>
        <w:ind w:firstLine="482"/>
        <w:rPr>
          <w:rFonts w:eastAsia="仿宋_GB2312"/>
          <w:sz w:val="24"/>
        </w:rPr>
      </w:pPr>
      <w:r>
        <w:rPr>
          <w:rFonts w:hint="eastAsia" w:eastAsia="仿宋_GB2312"/>
          <w:sz w:val="24"/>
        </w:rPr>
        <w:t>（4）应急救援物资的调用由应急指挥部统一协调，事故时由物资供应组负责组织应急抢险物资的调拨和紧急供应。</w:t>
      </w:r>
    </w:p>
    <w:p>
      <w:pPr>
        <w:spacing w:after="0" w:line="360" w:lineRule="auto"/>
        <w:ind w:firstLine="482"/>
        <w:rPr>
          <w:rFonts w:eastAsia="仿宋_GB2312"/>
          <w:sz w:val="24"/>
        </w:rPr>
      </w:pPr>
      <w:r>
        <w:rPr>
          <w:rFonts w:hint="eastAsia" w:eastAsia="仿宋_GB2312"/>
          <w:sz w:val="24"/>
        </w:rPr>
        <w:t>突发环境事件应急救援物资储备情况见附表二。</w:t>
      </w:r>
    </w:p>
    <w:p>
      <w:pPr>
        <w:pStyle w:val="6"/>
        <w:rPr>
          <w:rFonts w:ascii="仿宋" w:hAnsi="仿宋"/>
          <w:sz w:val="28"/>
          <w:szCs w:val="28"/>
        </w:rPr>
      </w:pPr>
      <w:bookmarkStart w:id="604" w:name="_Toc23271"/>
      <w:bookmarkStart w:id="605" w:name="_Toc466379506"/>
      <w:bookmarkStart w:id="606" w:name="_Toc20792"/>
      <w:bookmarkStart w:id="607" w:name="_Toc74856052"/>
      <w:bookmarkStart w:id="608" w:name="_Toc522025702"/>
      <w:bookmarkStart w:id="609" w:name="_Toc27079"/>
      <w:r>
        <w:rPr>
          <w:rFonts w:ascii="仿宋" w:hAnsi="仿宋"/>
          <w:sz w:val="28"/>
          <w:szCs w:val="28"/>
        </w:rPr>
        <w:t>9.4</w:t>
      </w:r>
      <w:r>
        <w:rPr>
          <w:rFonts w:hint="eastAsia" w:ascii="仿宋" w:hAnsi="仿宋"/>
          <w:sz w:val="28"/>
          <w:szCs w:val="28"/>
        </w:rPr>
        <w:t>经费保障</w:t>
      </w:r>
      <w:bookmarkEnd w:id="604"/>
      <w:bookmarkEnd w:id="605"/>
      <w:bookmarkEnd w:id="606"/>
      <w:bookmarkEnd w:id="607"/>
      <w:bookmarkEnd w:id="608"/>
      <w:bookmarkEnd w:id="609"/>
    </w:p>
    <w:p>
      <w:pPr>
        <w:spacing w:after="0" w:line="360" w:lineRule="auto"/>
        <w:ind w:firstLine="482"/>
        <w:rPr>
          <w:rFonts w:eastAsia="仿宋_GB2312"/>
          <w:sz w:val="24"/>
        </w:rPr>
      </w:pPr>
      <w:bookmarkStart w:id="610" w:name="_Toc466379507"/>
      <w:bookmarkStart w:id="611" w:name="_Toc5778"/>
      <w:bookmarkStart w:id="612" w:name="_Toc522025703"/>
      <w:bookmarkStart w:id="613" w:name="_Toc3695"/>
      <w:r>
        <w:rPr>
          <w:rFonts w:hint="eastAsia" w:eastAsia="仿宋_GB2312"/>
          <w:sz w:val="24"/>
        </w:rPr>
        <w:t>（1）财务部门要做好应急救援费用计划，建立应急科目，保证应急管理经费和应急资金的足额配置，专款专用；</w:t>
      </w:r>
    </w:p>
    <w:p>
      <w:pPr>
        <w:spacing w:after="0" w:line="360" w:lineRule="auto"/>
        <w:ind w:firstLine="482"/>
        <w:rPr>
          <w:rFonts w:eastAsia="仿宋_GB2312"/>
          <w:sz w:val="24"/>
        </w:rPr>
      </w:pPr>
      <w:bookmarkStart w:id="614" w:name="_Toc425812182"/>
      <w:r>
        <w:rPr>
          <w:rFonts w:hint="eastAsia" w:eastAsia="仿宋_GB2312"/>
          <w:sz w:val="24"/>
        </w:rPr>
        <w:t>（2）在发生突发环境事件时，财务部应本着“特事特办、急事急办”的原则，确保应急资金及时拨付；</w:t>
      </w:r>
      <w:bookmarkEnd w:id="614"/>
    </w:p>
    <w:p>
      <w:pPr>
        <w:spacing w:after="0" w:line="360" w:lineRule="auto"/>
        <w:ind w:firstLine="482"/>
        <w:rPr>
          <w:rFonts w:eastAsia="仿宋_GB2312"/>
          <w:sz w:val="24"/>
        </w:rPr>
      </w:pPr>
      <w:bookmarkStart w:id="615" w:name="_Toc425812183"/>
      <w:bookmarkStart w:id="616" w:name="_Toc72068779"/>
      <w:r>
        <w:rPr>
          <w:rFonts w:hint="eastAsia" w:eastAsia="仿宋_GB2312"/>
          <w:sz w:val="24"/>
        </w:rPr>
        <w:t>（3）单位合理使用应急资金，确保资金专款专用，发挥资金使用效益；</w:t>
      </w:r>
      <w:bookmarkEnd w:id="615"/>
      <w:bookmarkEnd w:id="616"/>
    </w:p>
    <w:p>
      <w:pPr>
        <w:spacing w:after="0" w:line="360" w:lineRule="auto"/>
        <w:ind w:firstLine="482"/>
        <w:rPr>
          <w:rFonts w:eastAsia="仿宋_GB2312"/>
          <w:sz w:val="24"/>
        </w:rPr>
      </w:pPr>
      <w:bookmarkStart w:id="617" w:name="_Toc425812184"/>
      <w:r>
        <w:rPr>
          <w:rFonts w:hint="eastAsia" w:eastAsia="仿宋_GB2312"/>
          <w:sz w:val="24"/>
        </w:rPr>
        <w:t>（4）审计监察部门每年对应急资金安排和使用情况进行检查和审计，对违反规定的单位和个人要严肃查处。</w:t>
      </w:r>
      <w:bookmarkEnd w:id="617"/>
    </w:p>
    <w:p>
      <w:pPr>
        <w:pStyle w:val="6"/>
        <w:rPr>
          <w:rFonts w:ascii="仿宋" w:hAnsi="仿宋"/>
          <w:sz w:val="28"/>
          <w:szCs w:val="28"/>
        </w:rPr>
      </w:pPr>
      <w:bookmarkStart w:id="618" w:name="_Toc29751"/>
      <w:bookmarkStart w:id="619" w:name="_Toc74856053"/>
      <w:r>
        <w:rPr>
          <w:rFonts w:ascii="仿宋" w:hAnsi="仿宋"/>
          <w:sz w:val="28"/>
          <w:szCs w:val="28"/>
        </w:rPr>
        <w:t>9.5</w:t>
      </w:r>
      <w:r>
        <w:rPr>
          <w:rFonts w:hint="eastAsia" w:ascii="仿宋" w:hAnsi="仿宋"/>
          <w:sz w:val="28"/>
          <w:szCs w:val="28"/>
        </w:rPr>
        <w:t>其他保障</w:t>
      </w:r>
      <w:bookmarkEnd w:id="610"/>
      <w:bookmarkEnd w:id="611"/>
      <w:bookmarkEnd w:id="612"/>
      <w:bookmarkEnd w:id="613"/>
      <w:bookmarkEnd w:id="618"/>
      <w:bookmarkEnd w:id="619"/>
    </w:p>
    <w:p>
      <w:pPr>
        <w:pStyle w:val="7"/>
        <w:rPr>
          <w:rFonts w:ascii="仿宋" w:hAnsi="仿宋"/>
          <w:szCs w:val="28"/>
        </w:rPr>
      </w:pPr>
      <w:bookmarkStart w:id="620" w:name="_Toc24255"/>
      <w:bookmarkStart w:id="621" w:name="_Toc28661"/>
      <w:bookmarkStart w:id="622" w:name="_Toc522025704"/>
      <w:bookmarkStart w:id="623" w:name="_Toc74856054"/>
      <w:r>
        <w:rPr>
          <w:rFonts w:ascii="仿宋" w:hAnsi="仿宋"/>
          <w:szCs w:val="28"/>
        </w:rPr>
        <w:t>9.5.1</w:t>
      </w:r>
      <w:r>
        <w:rPr>
          <w:rFonts w:hint="eastAsia" w:ascii="仿宋" w:hAnsi="仿宋"/>
          <w:szCs w:val="28"/>
        </w:rPr>
        <w:t>已有救援装备保障</w:t>
      </w:r>
      <w:bookmarkEnd w:id="620"/>
      <w:bookmarkEnd w:id="621"/>
      <w:bookmarkEnd w:id="622"/>
      <w:bookmarkEnd w:id="623"/>
    </w:p>
    <w:p>
      <w:pPr>
        <w:spacing w:after="0" w:line="360" w:lineRule="auto"/>
        <w:ind w:firstLine="482"/>
        <w:rPr>
          <w:rFonts w:eastAsia="仿宋_GB2312"/>
          <w:sz w:val="24"/>
        </w:rPr>
      </w:pPr>
      <w:bookmarkStart w:id="624" w:name="_Toc522025705"/>
      <w:r>
        <w:rPr>
          <w:rFonts w:hint="eastAsia" w:eastAsia="仿宋_GB2312"/>
          <w:sz w:val="24"/>
        </w:rPr>
        <w:t>（1）应急保障组负责储备本综合预案所列出的应急救援物资。应建立相应的物资信息数据库，明确其类型、数量、性能特点和存放位置，制定物资信息数据库的管理、数据更新和报告制度。</w:t>
      </w:r>
    </w:p>
    <w:p>
      <w:pPr>
        <w:spacing w:after="0" w:line="360" w:lineRule="auto"/>
        <w:ind w:firstLine="482"/>
        <w:rPr>
          <w:rFonts w:eastAsia="仿宋_GB2312"/>
          <w:sz w:val="24"/>
        </w:rPr>
      </w:pPr>
      <w:r>
        <w:rPr>
          <w:rFonts w:hint="eastAsia" w:eastAsia="仿宋_GB2312"/>
          <w:sz w:val="24"/>
        </w:rPr>
        <w:t>（2）应急指挥部制定应急救援物资的维护、保养制度，并根据各物资的性能特点、定期更新和监督检查。</w:t>
      </w:r>
    </w:p>
    <w:p>
      <w:pPr>
        <w:spacing w:after="0" w:line="360" w:lineRule="auto"/>
        <w:ind w:firstLine="482"/>
        <w:rPr>
          <w:rFonts w:eastAsia="仿宋_GB2312"/>
          <w:sz w:val="24"/>
        </w:rPr>
      </w:pPr>
      <w:r>
        <w:rPr>
          <w:rFonts w:hint="eastAsia" w:eastAsia="仿宋_GB2312"/>
          <w:sz w:val="24"/>
        </w:rPr>
        <w:t>（3）应急指挥部制定应急救援物资调用程序和使用制度，建立应急物资装备及时到位和正常使用的管理制度。</w:t>
      </w:r>
    </w:p>
    <w:p>
      <w:pPr>
        <w:spacing w:after="0" w:line="360" w:lineRule="auto"/>
        <w:ind w:firstLine="482"/>
        <w:rPr>
          <w:rFonts w:eastAsia="仿宋_GB2312"/>
          <w:sz w:val="24"/>
        </w:rPr>
      </w:pPr>
      <w:r>
        <w:rPr>
          <w:rFonts w:hint="eastAsia" w:eastAsia="仿宋_GB2312"/>
          <w:sz w:val="24"/>
        </w:rPr>
        <w:t>（4）应急指挥部要明确应急救援的各小组职责，保障突发环境事件发生时能够有效有序的开展应急响应。</w:t>
      </w:r>
    </w:p>
    <w:p>
      <w:pPr>
        <w:pStyle w:val="7"/>
        <w:rPr>
          <w:rFonts w:ascii="仿宋" w:hAnsi="仿宋"/>
          <w:szCs w:val="28"/>
        </w:rPr>
      </w:pPr>
      <w:bookmarkStart w:id="625" w:name="_Toc17508"/>
      <w:bookmarkStart w:id="626" w:name="_Toc9191"/>
      <w:bookmarkStart w:id="627" w:name="_Toc74856055"/>
      <w:r>
        <w:rPr>
          <w:rFonts w:ascii="仿宋" w:hAnsi="仿宋"/>
          <w:szCs w:val="28"/>
        </w:rPr>
        <w:t>9.5.2</w:t>
      </w:r>
      <w:r>
        <w:rPr>
          <w:rFonts w:hint="eastAsia" w:ascii="仿宋" w:hAnsi="仿宋"/>
          <w:szCs w:val="28"/>
        </w:rPr>
        <w:t>交通运输保障</w:t>
      </w:r>
      <w:bookmarkEnd w:id="624"/>
      <w:bookmarkEnd w:id="625"/>
      <w:bookmarkEnd w:id="626"/>
      <w:bookmarkEnd w:id="627"/>
    </w:p>
    <w:p>
      <w:pPr>
        <w:spacing w:after="0" w:line="360" w:lineRule="auto"/>
        <w:ind w:firstLine="482"/>
        <w:rPr>
          <w:rFonts w:eastAsia="仿宋_GB2312"/>
          <w:sz w:val="24"/>
        </w:rPr>
      </w:pPr>
      <w:bookmarkStart w:id="628" w:name="_Toc522025706"/>
      <w:r>
        <w:rPr>
          <w:rFonts w:hint="eastAsia" w:eastAsia="仿宋_GB2312"/>
          <w:sz w:val="24"/>
        </w:rPr>
        <w:t>（1）为保证应急救援工作的顺利实施，应随时配备足够数量的运输车辆、工程车辆等交通工具；</w:t>
      </w:r>
    </w:p>
    <w:p>
      <w:pPr>
        <w:spacing w:after="0" w:line="360" w:lineRule="auto"/>
        <w:ind w:firstLine="482"/>
        <w:rPr>
          <w:rFonts w:eastAsia="仿宋_GB2312"/>
          <w:sz w:val="24"/>
        </w:rPr>
      </w:pPr>
      <w:r>
        <w:rPr>
          <w:rFonts w:hint="eastAsia" w:eastAsia="仿宋_GB2312"/>
          <w:sz w:val="24"/>
        </w:rPr>
        <w:t>（2）抢险救援组负责应急抢险工作时的道路畅通，以保证应急物资能迅速到达事件现场，伤病人员须及时就诊。</w:t>
      </w:r>
    </w:p>
    <w:p>
      <w:pPr>
        <w:pStyle w:val="7"/>
        <w:rPr>
          <w:rFonts w:ascii="仿宋" w:hAnsi="仿宋"/>
          <w:szCs w:val="28"/>
        </w:rPr>
      </w:pPr>
      <w:bookmarkStart w:id="629" w:name="_Toc8020"/>
      <w:bookmarkStart w:id="630" w:name="_Toc74856056"/>
      <w:bookmarkStart w:id="631" w:name="_Toc20095"/>
      <w:r>
        <w:rPr>
          <w:rFonts w:ascii="仿宋" w:hAnsi="仿宋"/>
          <w:szCs w:val="28"/>
        </w:rPr>
        <w:t>9.5.3</w:t>
      </w:r>
      <w:r>
        <w:rPr>
          <w:rFonts w:hint="eastAsia" w:ascii="仿宋" w:hAnsi="仿宋"/>
          <w:szCs w:val="28"/>
        </w:rPr>
        <w:t>救援医疗保障</w:t>
      </w:r>
      <w:bookmarkEnd w:id="628"/>
      <w:bookmarkEnd w:id="629"/>
      <w:bookmarkEnd w:id="630"/>
      <w:bookmarkEnd w:id="631"/>
    </w:p>
    <w:p>
      <w:pPr>
        <w:spacing w:after="0" w:line="360" w:lineRule="auto"/>
        <w:ind w:firstLine="482"/>
        <w:rPr>
          <w:rFonts w:eastAsia="仿宋_GB2312"/>
          <w:sz w:val="24"/>
        </w:rPr>
      </w:pPr>
      <w:r>
        <w:rPr>
          <w:rFonts w:hint="eastAsia" w:eastAsia="仿宋_GB2312"/>
          <w:sz w:val="24"/>
        </w:rPr>
        <w:t>（1）为提高公司应对安全事件的救治能力，公司应与临近医院承担必要的应急医疗保障。</w:t>
      </w:r>
    </w:p>
    <w:p>
      <w:pPr>
        <w:spacing w:after="0" w:line="360" w:lineRule="auto"/>
        <w:ind w:firstLine="482"/>
        <w:rPr>
          <w:rFonts w:eastAsia="仿宋_GB2312"/>
          <w:sz w:val="24"/>
        </w:rPr>
      </w:pPr>
      <w:r>
        <w:rPr>
          <w:rFonts w:hint="eastAsia" w:eastAsia="仿宋_GB2312"/>
          <w:sz w:val="24"/>
        </w:rPr>
        <w:t>（2）公司准备必要的医疗救护设施、药品等。</w:t>
      </w:r>
    </w:p>
    <w:p>
      <w:pPr>
        <w:pStyle w:val="7"/>
        <w:rPr>
          <w:rFonts w:ascii="仿宋" w:hAnsi="仿宋"/>
          <w:szCs w:val="28"/>
        </w:rPr>
      </w:pPr>
      <w:bookmarkStart w:id="632" w:name="_Toc74856057"/>
      <w:bookmarkStart w:id="633" w:name="_Toc24172"/>
      <w:bookmarkStart w:id="634" w:name="_Toc17618"/>
      <w:bookmarkStart w:id="635" w:name="_Toc522025707"/>
      <w:r>
        <w:rPr>
          <w:rFonts w:hint="eastAsia" w:ascii="仿宋" w:hAnsi="仿宋"/>
          <w:szCs w:val="28"/>
        </w:rPr>
        <w:t>9.5.4治安保障</w:t>
      </w:r>
      <w:bookmarkEnd w:id="632"/>
      <w:bookmarkEnd w:id="633"/>
      <w:bookmarkEnd w:id="634"/>
      <w:bookmarkEnd w:id="635"/>
    </w:p>
    <w:p>
      <w:pPr>
        <w:spacing w:after="0" w:line="360" w:lineRule="auto"/>
        <w:ind w:firstLine="482"/>
        <w:rPr>
          <w:rFonts w:eastAsia="仿宋_GB2312"/>
          <w:sz w:val="24"/>
        </w:rPr>
      </w:pPr>
      <w:r>
        <w:rPr>
          <w:rFonts w:hint="eastAsia" w:eastAsia="仿宋_GB2312"/>
          <w:sz w:val="24"/>
        </w:rPr>
        <w:t>（1）事件发生后，由应急保障组负责治安保障，立即在事件现场周围设立警戒区和警戒哨，做好现场控制、交通管制、疏散救助群众、维护公共秩序等工作。</w:t>
      </w:r>
    </w:p>
    <w:p>
      <w:pPr>
        <w:spacing w:after="0" w:line="360" w:lineRule="auto"/>
        <w:ind w:firstLine="482"/>
        <w:rPr>
          <w:rFonts w:eastAsia="仿宋_GB2312"/>
          <w:sz w:val="24"/>
        </w:rPr>
        <w:sectPr>
          <w:pgSz w:w="11906" w:h="16838"/>
          <w:pgMar w:top="1440" w:right="1800" w:bottom="1440" w:left="1800" w:header="708" w:footer="708" w:gutter="0"/>
          <w:cols w:space="720" w:num="1"/>
          <w:docGrid w:linePitch="360" w:charSpace="0"/>
        </w:sectPr>
      </w:pPr>
      <w:r>
        <w:rPr>
          <w:rFonts w:hint="eastAsia" w:eastAsia="仿宋_GB2312"/>
          <w:sz w:val="24"/>
        </w:rPr>
        <w:t>（2）由抢险救援组负责，承担对重要场所、目标和救灾设施的警卫。</w:t>
      </w:r>
    </w:p>
    <w:bookmarkEnd w:id="582"/>
    <w:bookmarkEnd w:id="583"/>
    <w:bookmarkEnd w:id="584"/>
    <w:p>
      <w:pPr>
        <w:pStyle w:val="5"/>
        <w:rPr>
          <w:rFonts w:ascii="仿宋" w:hAnsi="仿宋"/>
          <w:sz w:val="28"/>
          <w:szCs w:val="28"/>
        </w:rPr>
      </w:pPr>
      <w:bookmarkStart w:id="636" w:name="_Toc25528"/>
      <w:bookmarkStart w:id="637" w:name="_Toc74856058"/>
      <w:bookmarkStart w:id="638" w:name="_Toc27422"/>
      <w:r>
        <w:rPr>
          <w:rFonts w:ascii="仿宋" w:hAnsi="仿宋"/>
          <w:sz w:val="28"/>
          <w:szCs w:val="28"/>
        </w:rPr>
        <w:t>10</w:t>
      </w:r>
      <w:r>
        <w:rPr>
          <w:rFonts w:hint="eastAsia" w:ascii="仿宋" w:hAnsi="仿宋"/>
          <w:sz w:val="28"/>
          <w:szCs w:val="28"/>
        </w:rPr>
        <w:t>.培训和演练</w:t>
      </w:r>
      <w:bookmarkEnd w:id="636"/>
      <w:bookmarkEnd w:id="637"/>
      <w:bookmarkEnd w:id="638"/>
    </w:p>
    <w:p>
      <w:pPr>
        <w:pStyle w:val="6"/>
        <w:rPr>
          <w:rFonts w:ascii="仿宋" w:hAnsi="仿宋"/>
          <w:sz w:val="28"/>
          <w:szCs w:val="28"/>
        </w:rPr>
      </w:pPr>
      <w:bookmarkStart w:id="639" w:name="_Toc522025709"/>
      <w:bookmarkStart w:id="640" w:name="_Toc466379509"/>
      <w:bookmarkStart w:id="641" w:name="_Toc5339"/>
      <w:bookmarkStart w:id="642" w:name="_Toc74856059"/>
      <w:bookmarkStart w:id="643" w:name="_Toc7690"/>
      <w:bookmarkStart w:id="644" w:name="_Toc18967"/>
      <w:r>
        <w:rPr>
          <w:rFonts w:ascii="仿宋" w:hAnsi="仿宋"/>
          <w:sz w:val="28"/>
          <w:szCs w:val="28"/>
        </w:rPr>
        <w:t>10.1</w:t>
      </w:r>
      <w:r>
        <w:rPr>
          <w:rFonts w:hint="eastAsia" w:ascii="仿宋" w:hAnsi="仿宋"/>
          <w:sz w:val="28"/>
          <w:szCs w:val="28"/>
        </w:rPr>
        <w:t>培训</w:t>
      </w:r>
      <w:bookmarkEnd w:id="639"/>
      <w:bookmarkEnd w:id="640"/>
      <w:bookmarkEnd w:id="641"/>
      <w:bookmarkEnd w:id="642"/>
      <w:bookmarkEnd w:id="643"/>
      <w:bookmarkEnd w:id="644"/>
    </w:p>
    <w:p>
      <w:pPr>
        <w:widowControl w:val="0"/>
        <w:spacing w:after="0" w:line="360" w:lineRule="auto"/>
        <w:ind w:firstLine="482"/>
        <w:jc w:val="both"/>
        <w:rPr>
          <w:rFonts w:eastAsia="仿宋_GB2312"/>
          <w:sz w:val="24"/>
        </w:rPr>
      </w:pPr>
      <w:r>
        <w:rPr>
          <w:rFonts w:hint="eastAsia" w:eastAsia="仿宋_GB2312"/>
          <w:sz w:val="24"/>
        </w:rPr>
        <w:t>加油站</w:t>
      </w:r>
      <w:r>
        <w:rPr>
          <w:rFonts w:eastAsia="仿宋_GB2312"/>
          <w:sz w:val="24"/>
        </w:rPr>
        <w:t>要加强对污染事件处置队伍的培训、演练，定期组织污染事件处置训练和演习，应急指挥部要从实际出发，每年训练3天，培训方式以理论和实战结合，年初制定培训计划，年底进行工作总结。</w:t>
      </w:r>
    </w:p>
    <w:p>
      <w:pPr>
        <w:widowControl w:val="0"/>
        <w:spacing w:after="0" w:line="360" w:lineRule="auto"/>
        <w:ind w:firstLine="482"/>
        <w:jc w:val="both"/>
        <w:rPr>
          <w:rFonts w:eastAsia="仿宋_GB2312"/>
          <w:sz w:val="24"/>
        </w:rPr>
      </w:pPr>
      <w:r>
        <w:rPr>
          <w:rFonts w:hint="eastAsia" w:eastAsia="仿宋_GB2312"/>
          <w:sz w:val="24"/>
        </w:rPr>
        <w:t>1、培训内容包括：</w:t>
      </w:r>
    </w:p>
    <w:p>
      <w:pPr>
        <w:widowControl w:val="0"/>
        <w:spacing w:after="0" w:line="360" w:lineRule="auto"/>
        <w:ind w:firstLine="482"/>
        <w:jc w:val="both"/>
        <w:rPr>
          <w:rFonts w:eastAsia="仿宋_GB2312"/>
          <w:sz w:val="24"/>
        </w:rPr>
      </w:pPr>
      <w:bookmarkStart w:id="645" w:name="_Toc425812202"/>
      <w:r>
        <w:rPr>
          <w:rFonts w:hint="eastAsia" w:eastAsia="仿宋_GB2312"/>
          <w:sz w:val="24"/>
        </w:rPr>
        <w:t>（1）环保知识培训：定时组织职工培训有关环保问题、环境污染知识，邀请当地环保部门或技术专家讲解，通过知识培训，提供员工正确及时识别突发环境事件，把损失和影响降低到最低限度；</w:t>
      </w:r>
    </w:p>
    <w:p>
      <w:pPr>
        <w:widowControl w:val="0"/>
        <w:spacing w:after="0" w:line="360" w:lineRule="auto"/>
        <w:ind w:firstLine="482"/>
        <w:jc w:val="both"/>
        <w:rPr>
          <w:rFonts w:eastAsia="仿宋_GB2312"/>
          <w:sz w:val="24"/>
        </w:rPr>
      </w:pPr>
      <w:r>
        <w:rPr>
          <w:rFonts w:hint="eastAsia" w:eastAsia="仿宋_GB2312"/>
          <w:sz w:val="24"/>
        </w:rPr>
        <w:t>（2）救助知识培训：定时组织职工培训有关安全、抗灾救助知识，邀请有关技术专家前来讲解，通过知识培训，能够做到迅速、及时地处理火灾事故现场，把损失减少到最低限度；</w:t>
      </w:r>
    </w:p>
    <w:p>
      <w:pPr>
        <w:widowControl w:val="0"/>
        <w:spacing w:after="0" w:line="360" w:lineRule="auto"/>
        <w:ind w:firstLine="482"/>
        <w:jc w:val="both"/>
        <w:rPr>
          <w:rFonts w:eastAsia="仿宋_GB2312"/>
          <w:sz w:val="24"/>
        </w:rPr>
      </w:pPr>
      <w:r>
        <w:rPr>
          <w:rFonts w:hint="eastAsia" w:eastAsia="仿宋_GB2312"/>
          <w:sz w:val="24"/>
        </w:rPr>
        <w:t xml:space="preserve">（3）使用和器材维护技术培训：对各类器材的使用，组织员工培训、演练，教会员工人人会使用抢险器材； </w:t>
      </w:r>
    </w:p>
    <w:p>
      <w:pPr>
        <w:widowControl w:val="0"/>
        <w:spacing w:after="0" w:line="360" w:lineRule="auto"/>
        <w:ind w:firstLine="482"/>
        <w:jc w:val="both"/>
        <w:rPr>
          <w:rFonts w:eastAsia="仿宋_GB2312"/>
          <w:sz w:val="24"/>
        </w:rPr>
      </w:pPr>
      <w:r>
        <w:rPr>
          <w:rFonts w:hint="eastAsia" w:eastAsia="仿宋_GB2312"/>
          <w:sz w:val="24"/>
        </w:rPr>
        <w:t xml:space="preserve">（4）每半年对义务消防队员和相关人员进行一次防火器材使用培训和演练（伤员急救常识、灭火器材使用常识、抢险救灾基本常识等）； </w:t>
      </w:r>
    </w:p>
    <w:p>
      <w:pPr>
        <w:widowControl w:val="0"/>
        <w:spacing w:after="0" w:line="360" w:lineRule="auto"/>
        <w:ind w:firstLine="482"/>
        <w:jc w:val="both"/>
        <w:rPr>
          <w:rFonts w:eastAsia="仿宋_GB2312"/>
          <w:sz w:val="24"/>
        </w:rPr>
      </w:pPr>
      <w:r>
        <w:rPr>
          <w:rFonts w:hint="eastAsia" w:eastAsia="仿宋_GB2312"/>
          <w:sz w:val="24"/>
        </w:rPr>
        <w:t>（5）加强宣传教育，使全体施工人员了解防火，自救常识。</w:t>
      </w:r>
    </w:p>
    <w:bookmarkEnd w:id="645"/>
    <w:p>
      <w:pPr>
        <w:widowControl w:val="0"/>
        <w:spacing w:after="0" w:line="360" w:lineRule="auto"/>
        <w:ind w:firstLine="482"/>
        <w:jc w:val="both"/>
        <w:rPr>
          <w:rFonts w:eastAsia="仿宋_GB2312"/>
          <w:sz w:val="24"/>
        </w:rPr>
      </w:pPr>
      <w:r>
        <w:rPr>
          <w:rFonts w:hint="eastAsia" w:eastAsia="仿宋_GB2312"/>
          <w:sz w:val="24"/>
        </w:rPr>
        <w:t>2、</w:t>
      </w:r>
      <w:r>
        <w:rPr>
          <w:rFonts w:eastAsia="仿宋_GB2312"/>
          <w:sz w:val="24"/>
        </w:rPr>
        <w:t>采取的方式：</w:t>
      </w:r>
      <w:r>
        <w:rPr>
          <w:rFonts w:hint="eastAsia" w:eastAsia="仿宋_GB2312"/>
          <w:sz w:val="24"/>
        </w:rPr>
        <w:t>口头宣传、应急救援知识讲座、综合讨论、现场讲解、专家讲座、模拟事故发生等。</w:t>
      </w:r>
    </w:p>
    <w:p>
      <w:pPr>
        <w:pStyle w:val="73"/>
        <w:spacing w:after="0"/>
        <w:ind w:firstLine="482"/>
        <w:rPr>
          <w:sz w:val="24"/>
        </w:rPr>
      </w:pPr>
      <w:bookmarkStart w:id="646" w:name="_Toc72068787"/>
      <w:r>
        <w:rPr>
          <w:rFonts w:hint="eastAsia"/>
          <w:sz w:val="24"/>
        </w:rPr>
        <w:t>3、</w:t>
      </w:r>
      <w:r>
        <w:rPr>
          <w:sz w:val="24"/>
        </w:rPr>
        <w:t>培训要求</w:t>
      </w:r>
      <w:bookmarkEnd w:id="646"/>
    </w:p>
    <w:p>
      <w:pPr>
        <w:pStyle w:val="73"/>
        <w:spacing w:after="0"/>
        <w:ind w:firstLine="482"/>
        <w:rPr>
          <w:sz w:val="24"/>
        </w:rPr>
      </w:pPr>
      <w:bookmarkStart w:id="647" w:name="_Toc425812218"/>
      <w:r>
        <w:rPr>
          <w:rFonts w:hint="eastAsia"/>
          <w:sz w:val="24"/>
        </w:rPr>
        <w:t>（1）针对性：针对可能发生的事故及承担的应急职责不同，对不同的人员予以不同的培训内容；</w:t>
      </w:r>
      <w:bookmarkEnd w:id="647"/>
    </w:p>
    <w:p>
      <w:pPr>
        <w:pStyle w:val="73"/>
        <w:spacing w:after="0"/>
        <w:ind w:firstLine="482"/>
        <w:rPr>
          <w:sz w:val="24"/>
        </w:rPr>
      </w:pPr>
      <w:bookmarkStart w:id="648" w:name="_Toc425812219"/>
      <w:r>
        <w:rPr>
          <w:rFonts w:hint="eastAsia"/>
          <w:sz w:val="24"/>
        </w:rPr>
        <w:t>（2）周期性：每年至少组织一次培训；</w:t>
      </w:r>
      <w:bookmarkEnd w:id="648"/>
    </w:p>
    <w:p>
      <w:pPr>
        <w:pStyle w:val="73"/>
        <w:spacing w:after="0"/>
        <w:ind w:firstLine="482"/>
        <w:rPr>
          <w:sz w:val="24"/>
        </w:rPr>
      </w:pPr>
      <w:r>
        <w:rPr>
          <w:rFonts w:hint="eastAsia"/>
          <w:sz w:val="24"/>
        </w:rPr>
        <w:t>（3）实战性：培训应贴近实际应急活动</w:t>
      </w:r>
    </w:p>
    <w:p>
      <w:pPr>
        <w:pStyle w:val="6"/>
        <w:rPr>
          <w:rFonts w:ascii="仿宋" w:hAnsi="仿宋"/>
          <w:sz w:val="28"/>
          <w:szCs w:val="28"/>
        </w:rPr>
      </w:pPr>
      <w:bookmarkStart w:id="649" w:name="_Toc74856060"/>
      <w:bookmarkStart w:id="650" w:name="_Toc466379510"/>
      <w:bookmarkStart w:id="651" w:name="_Toc25633"/>
      <w:bookmarkStart w:id="652" w:name="_Toc32745"/>
      <w:bookmarkStart w:id="653" w:name="_Toc522025710"/>
      <w:bookmarkStart w:id="654" w:name="_Toc32139"/>
      <w:r>
        <w:rPr>
          <w:rFonts w:ascii="仿宋" w:hAnsi="仿宋"/>
          <w:sz w:val="28"/>
          <w:szCs w:val="28"/>
        </w:rPr>
        <w:t>10.2</w:t>
      </w:r>
      <w:r>
        <w:rPr>
          <w:rFonts w:hint="eastAsia" w:ascii="仿宋" w:hAnsi="仿宋"/>
          <w:sz w:val="28"/>
          <w:szCs w:val="28"/>
        </w:rPr>
        <w:t>演练</w:t>
      </w:r>
      <w:bookmarkEnd w:id="649"/>
      <w:bookmarkEnd w:id="650"/>
      <w:bookmarkEnd w:id="651"/>
      <w:bookmarkEnd w:id="652"/>
      <w:bookmarkEnd w:id="653"/>
      <w:bookmarkEnd w:id="654"/>
    </w:p>
    <w:p>
      <w:pPr>
        <w:widowControl w:val="0"/>
        <w:spacing w:after="0" w:line="360" w:lineRule="auto"/>
        <w:ind w:firstLine="480"/>
        <w:jc w:val="both"/>
        <w:rPr>
          <w:rFonts w:eastAsia="仿宋_GB2312"/>
          <w:sz w:val="24"/>
        </w:rPr>
      </w:pPr>
      <w:r>
        <w:rPr>
          <w:rFonts w:hint="eastAsia" w:eastAsia="仿宋_GB2312"/>
          <w:sz w:val="24"/>
        </w:rPr>
        <w:t>针对周围环境保护目标可能发生的污染事件，公司每年组织</w:t>
      </w:r>
      <w:r>
        <w:rPr>
          <w:rFonts w:eastAsia="仿宋_GB2312"/>
          <w:sz w:val="24"/>
        </w:rPr>
        <w:t>1</w:t>
      </w:r>
      <w:r>
        <w:rPr>
          <w:rFonts w:hint="eastAsia" w:eastAsia="仿宋_GB2312"/>
          <w:sz w:val="24"/>
        </w:rPr>
        <w:t>次综合性应急处置演习，确保一旦发生污染事件，指挥机构能正确指挥，各应急队伍能根据各自任务及时有效地排除险情，控制并缓解、处置事件，做好应急处置工作。</w:t>
      </w:r>
    </w:p>
    <w:p>
      <w:pPr>
        <w:pStyle w:val="7"/>
        <w:rPr>
          <w:rFonts w:ascii="仿宋" w:hAnsi="仿宋"/>
          <w:szCs w:val="28"/>
        </w:rPr>
      </w:pPr>
      <w:bookmarkStart w:id="655" w:name="_Toc74856061"/>
      <w:bookmarkStart w:id="656" w:name="_Toc522025711"/>
      <w:bookmarkStart w:id="657" w:name="_Toc6483"/>
      <w:bookmarkStart w:id="658" w:name="_Toc27054"/>
      <w:r>
        <w:rPr>
          <w:rFonts w:ascii="仿宋" w:hAnsi="仿宋"/>
          <w:szCs w:val="28"/>
        </w:rPr>
        <w:t>10.2.1</w:t>
      </w:r>
      <w:r>
        <w:rPr>
          <w:rFonts w:hint="eastAsia" w:ascii="仿宋" w:hAnsi="仿宋"/>
          <w:szCs w:val="28"/>
        </w:rPr>
        <w:t>演练内容</w:t>
      </w:r>
      <w:bookmarkEnd w:id="655"/>
      <w:bookmarkEnd w:id="656"/>
      <w:bookmarkEnd w:id="657"/>
      <w:bookmarkEnd w:id="658"/>
    </w:p>
    <w:p>
      <w:pPr>
        <w:widowControl w:val="0"/>
        <w:spacing w:after="0" w:line="360" w:lineRule="auto"/>
        <w:ind w:firstLine="480"/>
        <w:rPr>
          <w:rFonts w:eastAsia="仿宋_GB2312"/>
          <w:sz w:val="24"/>
        </w:rPr>
      </w:pPr>
      <w:bookmarkStart w:id="659" w:name="_Toc522025712"/>
      <w:r>
        <w:rPr>
          <w:rFonts w:hint="eastAsia" w:eastAsia="仿宋_GB2312"/>
          <w:sz w:val="24"/>
        </w:rPr>
        <w:t>（1）油品泄漏演练；火灾、爆炸事件应急处置演练；</w:t>
      </w:r>
    </w:p>
    <w:p>
      <w:pPr>
        <w:widowControl w:val="0"/>
        <w:spacing w:after="0" w:line="360" w:lineRule="auto"/>
        <w:ind w:firstLine="480"/>
        <w:rPr>
          <w:rFonts w:eastAsia="仿宋_GB2312"/>
          <w:sz w:val="24"/>
        </w:rPr>
      </w:pPr>
      <w:r>
        <w:rPr>
          <w:rFonts w:hint="eastAsia" w:eastAsia="仿宋_GB2312"/>
          <w:sz w:val="24"/>
        </w:rPr>
        <w:t>（2）通信及报警信号的联络；</w:t>
      </w:r>
    </w:p>
    <w:p>
      <w:pPr>
        <w:widowControl w:val="0"/>
        <w:spacing w:after="0" w:line="360" w:lineRule="auto"/>
        <w:ind w:firstLine="480"/>
        <w:rPr>
          <w:rFonts w:eastAsia="仿宋_GB2312"/>
          <w:sz w:val="24"/>
        </w:rPr>
      </w:pPr>
      <w:r>
        <w:rPr>
          <w:rFonts w:hint="eastAsia" w:eastAsia="仿宋_GB2312"/>
          <w:sz w:val="24"/>
        </w:rPr>
        <w:t>（3）急救及人员救护演练；</w:t>
      </w:r>
    </w:p>
    <w:p>
      <w:pPr>
        <w:widowControl w:val="0"/>
        <w:spacing w:after="0" w:line="360" w:lineRule="auto"/>
        <w:ind w:firstLine="480"/>
        <w:rPr>
          <w:rFonts w:eastAsia="仿宋_GB2312"/>
          <w:sz w:val="24"/>
        </w:rPr>
      </w:pPr>
      <w:r>
        <w:rPr>
          <w:rFonts w:hint="eastAsia" w:eastAsia="仿宋_GB2312"/>
          <w:sz w:val="24"/>
        </w:rPr>
        <w:t>（4）人员疏散和场内交通管制；</w:t>
      </w:r>
    </w:p>
    <w:p>
      <w:pPr>
        <w:widowControl w:val="0"/>
        <w:spacing w:after="0" w:line="360" w:lineRule="auto"/>
        <w:ind w:firstLine="480"/>
        <w:rPr>
          <w:rFonts w:eastAsia="仿宋_GB2312"/>
          <w:sz w:val="24"/>
        </w:rPr>
      </w:pPr>
      <w:r>
        <w:rPr>
          <w:rFonts w:hint="eastAsia" w:eastAsia="仿宋_GB2312"/>
          <w:sz w:val="24"/>
        </w:rPr>
        <w:t>（5）情况通报演练；</w:t>
      </w:r>
    </w:p>
    <w:p>
      <w:pPr>
        <w:widowControl w:val="0"/>
        <w:spacing w:after="0" w:line="360" w:lineRule="auto"/>
        <w:ind w:firstLine="480"/>
        <w:rPr>
          <w:rFonts w:eastAsia="仿宋_GB2312"/>
          <w:sz w:val="24"/>
        </w:rPr>
      </w:pPr>
      <w:r>
        <w:rPr>
          <w:rFonts w:hint="eastAsia" w:eastAsia="仿宋_GB2312"/>
          <w:sz w:val="24"/>
        </w:rPr>
        <w:t>（6）防护指导，包括专业人员的个人防护及员工的自我防护；</w:t>
      </w:r>
    </w:p>
    <w:p>
      <w:pPr>
        <w:widowControl w:val="0"/>
        <w:spacing w:after="0" w:line="360" w:lineRule="auto"/>
        <w:ind w:firstLine="480"/>
        <w:rPr>
          <w:rFonts w:eastAsia="仿宋_GB2312"/>
          <w:sz w:val="24"/>
        </w:rPr>
      </w:pPr>
      <w:r>
        <w:rPr>
          <w:rFonts w:hint="eastAsia" w:eastAsia="仿宋_GB2312"/>
          <w:sz w:val="24"/>
        </w:rPr>
        <w:t>（7）各种标志、设置警戒范围及人员控制；</w:t>
      </w:r>
    </w:p>
    <w:p>
      <w:pPr>
        <w:widowControl w:val="0"/>
        <w:spacing w:after="0" w:line="360" w:lineRule="auto"/>
        <w:ind w:firstLine="480"/>
        <w:rPr>
          <w:rFonts w:eastAsia="仿宋_GB2312"/>
          <w:sz w:val="24"/>
        </w:rPr>
      </w:pPr>
      <w:r>
        <w:rPr>
          <w:rFonts w:hint="eastAsia" w:eastAsia="仿宋_GB2312"/>
          <w:sz w:val="24"/>
        </w:rPr>
        <w:t>（8）向上级报告情况、向周边通报情况及事故的善后工作。</w:t>
      </w:r>
    </w:p>
    <w:p>
      <w:pPr>
        <w:pStyle w:val="73"/>
        <w:spacing w:after="0"/>
        <w:ind w:firstLine="480"/>
        <w:rPr>
          <w:sz w:val="24"/>
        </w:rPr>
      </w:pPr>
      <w:r>
        <w:rPr>
          <w:rFonts w:hint="eastAsia"/>
          <w:sz w:val="24"/>
        </w:rPr>
        <w:t>（9）各类应急设施、装备、器材的使用技能演练；</w:t>
      </w:r>
    </w:p>
    <w:p>
      <w:pPr>
        <w:pStyle w:val="73"/>
        <w:spacing w:after="0"/>
        <w:ind w:firstLine="480"/>
        <w:rPr>
          <w:sz w:val="24"/>
        </w:rPr>
      </w:pPr>
      <w:r>
        <w:rPr>
          <w:rFonts w:hint="eastAsia"/>
          <w:sz w:val="24"/>
        </w:rPr>
        <w:t>（10）模拟各类事件的快速反应演练等。</w:t>
      </w:r>
    </w:p>
    <w:p>
      <w:pPr>
        <w:pStyle w:val="7"/>
        <w:rPr>
          <w:rFonts w:ascii="仿宋" w:hAnsi="仿宋"/>
          <w:szCs w:val="28"/>
        </w:rPr>
      </w:pPr>
      <w:bookmarkStart w:id="660" w:name="_Toc27799"/>
      <w:bookmarkStart w:id="661" w:name="_Toc74856062"/>
      <w:bookmarkStart w:id="662" w:name="_Toc22961"/>
      <w:r>
        <w:rPr>
          <w:rFonts w:ascii="仿宋" w:hAnsi="仿宋"/>
          <w:szCs w:val="28"/>
        </w:rPr>
        <w:t>10.2.2</w:t>
      </w:r>
      <w:r>
        <w:rPr>
          <w:rFonts w:hint="eastAsia" w:ascii="仿宋" w:hAnsi="仿宋"/>
          <w:szCs w:val="28"/>
        </w:rPr>
        <w:t>演练方式</w:t>
      </w:r>
      <w:bookmarkEnd w:id="659"/>
      <w:bookmarkEnd w:id="660"/>
      <w:bookmarkEnd w:id="661"/>
      <w:bookmarkEnd w:id="662"/>
    </w:p>
    <w:p>
      <w:pPr>
        <w:pStyle w:val="73"/>
        <w:spacing w:after="0"/>
        <w:ind w:firstLine="482"/>
        <w:rPr>
          <w:sz w:val="24"/>
        </w:rPr>
      </w:pPr>
      <w:r>
        <w:rPr>
          <w:sz w:val="24"/>
        </w:rPr>
        <w:fldChar w:fldCharType="begin"/>
      </w:r>
      <w:r>
        <w:rPr>
          <w:rFonts w:hint="eastAsia"/>
          <w:sz w:val="24"/>
        </w:rPr>
        <w:instrText xml:space="preserve">= 1 \* GB3</w:instrText>
      </w:r>
      <w:r>
        <w:rPr>
          <w:sz w:val="24"/>
        </w:rPr>
        <w:fldChar w:fldCharType="separate"/>
      </w:r>
      <w:r>
        <w:rPr>
          <w:rFonts w:hint="eastAsia"/>
          <w:sz w:val="24"/>
        </w:rPr>
        <w:t>①</w:t>
      </w:r>
      <w:r>
        <w:rPr>
          <w:sz w:val="24"/>
        </w:rPr>
        <w:fldChar w:fldCharType="end"/>
      </w:r>
      <w:r>
        <w:rPr>
          <w:rFonts w:hint="eastAsia"/>
          <w:sz w:val="24"/>
        </w:rPr>
        <w:t>单项演练：各专业小组成员各自开展环境污染应急处置任务单项作业的演练，或单个专项逐一进行演练。</w:t>
      </w:r>
    </w:p>
    <w:p>
      <w:pPr>
        <w:pStyle w:val="73"/>
        <w:spacing w:after="0"/>
        <w:ind w:firstLine="482"/>
        <w:rPr>
          <w:sz w:val="24"/>
        </w:rPr>
      </w:pPr>
      <w:r>
        <w:rPr>
          <w:sz w:val="24"/>
        </w:rPr>
        <w:fldChar w:fldCharType="begin"/>
      </w:r>
      <w:r>
        <w:rPr>
          <w:rFonts w:hint="eastAsia"/>
          <w:sz w:val="24"/>
        </w:rPr>
        <w:instrText xml:space="preserve">= 2 \* GB3</w:instrText>
      </w:r>
      <w:r>
        <w:rPr>
          <w:sz w:val="24"/>
        </w:rPr>
        <w:fldChar w:fldCharType="separate"/>
      </w:r>
      <w:r>
        <w:rPr>
          <w:rFonts w:hint="eastAsia"/>
          <w:sz w:val="24"/>
        </w:rPr>
        <w:t>②</w:t>
      </w:r>
      <w:r>
        <w:rPr>
          <w:sz w:val="24"/>
        </w:rPr>
        <w:fldChar w:fldCharType="end"/>
      </w:r>
      <w:r>
        <w:rPr>
          <w:rFonts w:hint="eastAsia"/>
          <w:sz w:val="24"/>
        </w:rPr>
        <w:t>综合演练：应急指挥部按应急救援预案要求，开展的全面演练。</w:t>
      </w:r>
    </w:p>
    <w:p>
      <w:pPr>
        <w:pStyle w:val="73"/>
        <w:spacing w:after="0"/>
        <w:ind w:firstLine="482"/>
        <w:rPr>
          <w:sz w:val="24"/>
        </w:rPr>
      </w:pPr>
      <w:r>
        <w:rPr>
          <w:sz w:val="24"/>
        </w:rPr>
        <w:fldChar w:fldCharType="begin"/>
      </w:r>
      <w:r>
        <w:rPr>
          <w:rFonts w:hint="eastAsia"/>
          <w:sz w:val="24"/>
        </w:rPr>
        <w:instrText xml:space="preserve">= 3 \* GB3</w:instrText>
      </w:r>
      <w:r>
        <w:rPr>
          <w:sz w:val="24"/>
        </w:rPr>
        <w:fldChar w:fldCharType="separate"/>
      </w:r>
      <w:r>
        <w:rPr>
          <w:rFonts w:hint="eastAsia"/>
          <w:sz w:val="24"/>
        </w:rPr>
        <w:t>③</w:t>
      </w:r>
      <w:r>
        <w:rPr>
          <w:sz w:val="24"/>
        </w:rPr>
        <w:fldChar w:fldCharType="end"/>
      </w:r>
      <w:r>
        <w:rPr>
          <w:rFonts w:hint="eastAsia"/>
          <w:sz w:val="24"/>
        </w:rPr>
        <w:t>联合演练：应急指挥部、地方应急救援机构联合进行的组织指挥演练。</w:t>
      </w:r>
    </w:p>
    <w:p>
      <w:pPr>
        <w:pStyle w:val="7"/>
        <w:rPr>
          <w:rFonts w:ascii="仿宋" w:hAnsi="仿宋"/>
          <w:szCs w:val="28"/>
        </w:rPr>
      </w:pPr>
      <w:bookmarkStart w:id="663" w:name="_Toc74856063"/>
      <w:r>
        <w:rPr>
          <w:rFonts w:ascii="仿宋" w:hAnsi="仿宋"/>
          <w:szCs w:val="28"/>
        </w:rPr>
        <w:t>10.2.</w:t>
      </w:r>
      <w:r>
        <w:rPr>
          <w:rFonts w:hint="eastAsia" w:ascii="仿宋" w:hAnsi="仿宋"/>
          <w:szCs w:val="28"/>
        </w:rPr>
        <w:t>3</w:t>
      </w:r>
      <w:r>
        <w:rPr>
          <w:rFonts w:hint="eastAsia" w:cs="仿宋"/>
          <w:szCs w:val="28"/>
          <w:lang w:val="zh-CN"/>
        </w:rPr>
        <w:t>演练范围与频次</w:t>
      </w:r>
      <w:bookmarkEnd w:id="663"/>
    </w:p>
    <w:p>
      <w:pPr>
        <w:spacing w:after="0" w:line="360" w:lineRule="auto"/>
        <w:ind w:firstLine="482"/>
        <w:rPr>
          <w:rFonts w:eastAsia="仿宋_GB2312"/>
          <w:sz w:val="24"/>
        </w:rPr>
      </w:pPr>
      <w:r>
        <w:rPr>
          <w:rFonts w:hint="eastAsia" w:eastAsia="仿宋_GB2312"/>
          <w:sz w:val="24"/>
        </w:rPr>
        <w:t>1）单项演练由各应急处置组每年组织1次；</w:t>
      </w:r>
    </w:p>
    <w:p>
      <w:pPr>
        <w:spacing w:after="0" w:line="360" w:lineRule="auto"/>
        <w:ind w:firstLine="482"/>
        <w:rPr>
          <w:rFonts w:eastAsia="仿宋_GB2312"/>
          <w:sz w:val="24"/>
        </w:rPr>
      </w:pPr>
      <w:r>
        <w:rPr>
          <w:rFonts w:hint="eastAsia" w:eastAsia="仿宋_GB2312"/>
          <w:sz w:val="24"/>
        </w:rPr>
        <w:t>2）综合演练由应急指挥部每年组织1次；</w:t>
      </w:r>
    </w:p>
    <w:p>
      <w:pPr>
        <w:spacing w:after="0" w:line="360" w:lineRule="auto"/>
        <w:ind w:firstLine="482"/>
        <w:rPr>
          <w:rFonts w:eastAsia="仿宋_GB2312"/>
          <w:sz w:val="24"/>
        </w:rPr>
      </w:pPr>
      <w:r>
        <w:rPr>
          <w:rFonts w:hint="eastAsia" w:eastAsia="仿宋_GB2312"/>
          <w:sz w:val="24"/>
        </w:rPr>
        <w:t>3）联合演练由应急指挥部联合外部救援机构每年组织1次。</w:t>
      </w:r>
    </w:p>
    <w:p>
      <w:pPr>
        <w:pStyle w:val="6"/>
        <w:rPr>
          <w:rFonts w:ascii="仿宋" w:hAnsi="仿宋"/>
          <w:sz w:val="28"/>
          <w:szCs w:val="28"/>
        </w:rPr>
      </w:pPr>
      <w:bookmarkStart w:id="664" w:name="_Toc74856064"/>
      <w:bookmarkStart w:id="665" w:name="_Toc8218"/>
      <w:bookmarkStart w:id="666" w:name="_Toc466379511"/>
      <w:bookmarkStart w:id="667" w:name="_Toc522025713"/>
      <w:bookmarkStart w:id="668" w:name="_Toc24513"/>
      <w:bookmarkStart w:id="669" w:name="_Toc21940"/>
      <w:r>
        <w:rPr>
          <w:rFonts w:ascii="仿宋" w:hAnsi="仿宋"/>
          <w:sz w:val="28"/>
          <w:szCs w:val="28"/>
        </w:rPr>
        <w:t>10.3</w:t>
      </w:r>
      <w:r>
        <w:rPr>
          <w:rFonts w:hint="eastAsia" w:ascii="仿宋" w:hAnsi="仿宋"/>
          <w:sz w:val="28"/>
          <w:szCs w:val="28"/>
        </w:rPr>
        <w:t>记录与考核</w:t>
      </w:r>
      <w:bookmarkEnd w:id="664"/>
      <w:bookmarkEnd w:id="665"/>
      <w:bookmarkEnd w:id="666"/>
      <w:bookmarkEnd w:id="667"/>
      <w:bookmarkEnd w:id="668"/>
      <w:bookmarkEnd w:id="669"/>
    </w:p>
    <w:p>
      <w:pPr>
        <w:widowControl w:val="0"/>
        <w:spacing w:line="360" w:lineRule="auto"/>
        <w:ind w:firstLine="480"/>
        <w:jc w:val="both"/>
        <w:rPr>
          <w:rFonts w:ascii="仿宋" w:hAnsi="仿宋"/>
          <w:lang w:val="en-GB"/>
        </w:rPr>
        <w:sectPr>
          <w:pgSz w:w="11906" w:h="16838"/>
          <w:pgMar w:top="1440" w:right="1800" w:bottom="1440" w:left="1800" w:header="708" w:footer="708" w:gutter="0"/>
          <w:cols w:space="720" w:num="1"/>
          <w:docGrid w:linePitch="360" w:charSpace="0"/>
        </w:sectPr>
      </w:pPr>
      <w:r>
        <w:rPr>
          <w:rFonts w:hint="eastAsia" w:eastAsia="仿宋_GB2312"/>
          <w:sz w:val="24"/>
        </w:rPr>
        <w:t>在每次组织培训和演练时应对培训和演练的内容以影像、图片、方案等方式进行记录；在培训和演练结束后进行讲评和总结，发现环境污染事件应急预案中存在的问题，并对发现的问题进行评估。提出整改意见，在此基础上，对预案进行修正、补充、完善，使预案进一步合理化后向相关部门备案，同时，通过演练，发现污染事件处置器具、处置设施等方面可能存在的问题，及时整改、及时备案。</w:t>
      </w:r>
    </w:p>
    <w:p>
      <w:pPr>
        <w:pStyle w:val="5"/>
        <w:rPr>
          <w:rFonts w:ascii="仿宋" w:hAnsi="仿宋"/>
          <w:sz w:val="28"/>
          <w:szCs w:val="28"/>
        </w:rPr>
      </w:pPr>
      <w:bookmarkStart w:id="670" w:name="_Toc466379512"/>
      <w:bookmarkStart w:id="671" w:name="_Toc16774"/>
      <w:bookmarkStart w:id="672" w:name="_Toc522025714"/>
      <w:bookmarkStart w:id="673" w:name="_Toc74856065"/>
      <w:bookmarkStart w:id="674" w:name="_Toc14940"/>
      <w:r>
        <w:rPr>
          <w:rFonts w:ascii="仿宋" w:hAnsi="仿宋"/>
          <w:sz w:val="28"/>
          <w:szCs w:val="28"/>
        </w:rPr>
        <w:t>1</w:t>
      </w:r>
      <w:bookmarkEnd w:id="670"/>
      <w:bookmarkEnd w:id="671"/>
      <w:bookmarkEnd w:id="672"/>
      <w:bookmarkStart w:id="675" w:name="_Toc11276"/>
      <w:bookmarkStart w:id="676" w:name="_Toc522025718"/>
      <w:bookmarkStart w:id="677" w:name="_Toc466379516"/>
      <w:bookmarkStart w:id="678" w:name="_Toc16486"/>
      <w:r>
        <w:rPr>
          <w:rFonts w:ascii="仿宋" w:hAnsi="仿宋"/>
          <w:sz w:val="28"/>
          <w:szCs w:val="28"/>
        </w:rPr>
        <w:t>1</w:t>
      </w:r>
      <w:r>
        <w:rPr>
          <w:rFonts w:hint="eastAsia" w:ascii="仿宋" w:hAnsi="仿宋"/>
          <w:sz w:val="28"/>
          <w:szCs w:val="28"/>
        </w:rPr>
        <w:t>.</w:t>
      </w:r>
      <w:r>
        <w:rPr>
          <w:rFonts w:ascii="仿宋" w:hAnsi="仿宋"/>
          <w:sz w:val="28"/>
          <w:szCs w:val="28"/>
        </w:rPr>
        <w:t>奖惩</w:t>
      </w:r>
      <w:bookmarkEnd w:id="673"/>
      <w:bookmarkEnd w:id="674"/>
      <w:bookmarkEnd w:id="675"/>
    </w:p>
    <w:p>
      <w:pPr>
        <w:pStyle w:val="6"/>
        <w:rPr>
          <w:rFonts w:ascii="仿宋" w:hAnsi="仿宋"/>
          <w:sz w:val="28"/>
          <w:szCs w:val="28"/>
        </w:rPr>
      </w:pPr>
      <w:bookmarkStart w:id="679" w:name="_Toc466379513"/>
      <w:bookmarkStart w:id="680" w:name="_Toc17210"/>
      <w:bookmarkStart w:id="681" w:name="_Toc522025715"/>
      <w:bookmarkStart w:id="682" w:name="_Toc22764"/>
      <w:bookmarkStart w:id="683" w:name="_Toc74856066"/>
      <w:bookmarkStart w:id="684" w:name="_Toc517"/>
      <w:r>
        <w:rPr>
          <w:rFonts w:ascii="仿宋" w:hAnsi="仿宋"/>
          <w:sz w:val="28"/>
          <w:szCs w:val="28"/>
        </w:rPr>
        <w:t>11.1</w:t>
      </w:r>
      <w:r>
        <w:rPr>
          <w:rFonts w:hint="eastAsia" w:ascii="仿宋" w:hAnsi="仿宋"/>
          <w:sz w:val="28"/>
          <w:szCs w:val="28"/>
        </w:rPr>
        <w:t>事件应急救援工作实行责任追究制</w:t>
      </w:r>
      <w:bookmarkEnd w:id="679"/>
      <w:bookmarkEnd w:id="680"/>
      <w:bookmarkEnd w:id="681"/>
      <w:bookmarkEnd w:id="682"/>
      <w:bookmarkEnd w:id="683"/>
      <w:bookmarkEnd w:id="684"/>
    </w:p>
    <w:p>
      <w:pPr>
        <w:widowControl w:val="0"/>
        <w:spacing w:after="0" w:line="360" w:lineRule="auto"/>
        <w:ind w:firstLine="482"/>
        <w:jc w:val="both"/>
        <w:rPr>
          <w:rFonts w:eastAsia="仿宋_GB2312"/>
          <w:sz w:val="24"/>
        </w:rPr>
      </w:pPr>
      <w:bookmarkStart w:id="685" w:name="_Toc398130488"/>
      <w:r>
        <w:rPr>
          <w:rFonts w:hint="eastAsia" w:eastAsia="仿宋_GB2312"/>
          <w:sz w:val="24"/>
        </w:rPr>
        <w:t>对突发环境事件应急工作中，有下列行为之一的按照公司有关规定，视情节和危害后果给予处分；构成犯罪的，由司法机关依法追究刑事责任。</w:t>
      </w:r>
    </w:p>
    <w:p>
      <w:pPr>
        <w:widowControl w:val="0"/>
        <w:spacing w:after="0" w:line="360" w:lineRule="auto"/>
        <w:ind w:firstLine="482"/>
        <w:jc w:val="both"/>
        <w:rPr>
          <w:rFonts w:eastAsia="仿宋_GB2312"/>
          <w:sz w:val="24"/>
        </w:rPr>
      </w:pPr>
      <w:bookmarkStart w:id="686" w:name="_Toc528530447"/>
      <w:bookmarkStart w:id="687" w:name="_Toc531422069"/>
      <w:bookmarkStart w:id="688" w:name="_Toc515628772"/>
      <w:bookmarkStart w:id="689" w:name="_Toc521149256"/>
      <w:bookmarkStart w:id="690" w:name="_Toc72068795"/>
      <w:r>
        <w:rPr>
          <w:rFonts w:hint="eastAsia" w:eastAsia="仿宋_GB2312"/>
          <w:sz w:val="24"/>
        </w:rPr>
        <w:t>（1）不认真履行环保法律、法规，而引发环境事件的；</w:t>
      </w:r>
      <w:bookmarkEnd w:id="686"/>
      <w:bookmarkEnd w:id="687"/>
      <w:bookmarkEnd w:id="688"/>
      <w:bookmarkEnd w:id="689"/>
      <w:bookmarkEnd w:id="690"/>
    </w:p>
    <w:p>
      <w:pPr>
        <w:widowControl w:val="0"/>
        <w:spacing w:after="0" w:line="360" w:lineRule="auto"/>
        <w:ind w:firstLine="482"/>
        <w:jc w:val="both"/>
        <w:rPr>
          <w:rFonts w:eastAsia="仿宋_GB2312"/>
          <w:sz w:val="24"/>
        </w:rPr>
      </w:pPr>
      <w:r>
        <w:rPr>
          <w:rFonts w:hint="eastAsia" w:eastAsia="仿宋_GB2312"/>
          <w:sz w:val="24"/>
        </w:rPr>
        <w:t>（2）不按照规定制定突发环境事件应急预案，拒绝承担突发环境事件应急准备义务的；</w:t>
      </w:r>
    </w:p>
    <w:p>
      <w:pPr>
        <w:widowControl w:val="0"/>
        <w:spacing w:after="0" w:line="360" w:lineRule="auto"/>
        <w:ind w:firstLine="482"/>
        <w:jc w:val="both"/>
        <w:rPr>
          <w:rFonts w:eastAsia="仿宋_GB2312"/>
          <w:sz w:val="24"/>
        </w:rPr>
      </w:pPr>
      <w:bookmarkStart w:id="691" w:name="_Toc521149257"/>
      <w:bookmarkStart w:id="692" w:name="_Toc531422070"/>
      <w:bookmarkStart w:id="693" w:name="_Toc515628773"/>
      <w:bookmarkStart w:id="694" w:name="_Toc528530448"/>
      <w:bookmarkStart w:id="695" w:name="_Toc72068796"/>
      <w:r>
        <w:rPr>
          <w:rFonts w:hint="eastAsia" w:eastAsia="仿宋_GB2312"/>
          <w:sz w:val="24"/>
        </w:rPr>
        <w:t>（3）不按规定报告、通报突发环境事件真实情况的；</w:t>
      </w:r>
      <w:bookmarkEnd w:id="691"/>
      <w:bookmarkEnd w:id="692"/>
      <w:bookmarkEnd w:id="693"/>
      <w:bookmarkEnd w:id="694"/>
      <w:bookmarkEnd w:id="695"/>
    </w:p>
    <w:p>
      <w:pPr>
        <w:widowControl w:val="0"/>
        <w:spacing w:after="0" w:line="360" w:lineRule="auto"/>
        <w:ind w:firstLine="482"/>
        <w:jc w:val="both"/>
        <w:rPr>
          <w:rFonts w:eastAsia="仿宋_GB2312"/>
          <w:sz w:val="24"/>
        </w:rPr>
      </w:pPr>
      <w:r>
        <w:rPr>
          <w:rFonts w:hint="eastAsia" w:eastAsia="仿宋_GB2312"/>
          <w:sz w:val="24"/>
        </w:rPr>
        <w:t>（4）拒不执行突发环境事件应急预案，不服从命令和指挥，或者在事件应急响应时临阵脱逃的；</w:t>
      </w:r>
    </w:p>
    <w:p>
      <w:pPr>
        <w:widowControl w:val="0"/>
        <w:spacing w:after="0" w:line="360" w:lineRule="auto"/>
        <w:ind w:firstLine="482"/>
        <w:jc w:val="both"/>
        <w:rPr>
          <w:rFonts w:eastAsia="仿宋_GB2312"/>
          <w:sz w:val="24"/>
        </w:rPr>
      </w:pPr>
      <w:bookmarkStart w:id="696" w:name="_Toc528530449"/>
      <w:bookmarkStart w:id="697" w:name="_Toc531422071"/>
      <w:bookmarkStart w:id="698" w:name="_Toc515628774"/>
      <w:bookmarkStart w:id="699" w:name="_Toc72068797"/>
      <w:bookmarkStart w:id="700" w:name="_Toc521149258"/>
      <w:r>
        <w:rPr>
          <w:rFonts w:hint="eastAsia" w:eastAsia="仿宋_GB2312"/>
          <w:sz w:val="24"/>
        </w:rPr>
        <w:t>（5）盗窃、贪污、挪用环境事件应急工作资金、装备和物资的；</w:t>
      </w:r>
      <w:bookmarkEnd w:id="696"/>
      <w:bookmarkEnd w:id="697"/>
      <w:bookmarkEnd w:id="698"/>
      <w:bookmarkEnd w:id="699"/>
      <w:bookmarkEnd w:id="700"/>
    </w:p>
    <w:p>
      <w:pPr>
        <w:widowControl w:val="0"/>
        <w:spacing w:after="0" w:line="360" w:lineRule="auto"/>
        <w:ind w:firstLine="482"/>
        <w:jc w:val="both"/>
        <w:rPr>
          <w:rFonts w:eastAsia="仿宋_GB2312"/>
          <w:sz w:val="24"/>
        </w:rPr>
      </w:pPr>
      <w:r>
        <w:rPr>
          <w:rFonts w:hint="eastAsia" w:eastAsia="仿宋_GB2312"/>
          <w:sz w:val="24"/>
        </w:rPr>
        <w:t>（6）阻碍环境事件应急工作人员依法执行职务或者进行破坏活动的；</w:t>
      </w:r>
    </w:p>
    <w:p>
      <w:pPr>
        <w:widowControl w:val="0"/>
        <w:spacing w:after="0" w:line="360" w:lineRule="auto"/>
        <w:ind w:firstLine="482"/>
        <w:jc w:val="both"/>
        <w:rPr>
          <w:rFonts w:eastAsia="仿宋_GB2312"/>
          <w:sz w:val="24"/>
        </w:rPr>
      </w:pPr>
      <w:r>
        <w:rPr>
          <w:rFonts w:hint="eastAsia" w:eastAsia="仿宋_GB2312"/>
          <w:sz w:val="24"/>
        </w:rPr>
        <w:t>（7）散布谣言，扰乱社会秩序的；</w:t>
      </w:r>
    </w:p>
    <w:p>
      <w:pPr>
        <w:widowControl w:val="0"/>
        <w:spacing w:after="0" w:line="360" w:lineRule="auto"/>
        <w:ind w:firstLine="482"/>
        <w:jc w:val="both"/>
        <w:rPr>
          <w:rFonts w:eastAsia="仿宋_GB2312"/>
          <w:sz w:val="24"/>
        </w:rPr>
      </w:pPr>
      <w:r>
        <w:rPr>
          <w:rFonts w:hint="eastAsia" w:eastAsia="仿宋_GB2312"/>
          <w:sz w:val="24"/>
        </w:rPr>
        <w:t>（8）有其他对环境事件应急工作造成危害行为的。</w:t>
      </w:r>
    </w:p>
    <w:p>
      <w:pPr>
        <w:pStyle w:val="6"/>
        <w:rPr>
          <w:rFonts w:ascii="仿宋" w:hAnsi="仿宋"/>
          <w:sz w:val="28"/>
          <w:szCs w:val="28"/>
        </w:rPr>
      </w:pPr>
      <w:bookmarkStart w:id="701" w:name="_Toc334"/>
      <w:bookmarkStart w:id="702" w:name="_Toc21262"/>
      <w:bookmarkStart w:id="703" w:name="_Toc21206"/>
      <w:bookmarkStart w:id="704" w:name="_Toc421097887"/>
      <w:bookmarkStart w:id="705" w:name="_Toc466379514"/>
      <w:bookmarkStart w:id="706" w:name="_Toc74856067"/>
      <w:bookmarkStart w:id="707" w:name="_Toc522025716"/>
      <w:bookmarkStart w:id="708" w:name="_Toc421095419"/>
      <w:r>
        <w:rPr>
          <w:rFonts w:ascii="仿宋" w:hAnsi="仿宋"/>
          <w:sz w:val="28"/>
          <w:szCs w:val="28"/>
        </w:rPr>
        <w:t>11.</w:t>
      </w:r>
      <w:bookmarkEnd w:id="685"/>
      <w:r>
        <w:rPr>
          <w:rFonts w:ascii="仿宋" w:hAnsi="仿宋"/>
          <w:sz w:val="28"/>
          <w:szCs w:val="28"/>
        </w:rPr>
        <w:t>2</w:t>
      </w:r>
      <w:r>
        <w:rPr>
          <w:rFonts w:hint="eastAsia" w:ascii="仿宋" w:hAnsi="仿宋"/>
          <w:sz w:val="28"/>
          <w:szCs w:val="28"/>
        </w:rPr>
        <w:t>事件应急救援工作实行奖励制</w:t>
      </w:r>
      <w:bookmarkEnd w:id="701"/>
      <w:bookmarkEnd w:id="702"/>
      <w:bookmarkEnd w:id="703"/>
      <w:bookmarkEnd w:id="704"/>
      <w:bookmarkEnd w:id="705"/>
      <w:bookmarkEnd w:id="706"/>
      <w:bookmarkEnd w:id="707"/>
      <w:bookmarkEnd w:id="708"/>
    </w:p>
    <w:p>
      <w:pPr>
        <w:widowControl w:val="0"/>
        <w:spacing w:after="0" w:line="360" w:lineRule="auto"/>
        <w:ind w:firstLine="482"/>
        <w:jc w:val="both"/>
        <w:rPr>
          <w:rFonts w:eastAsia="仿宋_GB2312"/>
          <w:sz w:val="24"/>
        </w:rPr>
      </w:pPr>
      <w:r>
        <w:rPr>
          <w:rFonts w:hint="eastAsia" w:eastAsia="仿宋_GB2312"/>
          <w:sz w:val="24"/>
        </w:rPr>
        <w:t>公司对在突发环境事件应急救援工作中，有下列事迹之一的单位和个人，应依据有关规定给予奖励：</w:t>
      </w:r>
    </w:p>
    <w:p>
      <w:pPr>
        <w:widowControl w:val="0"/>
        <w:spacing w:after="0" w:line="360" w:lineRule="auto"/>
        <w:ind w:firstLine="482"/>
        <w:jc w:val="both"/>
        <w:rPr>
          <w:rFonts w:eastAsia="仿宋_GB2312"/>
          <w:sz w:val="24"/>
        </w:rPr>
      </w:pPr>
      <w:bookmarkStart w:id="709" w:name="_Toc72068799"/>
      <w:bookmarkStart w:id="710" w:name="_Toc515628770"/>
      <w:bookmarkStart w:id="711" w:name="_Toc531422066"/>
      <w:bookmarkStart w:id="712" w:name="_Toc528530444"/>
      <w:bookmarkStart w:id="713" w:name="_Toc521149254"/>
      <w:r>
        <w:rPr>
          <w:rFonts w:hint="eastAsia" w:eastAsia="仿宋_GB2312"/>
          <w:sz w:val="24"/>
        </w:rPr>
        <w:t>（1）出色完成突发环境事件应急处置任务，成绩显著的；</w:t>
      </w:r>
      <w:bookmarkEnd w:id="709"/>
      <w:bookmarkEnd w:id="710"/>
      <w:bookmarkEnd w:id="711"/>
      <w:bookmarkEnd w:id="712"/>
      <w:bookmarkEnd w:id="713"/>
    </w:p>
    <w:p>
      <w:pPr>
        <w:widowControl w:val="0"/>
        <w:spacing w:after="0" w:line="360" w:lineRule="auto"/>
        <w:ind w:firstLine="482"/>
        <w:jc w:val="both"/>
        <w:rPr>
          <w:rFonts w:eastAsia="仿宋_GB2312"/>
          <w:sz w:val="24"/>
        </w:rPr>
      </w:pPr>
      <w:r>
        <w:rPr>
          <w:rFonts w:hint="eastAsia" w:eastAsia="仿宋_GB2312"/>
          <w:sz w:val="24"/>
        </w:rPr>
        <w:t>（2）对防止或挽救突发环境事件有功，使单位和居民的生命财产免受或者减少损失的；</w:t>
      </w:r>
    </w:p>
    <w:p>
      <w:pPr>
        <w:widowControl w:val="0"/>
        <w:spacing w:after="0" w:line="360" w:lineRule="auto"/>
        <w:ind w:firstLine="482"/>
        <w:jc w:val="both"/>
        <w:rPr>
          <w:rFonts w:eastAsia="仿宋_GB2312"/>
          <w:sz w:val="24"/>
        </w:rPr>
      </w:pPr>
      <w:bookmarkStart w:id="714" w:name="_Toc72068800"/>
      <w:bookmarkStart w:id="715" w:name="_Toc531422067"/>
      <w:bookmarkStart w:id="716" w:name="_Toc528530445"/>
      <w:r>
        <w:rPr>
          <w:rFonts w:hint="eastAsia" w:eastAsia="仿宋_GB2312"/>
          <w:sz w:val="24"/>
        </w:rPr>
        <w:t>（3）对事件应急准备与响应提出重大建议，实施效果显著的；</w:t>
      </w:r>
      <w:bookmarkEnd w:id="714"/>
      <w:bookmarkEnd w:id="715"/>
      <w:bookmarkEnd w:id="716"/>
    </w:p>
    <w:p>
      <w:pPr>
        <w:widowControl w:val="0"/>
        <w:spacing w:after="0" w:line="360" w:lineRule="auto"/>
        <w:ind w:firstLine="482"/>
        <w:jc w:val="both"/>
        <w:rPr>
          <w:rFonts w:eastAsia="仿宋_GB2312"/>
          <w:sz w:val="24"/>
        </w:rPr>
        <w:sectPr>
          <w:pgSz w:w="11906" w:h="16838"/>
          <w:pgMar w:top="1440" w:right="1800" w:bottom="1440" w:left="1800" w:header="708" w:footer="708" w:gutter="0"/>
          <w:cols w:space="720" w:num="1"/>
          <w:docGrid w:linePitch="360" w:charSpace="0"/>
        </w:sectPr>
      </w:pPr>
      <w:r>
        <w:rPr>
          <w:rFonts w:hint="eastAsia" w:eastAsia="仿宋_GB2312"/>
          <w:sz w:val="24"/>
        </w:rPr>
        <w:t>（4）有其他特殊贡献的。</w:t>
      </w:r>
    </w:p>
    <w:p>
      <w:pPr>
        <w:pStyle w:val="5"/>
        <w:rPr>
          <w:rFonts w:ascii="仿宋" w:hAnsi="仿宋"/>
          <w:sz w:val="28"/>
          <w:szCs w:val="28"/>
        </w:rPr>
      </w:pPr>
      <w:bookmarkStart w:id="717" w:name="_Toc74856068"/>
      <w:bookmarkStart w:id="718" w:name="_Toc466379515"/>
      <w:bookmarkStart w:id="719" w:name="_Toc522025717"/>
      <w:bookmarkStart w:id="720" w:name="_Toc29367"/>
      <w:bookmarkStart w:id="721" w:name="_Toc7315"/>
      <w:bookmarkStart w:id="722" w:name="_Toc24099"/>
      <w:r>
        <w:rPr>
          <w:rFonts w:ascii="仿宋" w:hAnsi="仿宋"/>
          <w:sz w:val="28"/>
          <w:szCs w:val="28"/>
        </w:rPr>
        <w:t>12</w:t>
      </w:r>
      <w:r>
        <w:rPr>
          <w:rFonts w:hint="eastAsia" w:ascii="仿宋" w:hAnsi="仿宋"/>
          <w:sz w:val="28"/>
          <w:szCs w:val="28"/>
        </w:rPr>
        <w:t>.预案的评审、备案、发布和更新</w:t>
      </w:r>
      <w:bookmarkEnd w:id="717"/>
      <w:bookmarkEnd w:id="718"/>
      <w:bookmarkEnd w:id="719"/>
      <w:bookmarkEnd w:id="720"/>
      <w:bookmarkEnd w:id="721"/>
      <w:bookmarkEnd w:id="722"/>
    </w:p>
    <w:p>
      <w:pPr>
        <w:pStyle w:val="6"/>
        <w:rPr>
          <w:rFonts w:hint="eastAsia" w:ascii="Times New Roman" w:hAnsi="Times New Roman" w:cs="Times New Roman"/>
        </w:rPr>
      </w:pPr>
      <w:bookmarkStart w:id="723" w:name="_Toc74856069"/>
      <w:bookmarkStart w:id="724" w:name="_Toc11284"/>
      <w:r>
        <w:rPr>
          <w:rFonts w:hint="eastAsia" w:ascii="Times New Roman" w:hAnsi="Times New Roman" w:cs="Times New Roman"/>
        </w:rPr>
        <w:t>12.1预案的评审、发布及备案</w:t>
      </w:r>
      <w:bookmarkEnd w:id="723"/>
      <w:bookmarkEnd w:id="724"/>
    </w:p>
    <w:p>
      <w:pPr>
        <w:widowControl w:val="0"/>
        <w:spacing w:after="0" w:line="360" w:lineRule="auto"/>
        <w:ind w:firstLine="482"/>
        <w:jc w:val="both"/>
        <w:rPr>
          <w:rFonts w:eastAsia="仿宋_GB2312"/>
          <w:sz w:val="24"/>
        </w:rPr>
      </w:pPr>
      <w:r>
        <w:rPr>
          <w:rFonts w:hint="eastAsia" w:eastAsia="仿宋_GB2312"/>
          <w:sz w:val="24"/>
        </w:rPr>
        <w:t>本预案应由公司组织，邀请上级主管部门、环保部门、周边公众代表、专家等对预案进行外部评审。</w:t>
      </w:r>
    </w:p>
    <w:p>
      <w:pPr>
        <w:widowControl w:val="0"/>
        <w:spacing w:after="0" w:line="360" w:lineRule="auto"/>
        <w:ind w:firstLine="482"/>
        <w:jc w:val="both"/>
        <w:rPr>
          <w:rFonts w:eastAsia="仿宋_GB2312"/>
          <w:sz w:val="24"/>
        </w:rPr>
      </w:pPr>
      <w:r>
        <w:rPr>
          <w:rFonts w:hint="eastAsia" w:eastAsia="仿宋_GB2312"/>
          <w:sz w:val="24"/>
        </w:rPr>
        <w:t>本预案按照规定经评审完善后，由公司负责人签署后发布实施，并报文山州生态环境局西畴分局备案。</w:t>
      </w:r>
    </w:p>
    <w:p>
      <w:pPr>
        <w:widowControl w:val="0"/>
        <w:spacing w:after="0" w:line="360" w:lineRule="auto"/>
        <w:ind w:firstLine="482"/>
        <w:jc w:val="both"/>
        <w:rPr>
          <w:rFonts w:eastAsia="仿宋_GB2312"/>
          <w:sz w:val="24"/>
        </w:rPr>
      </w:pPr>
      <w:r>
        <w:rPr>
          <w:rFonts w:hint="eastAsia" w:eastAsia="仿宋_GB2312"/>
          <w:sz w:val="24"/>
        </w:rPr>
        <w:t>评审时应注意如下问题：公司的突发环境事件应急预案是否得到各部门的充分的重视；各应急处置小组组长和应急救援人员是否理解各自的职责；企业的风险有无变化；应急预案是否根据企业的布局和工艺变化而更新；员工是否经过培训；预案中的联系方式是否正确；是否将应急管理融入企业的整体管理中等。</w:t>
      </w:r>
    </w:p>
    <w:p>
      <w:pPr>
        <w:pStyle w:val="6"/>
      </w:pPr>
      <w:bookmarkStart w:id="725" w:name="_Toc19605"/>
      <w:bookmarkStart w:id="726" w:name="_Toc16101"/>
      <w:bookmarkStart w:id="727" w:name="_Toc2394"/>
      <w:bookmarkStart w:id="728" w:name="_Toc2469"/>
      <w:bookmarkStart w:id="729" w:name="_Toc74856070"/>
      <w:bookmarkStart w:id="730" w:name="_Toc14178"/>
      <w:r>
        <w:rPr>
          <w:rFonts w:hint="eastAsia"/>
        </w:rPr>
        <w:t>12.2预案的更新</w:t>
      </w:r>
      <w:bookmarkEnd w:id="725"/>
      <w:bookmarkEnd w:id="726"/>
      <w:bookmarkEnd w:id="727"/>
      <w:bookmarkEnd w:id="728"/>
      <w:bookmarkEnd w:id="729"/>
      <w:bookmarkEnd w:id="730"/>
    </w:p>
    <w:p>
      <w:pPr>
        <w:pStyle w:val="76"/>
        <w:spacing w:line="360" w:lineRule="auto"/>
        <w:ind w:firstLine="0" w:firstLineChars="0"/>
        <w:outlineLvl w:val="2"/>
        <w:rPr>
          <w:rFonts w:ascii="Times New Roman" w:eastAsia="仿宋"/>
          <w:b/>
          <w:sz w:val="28"/>
          <w:szCs w:val="28"/>
        </w:rPr>
      </w:pPr>
      <w:bookmarkStart w:id="731" w:name="_Toc74856071"/>
      <w:bookmarkStart w:id="732" w:name="_Toc3764"/>
      <w:bookmarkStart w:id="733" w:name="_Toc440274121"/>
      <w:bookmarkStart w:id="734" w:name="_Toc425812244"/>
      <w:bookmarkStart w:id="735" w:name="_Toc16748"/>
      <w:bookmarkStart w:id="736" w:name="_Toc21984"/>
      <w:bookmarkStart w:id="737" w:name="_Toc19577"/>
      <w:r>
        <w:rPr>
          <w:rFonts w:ascii="Times New Roman" w:eastAsia="仿宋"/>
          <w:b/>
          <w:sz w:val="28"/>
          <w:szCs w:val="28"/>
        </w:rPr>
        <w:t>12.</w:t>
      </w:r>
      <w:r>
        <w:rPr>
          <w:rFonts w:hint="eastAsia" w:ascii="Times New Roman" w:eastAsia="仿宋"/>
          <w:b/>
          <w:sz w:val="28"/>
          <w:szCs w:val="28"/>
        </w:rPr>
        <w:t>2</w:t>
      </w:r>
      <w:r>
        <w:rPr>
          <w:rFonts w:ascii="Times New Roman" w:eastAsia="仿宋"/>
          <w:b/>
          <w:sz w:val="28"/>
          <w:szCs w:val="28"/>
        </w:rPr>
        <w:t>.1</w:t>
      </w:r>
      <w:r>
        <w:rPr>
          <w:rFonts w:hint="eastAsia" w:ascii="Times New Roman" w:eastAsia="仿宋"/>
          <w:b/>
          <w:sz w:val="28"/>
          <w:szCs w:val="28"/>
        </w:rPr>
        <w:t>时限要求</w:t>
      </w:r>
      <w:bookmarkEnd w:id="731"/>
    </w:p>
    <w:p>
      <w:pPr>
        <w:spacing w:line="360" w:lineRule="auto"/>
        <w:ind w:firstLine="480"/>
        <w:rPr>
          <w:rFonts w:eastAsia="仿宋_GB2312"/>
          <w:sz w:val="24"/>
        </w:rPr>
      </w:pPr>
      <w:r>
        <w:rPr>
          <w:rFonts w:hint="eastAsia" w:eastAsia="仿宋_GB2312"/>
          <w:sz w:val="24"/>
        </w:rPr>
        <w:t>针对演练中发现的问题和加油站生产工艺变化，预案应及时修订，预案修订间隔不得超过三年。预案修订由应急办公室负责组织，向公司报批实施。</w:t>
      </w:r>
    </w:p>
    <w:p>
      <w:pPr>
        <w:pStyle w:val="76"/>
        <w:spacing w:line="360" w:lineRule="auto"/>
        <w:ind w:firstLine="0" w:firstLineChars="0"/>
        <w:outlineLvl w:val="2"/>
        <w:rPr>
          <w:rFonts w:ascii="Times New Roman" w:eastAsia="仿宋"/>
          <w:b/>
          <w:sz w:val="28"/>
          <w:szCs w:val="28"/>
        </w:rPr>
      </w:pPr>
      <w:bookmarkStart w:id="738" w:name="_Toc74856072"/>
      <w:r>
        <w:rPr>
          <w:rFonts w:ascii="Times New Roman" w:eastAsia="仿宋"/>
          <w:b/>
          <w:sz w:val="28"/>
          <w:szCs w:val="28"/>
        </w:rPr>
        <w:t>12.</w:t>
      </w:r>
      <w:r>
        <w:rPr>
          <w:rFonts w:hint="eastAsia" w:ascii="Times New Roman" w:eastAsia="仿宋"/>
          <w:b/>
          <w:sz w:val="28"/>
          <w:szCs w:val="28"/>
        </w:rPr>
        <w:t>2</w:t>
      </w:r>
      <w:r>
        <w:rPr>
          <w:rFonts w:ascii="Times New Roman" w:eastAsia="仿宋"/>
          <w:b/>
          <w:sz w:val="28"/>
          <w:szCs w:val="28"/>
        </w:rPr>
        <w:t>.2</w:t>
      </w:r>
      <w:r>
        <w:rPr>
          <w:rFonts w:hint="eastAsia" w:ascii="Times New Roman" w:eastAsia="仿宋"/>
          <w:b/>
          <w:sz w:val="28"/>
          <w:szCs w:val="28"/>
        </w:rPr>
        <w:t>预案更新</w:t>
      </w:r>
      <w:bookmarkEnd w:id="738"/>
    </w:p>
    <w:p>
      <w:pPr>
        <w:widowControl w:val="0"/>
        <w:spacing w:after="0" w:line="360" w:lineRule="auto"/>
        <w:ind w:firstLine="482"/>
        <w:jc w:val="both"/>
        <w:rPr>
          <w:rFonts w:eastAsia="仿宋_GB2312"/>
          <w:sz w:val="24"/>
        </w:rPr>
      </w:pPr>
      <w:r>
        <w:rPr>
          <w:rFonts w:hint="eastAsia" w:eastAsia="仿宋_GB2312"/>
          <w:sz w:val="24"/>
        </w:rPr>
        <w:t>因下列原因出现不符合项时，应及时对本预案进行修订更新：</w:t>
      </w:r>
    </w:p>
    <w:p>
      <w:pPr>
        <w:widowControl w:val="0"/>
        <w:spacing w:after="0" w:line="360" w:lineRule="auto"/>
        <w:ind w:firstLine="482"/>
        <w:jc w:val="both"/>
        <w:rPr>
          <w:rFonts w:eastAsia="仿宋_GB2312"/>
          <w:sz w:val="24"/>
        </w:rPr>
      </w:pPr>
      <w:bookmarkStart w:id="739" w:name="_Toc72068806"/>
      <w:r>
        <w:rPr>
          <w:rFonts w:hint="eastAsia" w:eastAsia="仿宋_GB2312"/>
          <w:sz w:val="24"/>
        </w:rPr>
        <w:t>（1）本单位生产工艺和技术发生变化的；</w:t>
      </w:r>
      <w:bookmarkEnd w:id="739"/>
    </w:p>
    <w:p>
      <w:pPr>
        <w:widowControl w:val="0"/>
        <w:spacing w:after="0" w:line="360" w:lineRule="auto"/>
        <w:ind w:firstLine="482"/>
        <w:jc w:val="both"/>
        <w:rPr>
          <w:rFonts w:eastAsia="仿宋_GB2312"/>
          <w:sz w:val="24"/>
        </w:rPr>
      </w:pPr>
      <w:r>
        <w:rPr>
          <w:rFonts w:hint="eastAsia" w:eastAsia="仿宋_GB2312"/>
          <w:sz w:val="24"/>
        </w:rPr>
        <w:t>（2）相关单位和人员发生变化或者应急组织指挥体系或职责调整的；</w:t>
      </w:r>
    </w:p>
    <w:p>
      <w:pPr>
        <w:widowControl w:val="0"/>
        <w:spacing w:after="0" w:line="360" w:lineRule="auto"/>
        <w:ind w:firstLine="482"/>
        <w:jc w:val="both"/>
        <w:rPr>
          <w:rFonts w:eastAsia="仿宋_GB2312"/>
          <w:sz w:val="24"/>
        </w:rPr>
      </w:pPr>
      <w:bookmarkStart w:id="740" w:name="_Toc72068807"/>
      <w:r>
        <w:rPr>
          <w:rFonts w:hint="eastAsia" w:eastAsia="仿宋_GB2312"/>
          <w:sz w:val="24"/>
        </w:rPr>
        <w:t>（3）周围环境或者环境敏感点发生变化的；</w:t>
      </w:r>
      <w:bookmarkEnd w:id="740"/>
    </w:p>
    <w:p>
      <w:pPr>
        <w:widowControl w:val="0"/>
        <w:spacing w:after="0" w:line="360" w:lineRule="auto"/>
        <w:ind w:firstLine="482"/>
        <w:jc w:val="both"/>
        <w:rPr>
          <w:rFonts w:eastAsia="仿宋_GB2312"/>
          <w:sz w:val="24"/>
        </w:rPr>
      </w:pPr>
      <w:r>
        <w:rPr>
          <w:rFonts w:hint="eastAsia" w:eastAsia="仿宋_GB2312"/>
          <w:sz w:val="24"/>
        </w:rPr>
        <w:t>（4）环境应急预案依据的法律、法规、规章、标准等发生变化的；</w:t>
      </w:r>
    </w:p>
    <w:p>
      <w:pPr>
        <w:widowControl w:val="0"/>
        <w:spacing w:after="0" w:line="360" w:lineRule="auto"/>
        <w:ind w:firstLine="482"/>
        <w:jc w:val="both"/>
        <w:rPr>
          <w:rFonts w:eastAsia="仿宋_GB2312"/>
          <w:sz w:val="24"/>
        </w:rPr>
      </w:pPr>
      <w:r>
        <w:rPr>
          <w:rFonts w:hint="eastAsia" w:eastAsia="仿宋_GB2312"/>
          <w:sz w:val="24"/>
        </w:rPr>
        <w:t>（5）预案演练或突发环境事件应急处置中发现不符合项的；</w:t>
      </w:r>
    </w:p>
    <w:p>
      <w:pPr>
        <w:widowControl w:val="0"/>
        <w:spacing w:after="0" w:line="360" w:lineRule="auto"/>
        <w:ind w:firstLine="482"/>
        <w:jc w:val="both"/>
        <w:rPr>
          <w:rFonts w:eastAsia="仿宋_GB2312"/>
          <w:sz w:val="24"/>
        </w:rPr>
      </w:pPr>
      <w:r>
        <w:rPr>
          <w:rFonts w:hint="eastAsia" w:eastAsia="仿宋_GB2312"/>
          <w:sz w:val="24"/>
        </w:rPr>
        <w:t>（6）其他原因。</w:t>
      </w:r>
    </w:p>
    <w:bookmarkEnd w:id="732"/>
    <w:bookmarkEnd w:id="733"/>
    <w:bookmarkEnd w:id="734"/>
    <w:bookmarkEnd w:id="735"/>
    <w:bookmarkEnd w:id="736"/>
    <w:bookmarkEnd w:id="737"/>
    <w:p>
      <w:pPr>
        <w:ind w:left="560"/>
      </w:pPr>
    </w:p>
    <w:p>
      <w:pPr>
        <w:ind w:left="560"/>
      </w:pPr>
    </w:p>
    <w:p>
      <w:pPr>
        <w:ind w:left="560"/>
      </w:pPr>
    </w:p>
    <w:p>
      <w:pPr>
        <w:ind w:left="560"/>
      </w:pPr>
    </w:p>
    <w:bookmarkEnd w:id="676"/>
    <w:bookmarkEnd w:id="677"/>
    <w:bookmarkEnd w:id="678"/>
    <w:p>
      <w:pPr>
        <w:pStyle w:val="5"/>
        <w:rPr>
          <w:rFonts w:ascii="仿宋" w:hAnsi="仿宋"/>
          <w:sz w:val="28"/>
          <w:szCs w:val="28"/>
        </w:rPr>
      </w:pPr>
      <w:bookmarkStart w:id="741" w:name="_Toc74856073"/>
      <w:bookmarkStart w:id="742" w:name="_Toc23715"/>
      <w:bookmarkStart w:id="743" w:name="_Toc32463"/>
      <w:r>
        <w:rPr>
          <w:rFonts w:ascii="仿宋" w:hAnsi="仿宋"/>
          <w:sz w:val="28"/>
          <w:szCs w:val="28"/>
        </w:rPr>
        <w:t>13</w:t>
      </w:r>
      <w:r>
        <w:rPr>
          <w:rFonts w:hint="eastAsia" w:ascii="仿宋" w:hAnsi="仿宋"/>
          <w:sz w:val="28"/>
          <w:szCs w:val="28"/>
        </w:rPr>
        <w:t>.预案的实施与生效</w:t>
      </w:r>
      <w:bookmarkEnd w:id="741"/>
      <w:bookmarkEnd w:id="742"/>
      <w:bookmarkEnd w:id="743"/>
    </w:p>
    <w:p>
      <w:pPr>
        <w:spacing w:line="360" w:lineRule="auto"/>
        <w:ind w:firstLine="480"/>
        <w:rPr>
          <w:rFonts w:eastAsia="仿宋_GB2312"/>
          <w:sz w:val="24"/>
        </w:rPr>
      </w:pPr>
      <w:bookmarkStart w:id="744" w:name="_Toc425812262"/>
      <w:r>
        <w:rPr>
          <w:rFonts w:hint="eastAsia" w:eastAsia="仿宋_GB2312"/>
          <w:sz w:val="24"/>
        </w:rPr>
        <w:t>预案批准发布后，公司组织落实预案中的各项工作，明确各项职责和任务分工，加强应急知识的宣传、教育和培训，定期组织应急预案演练，实现应急预案持续改进，本预案自发布之日起实施。</w:t>
      </w:r>
      <w:bookmarkEnd w:id="744"/>
    </w:p>
    <w:p>
      <w:pPr>
        <w:widowControl w:val="0"/>
        <w:spacing w:line="360" w:lineRule="auto"/>
        <w:jc w:val="both"/>
        <w:rPr>
          <w:rFonts w:ascii="仿宋" w:hAnsi="仿宋"/>
        </w:rPr>
        <w:sectPr>
          <w:pgSz w:w="11906" w:h="16838"/>
          <w:pgMar w:top="1440" w:right="1800" w:bottom="1440" w:left="1800" w:header="708" w:footer="708" w:gutter="0"/>
          <w:cols w:space="720" w:num="1"/>
          <w:docGrid w:linePitch="360" w:charSpace="0"/>
        </w:sectPr>
      </w:pPr>
    </w:p>
    <w:p>
      <w:pPr>
        <w:pStyle w:val="5"/>
        <w:rPr>
          <w:rFonts w:ascii="仿宋" w:hAnsi="仿宋"/>
          <w:sz w:val="28"/>
          <w:szCs w:val="28"/>
        </w:rPr>
      </w:pPr>
      <w:bookmarkStart w:id="745" w:name="_Toc3377"/>
      <w:bookmarkStart w:id="746" w:name="_Toc74856074"/>
      <w:bookmarkStart w:id="747" w:name="_Toc3287"/>
      <w:bookmarkStart w:id="748" w:name="_Toc466379517"/>
      <w:bookmarkStart w:id="749" w:name="_Toc522025719"/>
      <w:r>
        <w:rPr>
          <w:rFonts w:ascii="仿宋" w:hAnsi="仿宋"/>
          <w:sz w:val="28"/>
          <w:szCs w:val="28"/>
        </w:rPr>
        <w:t>14</w:t>
      </w:r>
      <w:r>
        <w:rPr>
          <w:rFonts w:hint="eastAsia" w:ascii="仿宋" w:hAnsi="仿宋"/>
          <w:sz w:val="28"/>
          <w:szCs w:val="28"/>
        </w:rPr>
        <w:t>.附则   术语和定义</w:t>
      </w:r>
      <w:bookmarkEnd w:id="745"/>
      <w:bookmarkEnd w:id="746"/>
      <w:bookmarkEnd w:id="747"/>
      <w:bookmarkEnd w:id="748"/>
      <w:bookmarkEnd w:id="749"/>
    </w:p>
    <w:p>
      <w:pPr>
        <w:spacing w:after="0" w:line="360" w:lineRule="auto"/>
        <w:ind w:firstLine="482"/>
        <w:rPr>
          <w:rFonts w:eastAsia="仿宋_GB2312"/>
          <w:sz w:val="24"/>
          <w:szCs w:val="28"/>
        </w:rPr>
      </w:pPr>
      <w:r>
        <w:rPr>
          <w:rFonts w:eastAsia="仿宋_GB2312"/>
          <w:b/>
          <w:sz w:val="24"/>
          <w:szCs w:val="28"/>
        </w:rPr>
        <w:t>环境应急预案：</w:t>
      </w:r>
      <w:r>
        <w:rPr>
          <w:rFonts w:eastAsia="仿宋_GB2312"/>
          <w:sz w:val="24"/>
          <w:szCs w:val="28"/>
        </w:rPr>
        <w:t>针对可能发生的环境污染事件，为迅速、有序地开展环境应急行动而预先制定的行动方案。</w:t>
      </w:r>
    </w:p>
    <w:p>
      <w:pPr>
        <w:spacing w:after="0" w:line="360" w:lineRule="auto"/>
        <w:ind w:firstLine="482"/>
        <w:rPr>
          <w:rFonts w:eastAsia="仿宋_GB2312"/>
          <w:sz w:val="24"/>
          <w:szCs w:val="28"/>
        </w:rPr>
      </w:pPr>
      <w:r>
        <w:rPr>
          <w:rFonts w:eastAsia="仿宋_GB2312"/>
          <w:b/>
          <w:bCs/>
          <w:sz w:val="24"/>
          <w:szCs w:val="28"/>
        </w:rPr>
        <w:t>危险物质：</w:t>
      </w:r>
      <w:r>
        <w:rPr>
          <w:rFonts w:eastAsia="仿宋_GB2312"/>
          <w:sz w:val="24"/>
          <w:szCs w:val="28"/>
        </w:rPr>
        <w:t>指能导致火灾、爆炸或中毒等危险的一种物质或者若干种物质的混合物。</w:t>
      </w:r>
    </w:p>
    <w:p>
      <w:pPr>
        <w:spacing w:after="0" w:line="360" w:lineRule="auto"/>
        <w:ind w:firstLine="482"/>
        <w:rPr>
          <w:rFonts w:eastAsia="仿宋_GB2312"/>
          <w:sz w:val="24"/>
          <w:szCs w:val="28"/>
        </w:rPr>
      </w:pPr>
      <w:r>
        <w:rPr>
          <w:rFonts w:eastAsia="仿宋_GB2312"/>
          <w:b/>
          <w:bCs/>
          <w:sz w:val="24"/>
          <w:szCs w:val="28"/>
        </w:rPr>
        <w:t>环境污染事件危险源：</w:t>
      </w:r>
      <w:r>
        <w:rPr>
          <w:rFonts w:eastAsia="仿宋_GB2312"/>
          <w:sz w:val="24"/>
          <w:szCs w:val="28"/>
        </w:rPr>
        <w:t>在石油化工企业生产过程中，可能导致发生环境污染事件的污染源，包括生产、贮存、经营、使用、运输的危险物质以及产生、收集、利用、处置危险废物的场所、设备和装置等。</w:t>
      </w:r>
    </w:p>
    <w:p>
      <w:pPr>
        <w:spacing w:after="0" w:line="360" w:lineRule="auto"/>
        <w:ind w:firstLine="482"/>
        <w:rPr>
          <w:rFonts w:eastAsia="仿宋_GB2312"/>
          <w:sz w:val="24"/>
          <w:szCs w:val="28"/>
        </w:rPr>
      </w:pPr>
      <w:r>
        <w:rPr>
          <w:rFonts w:eastAsia="仿宋_GB2312"/>
          <w:b/>
          <w:sz w:val="24"/>
          <w:szCs w:val="28"/>
        </w:rPr>
        <w:t>突发性环境污染事件：</w:t>
      </w:r>
      <w:r>
        <w:rPr>
          <w:rFonts w:eastAsia="仿宋_GB2312"/>
          <w:sz w:val="24"/>
          <w:szCs w:val="28"/>
        </w:rPr>
        <w:t>指突然发生，造成或者可能造成重大人员伤亡、重大财产损失和对全国或者某一地区的经济社会稳定、政治安定构成重大威胁和损害，有重大社会影响的涉及公共安全的环境事件。</w:t>
      </w:r>
    </w:p>
    <w:p>
      <w:pPr>
        <w:spacing w:after="0" w:line="360" w:lineRule="auto"/>
        <w:ind w:firstLine="482"/>
        <w:rPr>
          <w:rFonts w:eastAsia="仿宋_GB2312"/>
          <w:sz w:val="24"/>
          <w:szCs w:val="28"/>
        </w:rPr>
      </w:pPr>
      <w:r>
        <w:rPr>
          <w:rFonts w:eastAsia="仿宋_GB2312"/>
          <w:b/>
          <w:sz w:val="24"/>
          <w:szCs w:val="28"/>
        </w:rPr>
        <w:t>次生、衍生事件：</w:t>
      </w:r>
      <w:r>
        <w:rPr>
          <w:rFonts w:eastAsia="仿宋_GB2312"/>
          <w:sz w:val="24"/>
          <w:szCs w:val="28"/>
        </w:rPr>
        <w:t>是指某一突发公共事件所派生或者因处置不当而引发的其他事件。</w:t>
      </w:r>
    </w:p>
    <w:p>
      <w:pPr>
        <w:spacing w:after="0" w:line="360" w:lineRule="auto"/>
        <w:ind w:firstLine="482"/>
        <w:rPr>
          <w:rFonts w:eastAsia="仿宋_GB2312"/>
          <w:sz w:val="24"/>
          <w:szCs w:val="28"/>
        </w:rPr>
      </w:pPr>
      <w:r>
        <w:rPr>
          <w:rFonts w:eastAsia="仿宋_GB2312"/>
          <w:b/>
          <w:sz w:val="24"/>
          <w:szCs w:val="28"/>
        </w:rPr>
        <w:t>应急状态</w:t>
      </w:r>
      <w:r>
        <w:rPr>
          <w:rFonts w:eastAsia="仿宋_GB2312"/>
          <w:sz w:val="24"/>
          <w:szCs w:val="28"/>
        </w:rPr>
        <w:t>：指为应对已经发生或者可能发生的突发公共事件，在某个地区，政府组织社会各方力量在一段时间内依据非常态下的有关法律法规和应急预案采取的有关措施和所呈现的状态。</w:t>
      </w:r>
    </w:p>
    <w:p>
      <w:pPr>
        <w:spacing w:after="0" w:line="360" w:lineRule="auto"/>
        <w:ind w:firstLine="482"/>
        <w:rPr>
          <w:rFonts w:eastAsia="仿宋_GB2312"/>
          <w:sz w:val="24"/>
          <w:szCs w:val="28"/>
        </w:rPr>
      </w:pPr>
      <w:r>
        <w:rPr>
          <w:rFonts w:eastAsia="仿宋_GB2312"/>
          <w:b/>
          <w:sz w:val="24"/>
          <w:szCs w:val="28"/>
        </w:rPr>
        <w:t>应急联动</w:t>
      </w:r>
      <w:r>
        <w:rPr>
          <w:rFonts w:eastAsia="仿宋_GB2312"/>
          <w:sz w:val="24"/>
          <w:szCs w:val="28"/>
        </w:rPr>
        <w:t>：指在突发公共事件应急处置过程中，市、县人民政府及其部门联动，必要时，与军队、武警部队联动，互相支持，社会各方面密切配合、各司其职、协同作战，全力以赴做好各项应急处置工作的应急工作机制。</w:t>
      </w:r>
    </w:p>
    <w:p>
      <w:pPr>
        <w:spacing w:after="0" w:line="360" w:lineRule="auto"/>
        <w:ind w:firstLine="482"/>
        <w:rPr>
          <w:rFonts w:eastAsia="仿宋_GB2312"/>
          <w:sz w:val="24"/>
          <w:szCs w:val="28"/>
        </w:rPr>
      </w:pPr>
      <w:r>
        <w:rPr>
          <w:rFonts w:eastAsia="仿宋_GB2312"/>
          <w:b/>
          <w:sz w:val="24"/>
          <w:szCs w:val="28"/>
        </w:rPr>
        <w:t>应急准备：</w:t>
      </w:r>
      <w:r>
        <w:rPr>
          <w:rFonts w:eastAsia="仿宋_GB2312"/>
          <w:sz w:val="24"/>
          <w:szCs w:val="28"/>
        </w:rPr>
        <w:t>针对可能发生的事件，为迅速、有序地开展应急行动而预先进行的组织准备和应急保障。</w:t>
      </w:r>
    </w:p>
    <w:p>
      <w:pPr>
        <w:spacing w:after="0" w:line="360" w:lineRule="auto"/>
        <w:ind w:firstLine="482"/>
        <w:rPr>
          <w:rFonts w:eastAsia="仿宋_GB2312"/>
          <w:sz w:val="24"/>
          <w:szCs w:val="28"/>
        </w:rPr>
      </w:pPr>
      <w:r>
        <w:rPr>
          <w:rFonts w:eastAsia="仿宋_GB2312"/>
          <w:b/>
          <w:sz w:val="24"/>
          <w:szCs w:val="28"/>
        </w:rPr>
        <w:t>应急响应：</w:t>
      </w:r>
      <w:r>
        <w:rPr>
          <w:rFonts w:eastAsia="仿宋_GB2312"/>
          <w:sz w:val="24"/>
          <w:szCs w:val="28"/>
        </w:rPr>
        <w:t>事件发生后，有关组织或人员采取的应急行动。</w:t>
      </w:r>
    </w:p>
    <w:p>
      <w:pPr>
        <w:spacing w:after="0" w:line="360" w:lineRule="auto"/>
        <w:ind w:firstLine="482"/>
        <w:rPr>
          <w:rFonts w:eastAsia="仿宋_GB2312"/>
          <w:sz w:val="24"/>
          <w:szCs w:val="28"/>
        </w:rPr>
      </w:pPr>
      <w:r>
        <w:rPr>
          <w:rFonts w:eastAsia="仿宋_GB2312"/>
          <w:b/>
          <w:sz w:val="24"/>
          <w:szCs w:val="28"/>
        </w:rPr>
        <w:t>应急救援：</w:t>
      </w:r>
      <w:r>
        <w:rPr>
          <w:rFonts w:eastAsia="仿宋_GB2312"/>
          <w:sz w:val="24"/>
          <w:szCs w:val="28"/>
        </w:rPr>
        <w:t>在应急响应过程中，为消除、减少事件危害，防止事件扩大或恶化，最大限度地降低事件造成的损失或危害而采取的救援措施或行动。</w:t>
      </w:r>
    </w:p>
    <w:p>
      <w:pPr>
        <w:spacing w:after="0" w:line="360" w:lineRule="auto"/>
        <w:ind w:firstLine="482"/>
        <w:rPr>
          <w:rFonts w:eastAsia="仿宋_GB2312"/>
          <w:sz w:val="24"/>
          <w:szCs w:val="28"/>
        </w:rPr>
      </w:pPr>
      <w:r>
        <w:rPr>
          <w:rFonts w:eastAsia="仿宋_GB2312"/>
          <w:b/>
          <w:sz w:val="24"/>
          <w:szCs w:val="28"/>
        </w:rPr>
        <w:t>应急演习：</w:t>
      </w:r>
      <w:r>
        <w:rPr>
          <w:rFonts w:eastAsia="仿宋_GB2312"/>
          <w:sz w:val="24"/>
          <w:szCs w:val="28"/>
        </w:rPr>
        <w:t>为检验应急计划的有效性、应急准备的完善性、应急响应能力的适应性和应急人员的协同性而进行的一种模拟应急响应的实践活动，根据所涉及的内容和范围的不同，可分为单项演习（演习）、综合演习和指挥部、现场应急组织联合进行的联合演习。</w:t>
      </w:r>
    </w:p>
    <w:p>
      <w:pPr>
        <w:spacing w:after="0" w:line="360" w:lineRule="auto"/>
        <w:ind w:firstLine="482"/>
        <w:rPr>
          <w:rFonts w:eastAsia="仿宋_GB2312"/>
          <w:sz w:val="24"/>
          <w:szCs w:val="28"/>
        </w:rPr>
      </w:pPr>
      <w:bookmarkStart w:id="750" w:name="_Toc30332"/>
      <w:bookmarkStart w:id="751" w:name="_Toc14102"/>
      <w:bookmarkStart w:id="752" w:name="_Toc16251"/>
      <w:bookmarkStart w:id="753" w:name="_Toc377027632"/>
      <w:bookmarkStart w:id="754" w:name="_Toc24905"/>
      <w:bookmarkStart w:id="755" w:name="_Toc5120"/>
      <w:bookmarkStart w:id="756" w:name="_Toc11594"/>
      <w:bookmarkStart w:id="757" w:name="_Toc27839"/>
      <w:bookmarkStart w:id="758" w:name="_Toc417890088"/>
      <w:bookmarkStart w:id="759" w:name="_Toc3208"/>
      <w:bookmarkStart w:id="760" w:name="_Toc26316"/>
      <w:bookmarkStart w:id="761" w:name="_Toc9668"/>
      <w:bookmarkStart w:id="762" w:name="_Toc23850"/>
      <w:bookmarkStart w:id="763" w:name="_Toc3683"/>
      <w:bookmarkStart w:id="764" w:name="_Toc23513"/>
      <w:bookmarkStart w:id="765" w:name="_Toc26611"/>
      <w:r>
        <w:rPr>
          <w:rFonts w:eastAsia="仿宋_GB2312"/>
          <w:b/>
          <w:bCs/>
          <w:sz w:val="24"/>
          <w:szCs w:val="28"/>
        </w:rPr>
        <w:t>应急处置：</w:t>
      </w:r>
      <w:r>
        <w:rPr>
          <w:rFonts w:eastAsia="仿宋_GB2312"/>
          <w:sz w:val="24"/>
          <w:szCs w:val="28"/>
        </w:rPr>
        <w:t>指对即将发生或正在发生或已经发生的突发公共事件所采取的一系列的应急响应以降低损失、影响的处理措施。</w:t>
      </w:r>
    </w:p>
    <w:p>
      <w:pPr>
        <w:spacing w:after="0" w:line="360" w:lineRule="auto"/>
        <w:ind w:firstLine="482"/>
        <w:rPr>
          <w:rFonts w:eastAsia="仿宋_GB2312"/>
          <w:sz w:val="24"/>
          <w:szCs w:val="28"/>
          <w:lang w:val="zh-CN"/>
        </w:rPr>
      </w:pPr>
      <w:r>
        <w:rPr>
          <w:rFonts w:eastAsia="仿宋_GB2312"/>
          <w:b/>
          <w:sz w:val="24"/>
          <w:szCs w:val="28"/>
          <w:lang w:val="zh-CN"/>
        </w:rPr>
        <w:t>环境事件</w:t>
      </w:r>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r>
        <w:rPr>
          <w:rFonts w:eastAsia="仿宋_GB2312"/>
          <w:b/>
          <w:sz w:val="24"/>
          <w:szCs w:val="28"/>
          <w:lang w:val="zh-CN"/>
        </w:rPr>
        <w:t>：</w:t>
      </w:r>
      <w:r>
        <w:rPr>
          <w:rFonts w:eastAsia="仿宋_GB2312"/>
          <w:sz w:val="24"/>
          <w:szCs w:val="28"/>
          <w:lang w:val="zh-CN"/>
        </w:rPr>
        <w:t>是指由于违反环境保护法律法规的经济、社会活动与行为，以及意外因素的影响或不可抗拒的自然灾害等原因致使环境受到污染，人体健康受到危害，社会经济与人民群众财产受到损失，造成不良社会影响的突发性事件。</w:t>
      </w:r>
      <w:bookmarkStart w:id="766" w:name="_Toc377027633"/>
      <w:bookmarkStart w:id="767" w:name="_Toc27968"/>
      <w:bookmarkStart w:id="768" w:name="_Toc18483"/>
      <w:bookmarkStart w:id="769" w:name="_Toc26760"/>
      <w:bookmarkStart w:id="770" w:name="_Toc4665"/>
      <w:bookmarkStart w:id="771" w:name="_Toc305"/>
      <w:bookmarkStart w:id="772" w:name="_Toc25772"/>
      <w:bookmarkStart w:id="773" w:name="_Toc10842"/>
      <w:bookmarkStart w:id="774" w:name="_Toc20619"/>
      <w:bookmarkStart w:id="775" w:name="_Toc417890089"/>
      <w:bookmarkStart w:id="776" w:name="_Toc512"/>
      <w:bookmarkStart w:id="777" w:name="_Toc6211"/>
      <w:bookmarkStart w:id="778" w:name="_Toc19794"/>
      <w:bookmarkStart w:id="779" w:name="_Toc28412"/>
      <w:bookmarkStart w:id="780" w:name="_Toc25420"/>
      <w:bookmarkStart w:id="781" w:name="_Toc8952"/>
    </w:p>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p>
      <w:pPr>
        <w:spacing w:after="0" w:line="360" w:lineRule="auto"/>
        <w:ind w:firstLine="482"/>
        <w:rPr>
          <w:rFonts w:eastAsia="仿宋_GB2312"/>
          <w:sz w:val="24"/>
          <w:szCs w:val="28"/>
          <w:lang w:val="zh-CN"/>
        </w:rPr>
      </w:pPr>
      <w:bookmarkStart w:id="782" w:name="_Toc4299"/>
      <w:bookmarkStart w:id="783" w:name="_Toc29970"/>
      <w:bookmarkStart w:id="784" w:name="_Toc32073"/>
      <w:bookmarkStart w:id="785" w:name="_Toc6966"/>
      <w:bookmarkStart w:id="786" w:name="_Toc23667"/>
      <w:bookmarkStart w:id="787" w:name="_Toc20812"/>
      <w:bookmarkStart w:id="788" w:name="_Toc17705"/>
      <w:bookmarkStart w:id="789" w:name="_Toc23888"/>
      <w:bookmarkStart w:id="790" w:name="_Toc417890090"/>
      <w:bookmarkStart w:id="791" w:name="_Toc4419"/>
      <w:bookmarkStart w:id="792" w:name="_Toc11300"/>
      <w:bookmarkStart w:id="793" w:name="_Toc377027634"/>
      <w:bookmarkStart w:id="794" w:name="_Toc12426"/>
      <w:bookmarkStart w:id="795" w:name="_Toc26588"/>
      <w:bookmarkStart w:id="796" w:name="_Toc900"/>
      <w:r>
        <w:rPr>
          <w:rFonts w:eastAsia="仿宋_GB2312"/>
          <w:b/>
          <w:bCs/>
          <w:sz w:val="24"/>
          <w:szCs w:val="28"/>
        </w:rPr>
        <w:t>环境应急</w:t>
      </w:r>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r>
        <w:rPr>
          <w:rFonts w:eastAsia="仿宋_GB2312"/>
          <w:b/>
          <w:bCs/>
          <w:sz w:val="24"/>
          <w:szCs w:val="28"/>
        </w:rPr>
        <w:t>：</w:t>
      </w:r>
      <w:r>
        <w:rPr>
          <w:rFonts w:eastAsia="仿宋_GB2312"/>
          <w:sz w:val="24"/>
          <w:szCs w:val="28"/>
          <w:lang w:val="zh-CN"/>
        </w:rPr>
        <w:t>针对可能或已发生的突发环境事件需要立即采取某些超出正常工作程序的行动，以避免事件发生或减轻事件后果的状态，也称为紧急状态；同时也泛指立即采取超出正常工作程序的行动。</w:t>
      </w:r>
      <w:bookmarkStart w:id="797" w:name="_Toc10327"/>
      <w:bookmarkStart w:id="798" w:name="_Toc25169"/>
      <w:bookmarkStart w:id="799" w:name="_Toc12022"/>
      <w:bookmarkStart w:id="800" w:name="_Toc30371"/>
      <w:bookmarkStart w:id="801" w:name="_Toc20623"/>
      <w:bookmarkStart w:id="802" w:name="_Toc13760"/>
      <w:bookmarkStart w:id="803" w:name="_Toc26735"/>
      <w:bookmarkStart w:id="804" w:name="_Toc22060"/>
      <w:bookmarkStart w:id="805" w:name="_Toc417890091"/>
      <w:bookmarkStart w:id="806" w:name="_Toc3697"/>
      <w:bookmarkStart w:id="807" w:name="_Toc377027635"/>
      <w:bookmarkStart w:id="808" w:name="_Toc3787"/>
      <w:bookmarkStart w:id="809" w:name="_Toc3342"/>
      <w:bookmarkStart w:id="810" w:name="_Toc18506"/>
      <w:bookmarkStart w:id="811" w:name="_Toc2702"/>
      <w:bookmarkStart w:id="812" w:name="_Toc28037"/>
    </w:p>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p>
      <w:pPr>
        <w:spacing w:after="0" w:line="360" w:lineRule="auto"/>
        <w:ind w:firstLine="482"/>
        <w:rPr>
          <w:rFonts w:eastAsia="仿宋_GB2312"/>
          <w:sz w:val="24"/>
          <w:szCs w:val="28"/>
          <w:lang w:val="zh-CN"/>
        </w:rPr>
      </w:pPr>
      <w:bookmarkStart w:id="813" w:name="_Toc20565"/>
      <w:bookmarkStart w:id="814" w:name="_Toc44"/>
      <w:bookmarkStart w:id="815" w:name="_Toc12154"/>
      <w:bookmarkStart w:id="816" w:name="_Toc12043"/>
      <w:bookmarkStart w:id="817" w:name="_Toc18388"/>
      <w:bookmarkStart w:id="818" w:name="_Toc26647"/>
      <w:r>
        <w:rPr>
          <w:rFonts w:eastAsia="仿宋_GB2312"/>
          <w:b/>
          <w:bCs/>
          <w:sz w:val="24"/>
          <w:szCs w:val="28"/>
        </w:rPr>
        <w:t>环境风险</w:t>
      </w:r>
      <w:bookmarkEnd w:id="813"/>
      <w:bookmarkEnd w:id="814"/>
      <w:bookmarkEnd w:id="815"/>
      <w:bookmarkEnd w:id="816"/>
      <w:bookmarkEnd w:id="817"/>
      <w:bookmarkEnd w:id="818"/>
      <w:r>
        <w:rPr>
          <w:rFonts w:eastAsia="仿宋_GB2312"/>
          <w:b/>
          <w:bCs/>
          <w:sz w:val="24"/>
          <w:szCs w:val="28"/>
        </w:rPr>
        <w:t>：</w:t>
      </w:r>
      <w:r>
        <w:rPr>
          <w:rFonts w:eastAsia="仿宋_GB2312"/>
          <w:sz w:val="24"/>
          <w:szCs w:val="28"/>
        </w:rPr>
        <w:t>由人类活动引起的，或由人类活动与自然界的运动过程共同作用造成的，通过环境介质传播的，能对人类社会及其生存、发展的基础—环境产生破坏、损失乃至毁灭性作用等不利后果的事件的发生概率。</w:t>
      </w:r>
    </w:p>
    <w:p>
      <w:pPr>
        <w:spacing w:after="0" w:line="360" w:lineRule="auto"/>
        <w:ind w:firstLine="482"/>
        <w:rPr>
          <w:rFonts w:eastAsia="仿宋_GB2312"/>
          <w:sz w:val="24"/>
          <w:szCs w:val="28"/>
          <w:lang w:val="zh-CN"/>
        </w:rPr>
      </w:pPr>
      <w:r>
        <w:rPr>
          <w:rFonts w:eastAsia="仿宋_GB2312"/>
          <w:b/>
          <w:bCs/>
          <w:sz w:val="24"/>
          <w:szCs w:val="28"/>
        </w:rPr>
        <w:t>泄漏处理：</w:t>
      </w:r>
      <w:r>
        <w:rPr>
          <w:rFonts w:eastAsia="仿宋_GB2312"/>
          <w:sz w:val="24"/>
          <w:szCs w:val="28"/>
          <w:lang w:val="zh-CN"/>
        </w:rPr>
        <w:t>泄漏处理是指对危险化学品、危险废物、放射性物质、有毒气体等污染源因事件发生泄漏时的所采取的应急处置措施。泄漏处理要及时、得当，避免重大事件的发生。泄漏处理一般分为泄漏源控制和泄漏物处置两部分。</w:t>
      </w:r>
      <w:bookmarkStart w:id="819" w:name="_Toc6382"/>
      <w:bookmarkStart w:id="820" w:name="_Toc5721"/>
      <w:bookmarkStart w:id="821" w:name="_Toc5267"/>
      <w:bookmarkStart w:id="822" w:name="_Toc3399"/>
      <w:bookmarkStart w:id="823" w:name="_Toc19762"/>
      <w:bookmarkStart w:id="824" w:name="_Toc30975"/>
      <w:bookmarkStart w:id="825" w:name="_Toc5112"/>
      <w:bookmarkStart w:id="826" w:name="_Toc18982"/>
      <w:bookmarkStart w:id="827" w:name="_Toc417890092"/>
      <w:bookmarkStart w:id="828" w:name="_Toc30080"/>
      <w:bookmarkStart w:id="829" w:name="_Toc23697"/>
      <w:bookmarkStart w:id="830" w:name="_Toc377027636"/>
      <w:bookmarkStart w:id="831" w:name="_Toc12004"/>
      <w:bookmarkStart w:id="832" w:name="_Toc22981"/>
      <w:bookmarkStart w:id="833" w:name="_Toc20835"/>
      <w:bookmarkStart w:id="834" w:name="_Toc14212"/>
    </w:p>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p>
      <w:pPr>
        <w:spacing w:after="0" w:line="360" w:lineRule="auto"/>
        <w:ind w:firstLine="482"/>
        <w:rPr>
          <w:rFonts w:eastAsia="仿宋_GB2312"/>
          <w:sz w:val="24"/>
          <w:szCs w:val="28"/>
        </w:rPr>
      </w:pPr>
      <w:r>
        <w:rPr>
          <w:rFonts w:eastAsia="仿宋_GB2312"/>
          <w:b/>
          <w:sz w:val="24"/>
          <w:szCs w:val="28"/>
        </w:rPr>
        <w:t>先期处置：</w:t>
      </w:r>
      <w:r>
        <w:rPr>
          <w:rFonts w:eastAsia="仿宋_GB2312"/>
          <w:sz w:val="24"/>
          <w:szCs w:val="28"/>
        </w:rPr>
        <w:t>指突发公共事件即将发生、正在发生或发生后，事发地人民政府在第一时间内所采取的应急响应措施。</w:t>
      </w:r>
    </w:p>
    <w:p>
      <w:pPr>
        <w:spacing w:after="0" w:line="360" w:lineRule="auto"/>
        <w:ind w:firstLine="482"/>
        <w:rPr>
          <w:rFonts w:eastAsia="仿宋_GB2312"/>
          <w:sz w:val="24"/>
          <w:szCs w:val="28"/>
        </w:rPr>
      </w:pPr>
      <w:r>
        <w:rPr>
          <w:rFonts w:eastAsia="仿宋_GB2312"/>
          <w:b/>
          <w:sz w:val="24"/>
          <w:szCs w:val="28"/>
        </w:rPr>
        <w:t>扩大应急：</w:t>
      </w:r>
      <w:r>
        <w:rPr>
          <w:rFonts w:eastAsia="仿宋_GB2312"/>
          <w:sz w:val="24"/>
          <w:szCs w:val="28"/>
        </w:rPr>
        <w:t>指突发公共事件危害、影响程度、范围有扩大趋势时，为有效控制突发公共事件发展态势，应急委员会等机构或者单位通过采取进一步有力措施、请求支援等方式，以尽快使受影响地域、领域恢复到正常状态的各种应急处置程序、措施的总称。</w:t>
      </w:r>
    </w:p>
    <w:p>
      <w:pPr>
        <w:spacing w:after="0" w:line="360" w:lineRule="auto"/>
        <w:ind w:firstLine="482"/>
        <w:rPr>
          <w:rFonts w:eastAsia="仿宋_GB2312"/>
          <w:sz w:val="24"/>
          <w:szCs w:val="28"/>
        </w:rPr>
      </w:pPr>
      <w:r>
        <w:rPr>
          <w:rFonts w:eastAsia="仿宋_GB2312"/>
          <w:b/>
          <w:sz w:val="24"/>
          <w:szCs w:val="28"/>
        </w:rPr>
        <w:t>紧急状态：</w:t>
      </w:r>
      <w:r>
        <w:rPr>
          <w:rFonts w:eastAsia="仿宋_GB2312"/>
          <w:sz w:val="24"/>
          <w:szCs w:val="28"/>
        </w:rPr>
        <w:t>指在特定的地区或者全市范围发生或者即将发生的威胁公众生命、健康和财产安全、影响国家政权机关正常行使权力的特别严重突发公共事件，采取常态下的措施难以有效控制和消除严重危害时，有关国家机关按照法定权限和程序宣布该特定地域进入的一种临时性严重危机状态。</w:t>
      </w:r>
    </w:p>
    <w:p>
      <w:pPr>
        <w:spacing w:after="0" w:line="360" w:lineRule="auto"/>
        <w:ind w:firstLine="482"/>
        <w:rPr>
          <w:rFonts w:eastAsia="仿宋_GB2312"/>
          <w:sz w:val="24"/>
          <w:szCs w:val="28"/>
        </w:rPr>
      </w:pPr>
      <w:r>
        <w:rPr>
          <w:rFonts w:eastAsia="仿宋_GB2312"/>
          <w:b/>
          <w:sz w:val="24"/>
          <w:szCs w:val="28"/>
        </w:rPr>
        <w:t>后期处置：</w:t>
      </w:r>
      <w:r>
        <w:rPr>
          <w:rFonts w:eastAsia="仿宋_GB2312"/>
          <w:sz w:val="24"/>
          <w:szCs w:val="28"/>
        </w:rPr>
        <w:t>是指突发公共事件得到基本控制后，为使生产、工作、生活、社会秩序和生态环境恢复正常所采取的一系列善后处理行动。</w:t>
      </w:r>
    </w:p>
    <w:p>
      <w:pPr>
        <w:spacing w:after="0" w:line="360" w:lineRule="auto"/>
        <w:ind w:firstLine="482"/>
        <w:rPr>
          <w:rFonts w:eastAsia="仿宋_GB2312"/>
          <w:sz w:val="24"/>
          <w:szCs w:val="28"/>
        </w:rPr>
      </w:pPr>
      <w:r>
        <w:rPr>
          <w:rFonts w:eastAsia="仿宋_GB2312"/>
          <w:b/>
          <w:sz w:val="24"/>
          <w:szCs w:val="28"/>
        </w:rPr>
        <w:t>恢复：</w:t>
      </w:r>
      <w:r>
        <w:rPr>
          <w:rFonts w:eastAsia="仿宋_GB2312"/>
          <w:sz w:val="24"/>
          <w:szCs w:val="28"/>
        </w:rPr>
        <w:t>事件的影响得到初步控制后，为使生产、工作、生活和生态环境尽快恢复到正常状态而采取的措施或行动。</w:t>
      </w:r>
    </w:p>
    <w:bookmarkEnd w:id="237"/>
    <w:bookmarkEnd w:id="238"/>
    <w:bookmarkEnd w:id="239"/>
    <w:p>
      <w:pPr>
        <w:widowControl w:val="0"/>
        <w:spacing w:after="0" w:line="360" w:lineRule="auto"/>
        <w:rPr>
          <w:rFonts w:ascii="仿宋" w:hAnsi="仿宋"/>
          <w:szCs w:val="24"/>
        </w:rPr>
      </w:pPr>
    </w:p>
    <w:sectPr>
      <w:headerReference r:id="rId9" w:type="default"/>
      <w:footerReference r:id="rId10" w:type="default"/>
      <w:pgSz w:w="11906" w:h="16838"/>
      <w:pgMar w:top="1440" w:right="1800" w:bottom="1440" w:left="1800" w:header="708" w:footer="708" w:gutter="0"/>
      <w:cols w:space="708"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
    <w:altName w:val="Times New Roman"/>
    <w:panose1 w:val="00000000000000000000"/>
    <w:charset w:val="00"/>
    <w:family w:val="auto"/>
    <w:pitch w:val="default"/>
    <w:sig w:usb0="00000000" w:usb1="00000000" w:usb2="00000000" w:usb3="00000000" w:csb0="00000001" w:csb1="00000000"/>
  </w:font>
  <w:font w:name="Times New Roman;Symbol;Arial;婼">
    <w:altName w:val="宋体"/>
    <w:panose1 w:val="00000000000000000000"/>
    <w:charset w:val="86"/>
    <w:family w:val="auto"/>
    <w:pitch w:val="default"/>
    <w:sig w:usb0="00000000" w:usb1="00000000" w:usb2="00000010" w:usb3="00000000" w:csb0="00040000" w:csb1="00000000"/>
  </w:font>
  <w:font w:name="方正仿宋_GBK">
    <w:altName w:val="微软雅黑"/>
    <w:panose1 w:val="03000509000000000000"/>
    <w:charset w:val="86"/>
    <w:family w:val="auto"/>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S Mincho">
    <w:altName w:val="Yu Gothic UI"/>
    <w:panose1 w:val="02020609040205080304"/>
    <w:charset w:val="80"/>
    <w:family w:val="moder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enter" w:pos="4156"/>
        <w:tab w:val="clear" w:pos="4153"/>
      </w:tabs>
    </w:pPr>
    <w:r>
      <w:pict>
        <v:shape id="_x0000_s3073" o:spid="_x0000_s3073"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pStyle w:val="20"/>
                  <w:rPr>
                    <w:rFonts w:eastAsia="微软雅黑"/>
                  </w:rPr>
                </w:pPr>
                <w:r>
                  <w:fldChar w:fldCharType="begin"/>
                </w:r>
                <w:r>
                  <w:instrText xml:space="preserve"> PAGE  \* MERGEFORMAT </w:instrText>
                </w:r>
                <w:r>
                  <w:fldChar w:fldCharType="separate"/>
                </w:r>
                <w:r>
                  <w:t>9</w:t>
                </w:r>
                <w:r>
                  <w:fldChar w:fldCharType="end"/>
                </w:r>
              </w:p>
            </w:txbxContent>
          </v:textbox>
        </v:shape>
      </w:pic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480"/>
      <w:jc w:val="center"/>
    </w:pPr>
    <w:r>
      <w:pict>
        <v:shape id="_x0000_s3076" o:spid="_x0000_s3076"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pPr>
                  <w:pStyle w:val="20"/>
                  <w:ind w:firstLine="480"/>
                  <w:jc w:val="center"/>
                </w:pPr>
                <w:r>
                  <w:rPr>
                    <w:sz w:val="24"/>
                    <w:szCs w:val="24"/>
                  </w:rPr>
                  <w:fldChar w:fldCharType="begin"/>
                </w:r>
                <w:r>
                  <w:rPr>
                    <w:sz w:val="24"/>
                    <w:szCs w:val="24"/>
                  </w:rPr>
                  <w:instrText xml:space="preserve"> PAGE   \* MERGEFORMAT </w:instrText>
                </w:r>
                <w:r>
                  <w:rPr>
                    <w:sz w:val="24"/>
                    <w:szCs w:val="24"/>
                  </w:rPr>
                  <w:fldChar w:fldCharType="separate"/>
                </w:r>
                <w:r>
                  <w:rPr>
                    <w:sz w:val="24"/>
                    <w:szCs w:val="24"/>
                    <w:lang w:val="zh-CN"/>
                  </w:rPr>
                  <w:t>31</w:t>
                </w:r>
                <w:r>
                  <w:rPr>
                    <w:sz w:val="24"/>
                    <w:szCs w:val="24"/>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480"/>
      <w:jc w:val="center"/>
    </w:pPr>
    <w:r>
      <w:pict>
        <v:shape id="_x0000_s3077" o:spid="_x0000_s3077"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joinstyle="miter"/>
          <v:imagedata o:title=""/>
          <o:lock v:ext="edit"/>
          <v:textbox inset="0mm,0mm,0mm,0mm" style="mso-fit-shape-to-text:t;">
            <w:txbxContent>
              <w:p>
                <w:pPr>
                  <w:pStyle w:val="20"/>
                  <w:ind w:firstLine="480"/>
                  <w:jc w:val="center"/>
                </w:pPr>
                <w:r>
                  <w:rPr>
                    <w:sz w:val="24"/>
                    <w:szCs w:val="24"/>
                  </w:rPr>
                  <w:fldChar w:fldCharType="begin"/>
                </w:r>
                <w:r>
                  <w:rPr>
                    <w:sz w:val="24"/>
                    <w:szCs w:val="24"/>
                  </w:rPr>
                  <w:instrText xml:space="preserve"> PAGE   \* MERGEFORMAT </w:instrText>
                </w:r>
                <w:r>
                  <w:rPr>
                    <w:sz w:val="24"/>
                    <w:szCs w:val="24"/>
                  </w:rPr>
                  <w:fldChar w:fldCharType="separate"/>
                </w:r>
                <w:r>
                  <w:rPr>
                    <w:sz w:val="24"/>
                    <w:szCs w:val="24"/>
                    <w:lang w:val="zh-CN"/>
                  </w:rPr>
                  <w:t>66</w:t>
                </w:r>
                <w:r>
                  <w:rPr>
                    <w:sz w:val="24"/>
                    <w:szCs w:val="24"/>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left" w:pos="4034"/>
        <w:tab w:val="clear" w:pos="4153"/>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jc w:val="center"/>
      <w:rPr>
        <w:bCs/>
        <w:sz w:val="21"/>
        <w:szCs w:val="21"/>
      </w:rPr>
    </w:pPr>
    <w:r>
      <w:rPr>
        <w:rFonts w:ascii="Times New Roman" w:hAnsi="Times New Roman" w:eastAsia="仿宋" w:cs="Times New Roman"/>
        <w:bCs/>
        <w:sz w:val="21"/>
        <w:szCs w:val="21"/>
      </w:rPr>
      <w:t>中国石化销售</w:t>
    </w:r>
    <w:r>
      <w:rPr>
        <w:rFonts w:hint="eastAsia" w:ascii="Times New Roman" w:hAnsi="Times New Roman" w:eastAsia="仿宋" w:cs="Times New Roman"/>
        <w:bCs/>
        <w:sz w:val="21"/>
        <w:szCs w:val="21"/>
      </w:rPr>
      <w:t>股份</w:t>
    </w:r>
    <w:r>
      <w:rPr>
        <w:rFonts w:ascii="Times New Roman" w:hAnsi="Times New Roman" w:eastAsia="仿宋" w:cs="Times New Roman"/>
        <w:bCs/>
        <w:sz w:val="21"/>
        <w:szCs w:val="21"/>
      </w:rPr>
      <w:t>有限公司云南文山石油分公司</w:t>
    </w:r>
    <w:r>
      <w:rPr>
        <w:rFonts w:hint="eastAsia" w:ascii="Times New Roman" w:hAnsi="Times New Roman" w:eastAsia="仿宋" w:cs="Times New Roman"/>
        <w:bCs/>
        <w:sz w:val="21"/>
        <w:szCs w:val="21"/>
      </w:rPr>
      <w:t>西畴县金玉加油站</w:t>
    </w:r>
    <w:r>
      <w:rPr>
        <w:rFonts w:ascii="Times New Roman" w:hAnsi="Times New Roman" w:eastAsia="仿宋" w:cs="Times New Roman"/>
        <w:bCs/>
        <w:sz w:val="21"/>
        <w:szCs w:val="21"/>
      </w:rPr>
      <w:t>突发环境事件应急预案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jc w:val="center"/>
      <w:rPr>
        <w:bCs/>
        <w:sz w:val="21"/>
        <w:szCs w:val="21"/>
      </w:rPr>
    </w:pPr>
    <w:r>
      <w:rPr>
        <w:rFonts w:ascii="Times New Roman" w:hAnsi="Times New Roman" w:eastAsia="仿宋" w:cs="Times New Roman"/>
        <w:bCs/>
        <w:sz w:val="21"/>
        <w:szCs w:val="21"/>
      </w:rPr>
      <w:t>中国石化销售</w:t>
    </w:r>
    <w:r>
      <w:rPr>
        <w:rFonts w:hint="eastAsia" w:ascii="Times New Roman" w:hAnsi="Times New Roman" w:eastAsia="仿宋" w:cs="Times New Roman"/>
        <w:bCs/>
        <w:sz w:val="21"/>
        <w:szCs w:val="21"/>
      </w:rPr>
      <w:t>股份</w:t>
    </w:r>
    <w:r>
      <w:rPr>
        <w:rFonts w:ascii="Times New Roman" w:hAnsi="Times New Roman" w:eastAsia="仿宋" w:cs="Times New Roman"/>
        <w:bCs/>
        <w:sz w:val="21"/>
        <w:szCs w:val="21"/>
      </w:rPr>
      <w:t>有限公司云南文山石油分公司</w:t>
    </w:r>
    <w:r>
      <w:rPr>
        <w:rFonts w:hint="eastAsia" w:ascii="Times New Roman" w:hAnsi="Times New Roman" w:eastAsia="仿宋" w:cs="Times New Roman"/>
        <w:bCs/>
        <w:sz w:val="21"/>
        <w:szCs w:val="21"/>
      </w:rPr>
      <w:t>西畴县金玉加油站</w:t>
    </w:r>
    <w:r>
      <w:rPr>
        <w:rFonts w:ascii="Times New Roman" w:hAnsi="Times New Roman" w:eastAsia="仿宋" w:cs="Times New Roman"/>
        <w:bCs/>
        <w:sz w:val="21"/>
        <w:szCs w:val="21"/>
      </w:rPr>
      <w:t>突发环境事件应急预案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D5DFA4"/>
    <w:multiLevelType w:val="singleLevel"/>
    <w:tmpl w:val="AAD5DFA4"/>
    <w:lvl w:ilvl="0" w:tentative="0">
      <w:start w:val="1"/>
      <w:numFmt w:val="decimal"/>
      <w:suff w:val="nothing"/>
      <w:lvlText w:val="（%1）"/>
      <w:lvlJc w:val="left"/>
    </w:lvl>
  </w:abstractNum>
  <w:abstractNum w:abstractNumId="1">
    <w:nsid w:val="04E8455A"/>
    <w:multiLevelType w:val="singleLevel"/>
    <w:tmpl w:val="04E8455A"/>
    <w:lvl w:ilvl="0" w:tentative="0">
      <w:start w:val="3"/>
      <w:numFmt w:val="decimal"/>
      <w:suff w:val="nothing"/>
      <w:lvlText w:val="%1、"/>
      <w:lvlJc w:val="left"/>
    </w:lvl>
  </w:abstractNum>
  <w:abstractNum w:abstractNumId="2">
    <w:nsid w:val="1A89EDE6"/>
    <w:multiLevelType w:val="singleLevel"/>
    <w:tmpl w:val="1A89EDE6"/>
    <w:lvl w:ilvl="0" w:tentative="0">
      <w:start w:val="1"/>
      <w:numFmt w:val="decimal"/>
      <w:suff w:val="nothing"/>
      <w:lvlText w:val="（%1）"/>
      <w:lvlJc w:val="left"/>
    </w:lvl>
  </w:abstractNum>
  <w:abstractNum w:abstractNumId="3">
    <w:nsid w:val="303B3E9D"/>
    <w:multiLevelType w:val="singleLevel"/>
    <w:tmpl w:val="303B3E9D"/>
    <w:lvl w:ilvl="0" w:tentative="0">
      <w:start w:val="1"/>
      <w:numFmt w:val="decimal"/>
      <w:suff w:val="space"/>
      <w:lvlText w:val="%1）"/>
      <w:lvlJc w:val="left"/>
      <w:pPr>
        <w:ind w:left="0" w:firstLine="0"/>
      </w:pPr>
      <w:rPr>
        <w:rFonts w:hint="eastAsia"/>
      </w:rPr>
    </w:lvl>
  </w:abstractNum>
  <w:abstractNum w:abstractNumId="4">
    <w:nsid w:val="3C5539D4"/>
    <w:multiLevelType w:val="multilevel"/>
    <w:tmpl w:val="3C5539D4"/>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4D5A4C77"/>
    <w:multiLevelType w:val="singleLevel"/>
    <w:tmpl w:val="4D5A4C77"/>
    <w:lvl w:ilvl="0" w:tentative="0">
      <w:start w:val="1"/>
      <w:numFmt w:val="decimal"/>
      <w:suff w:val="space"/>
      <w:lvlText w:val="%1）"/>
      <w:lvlJc w:val="left"/>
      <w:pPr>
        <w:ind w:left="0" w:firstLine="0"/>
      </w:pPr>
      <w:rPr>
        <w:rFonts w:hint="eastAsia"/>
      </w:rPr>
    </w:lvl>
  </w:abstractNum>
  <w:num w:numId="1">
    <w:abstractNumId w:val="0"/>
  </w:num>
  <w:num w:numId="2">
    <w:abstractNumId w:val="2"/>
  </w:num>
  <w:num w:numId="3">
    <w:abstractNumId w:val="4"/>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3"/>
    </o:shapelayout>
  </w:hdrShapeDefaults>
  <w:footnotePr>
    <w:footnote w:id="0"/>
    <w:footnote w:id="1"/>
  </w:footnotePr>
  <w:compat>
    <w:doNotExpandShiftReturn/>
    <w:doNotWrapTextWithPunct/>
    <w:doNotUseEastAsianBreakRules/>
    <w:useFELayout/>
    <w:doNotUseIndentAsNumberingTabStop/>
    <w:useAltKinsokuLineBreakRules/>
    <w:compatSetting w:name="compatibilityMode" w:uri="http://schemas.microsoft.com/office/word" w:val="12"/>
  </w:compat>
  <w:rsids>
    <w:rsidRoot w:val="00D31D50"/>
    <w:rsid w:val="000041E1"/>
    <w:rsid w:val="0001081D"/>
    <w:rsid w:val="00013065"/>
    <w:rsid w:val="000140B0"/>
    <w:rsid w:val="000146AE"/>
    <w:rsid w:val="000164E6"/>
    <w:rsid w:val="00017AA0"/>
    <w:rsid w:val="00017CDF"/>
    <w:rsid w:val="00024554"/>
    <w:rsid w:val="00025C91"/>
    <w:rsid w:val="000309F4"/>
    <w:rsid w:val="000311ED"/>
    <w:rsid w:val="00031E08"/>
    <w:rsid w:val="00033236"/>
    <w:rsid w:val="00034C39"/>
    <w:rsid w:val="0003511C"/>
    <w:rsid w:val="0004295A"/>
    <w:rsid w:val="00045DEC"/>
    <w:rsid w:val="00046A51"/>
    <w:rsid w:val="00047267"/>
    <w:rsid w:val="000504A5"/>
    <w:rsid w:val="000620B8"/>
    <w:rsid w:val="0006519F"/>
    <w:rsid w:val="00065208"/>
    <w:rsid w:val="00065863"/>
    <w:rsid w:val="00065D83"/>
    <w:rsid w:val="00066DA1"/>
    <w:rsid w:val="00071D50"/>
    <w:rsid w:val="0007283C"/>
    <w:rsid w:val="00075534"/>
    <w:rsid w:val="000764EE"/>
    <w:rsid w:val="00077F5F"/>
    <w:rsid w:val="00080632"/>
    <w:rsid w:val="00080827"/>
    <w:rsid w:val="00085222"/>
    <w:rsid w:val="00086F88"/>
    <w:rsid w:val="00090D13"/>
    <w:rsid w:val="0009111E"/>
    <w:rsid w:val="00091375"/>
    <w:rsid w:val="00094733"/>
    <w:rsid w:val="00095310"/>
    <w:rsid w:val="0009595C"/>
    <w:rsid w:val="000969EE"/>
    <w:rsid w:val="0009779D"/>
    <w:rsid w:val="000A26CA"/>
    <w:rsid w:val="000A2FE8"/>
    <w:rsid w:val="000A37DE"/>
    <w:rsid w:val="000A4A7C"/>
    <w:rsid w:val="000A4C1C"/>
    <w:rsid w:val="000A6C89"/>
    <w:rsid w:val="000A711A"/>
    <w:rsid w:val="000B1B41"/>
    <w:rsid w:val="000B3CA3"/>
    <w:rsid w:val="000C0D68"/>
    <w:rsid w:val="000C4BD8"/>
    <w:rsid w:val="000D0EE4"/>
    <w:rsid w:val="000D696C"/>
    <w:rsid w:val="000D6E30"/>
    <w:rsid w:val="000D7851"/>
    <w:rsid w:val="000D7E02"/>
    <w:rsid w:val="000E00DF"/>
    <w:rsid w:val="000E299C"/>
    <w:rsid w:val="000E2CBD"/>
    <w:rsid w:val="000E52A9"/>
    <w:rsid w:val="000E5C87"/>
    <w:rsid w:val="000F2D1B"/>
    <w:rsid w:val="000F3048"/>
    <w:rsid w:val="001006C2"/>
    <w:rsid w:val="0010097D"/>
    <w:rsid w:val="00104639"/>
    <w:rsid w:val="00112B8E"/>
    <w:rsid w:val="00124C69"/>
    <w:rsid w:val="001250EE"/>
    <w:rsid w:val="0013073B"/>
    <w:rsid w:val="00130F51"/>
    <w:rsid w:val="001317C8"/>
    <w:rsid w:val="001344AF"/>
    <w:rsid w:val="00135208"/>
    <w:rsid w:val="001376F0"/>
    <w:rsid w:val="001402C1"/>
    <w:rsid w:val="00144938"/>
    <w:rsid w:val="00146064"/>
    <w:rsid w:val="00147118"/>
    <w:rsid w:val="001534A2"/>
    <w:rsid w:val="00153B91"/>
    <w:rsid w:val="001579E3"/>
    <w:rsid w:val="00157B79"/>
    <w:rsid w:val="001606FB"/>
    <w:rsid w:val="001624DC"/>
    <w:rsid w:val="0016364C"/>
    <w:rsid w:val="00164CA2"/>
    <w:rsid w:val="00165B25"/>
    <w:rsid w:val="00172845"/>
    <w:rsid w:val="00172B21"/>
    <w:rsid w:val="0017402E"/>
    <w:rsid w:val="00175D86"/>
    <w:rsid w:val="001814F7"/>
    <w:rsid w:val="00185753"/>
    <w:rsid w:val="00187287"/>
    <w:rsid w:val="001928D3"/>
    <w:rsid w:val="0019462F"/>
    <w:rsid w:val="00194AE1"/>
    <w:rsid w:val="001A0D92"/>
    <w:rsid w:val="001A6BE3"/>
    <w:rsid w:val="001B019E"/>
    <w:rsid w:val="001B17F0"/>
    <w:rsid w:val="001B22D8"/>
    <w:rsid w:val="001B25EF"/>
    <w:rsid w:val="001B2B31"/>
    <w:rsid w:val="001B424B"/>
    <w:rsid w:val="001B4798"/>
    <w:rsid w:val="001B47EC"/>
    <w:rsid w:val="001B7CCF"/>
    <w:rsid w:val="001C0941"/>
    <w:rsid w:val="001C3FA6"/>
    <w:rsid w:val="001C57EF"/>
    <w:rsid w:val="001C7406"/>
    <w:rsid w:val="001D41A9"/>
    <w:rsid w:val="001D45C6"/>
    <w:rsid w:val="001D5936"/>
    <w:rsid w:val="001E04BE"/>
    <w:rsid w:val="001E39A7"/>
    <w:rsid w:val="001E3BFB"/>
    <w:rsid w:val="001E467F"/>
    <w:rsid w:val="001E469E"/>
    <w:rsid w:val="001E5E7D"/>
    <w:rsid w:val="001F076B"/>
    <w:rsid w:val="001F5B22"/>
    <w:rsid w:val="001F6196"/>
    <w:rsid w:val="00200ACC"/>
    <w:rsid w:val="002019F4"/>
    <w:rsid w:val="00202365"/>
    <w:rsid w:val="002038B9"/>
    <w:rsid w:val="002126A6"/>
    <w:rsid w:val="002126FC"/>
    <w:rsid w:val="00213234"/>
    <w:rsid w:val="00214331"/>
    <w:rsid w:val="00217359"/>
    <w:rsid w:val="00217766"/>
    <w:rsid w:val="00220452"/>
    <w:rsid w:val="002239FC"/>
    <w:rsid w:val="002241E5"/>
    <w:rsid w:val="002256A7"/>
    <w:rsid w:val="00225CD2"/>
    <w:rsid w:val="00227854"/>
    <w:rsid w:val="002309A5"/>
    <w:rsid w:val="00233C57"/>
    <w:rsid w:val="00237B7A"/>
    <w:rsid w:val="00242266"/>
    <w:rsid w:val="00244557"/>
    <w:rsid w:val="0024692F"/>
    <w:rsid w:val="0025039A"/>
    <w:rsid w:val="002529A7"/>
    <w:rsid w:val="0026066F"/>
    <w:rsid w:val="00261909"/>
    <w:rsid w:val="00262D24"/>
    <w:rsid w:val="00263601"/>
    <w:rsid w:val="00263949"/>
    <w:rsid w:val="00265476"/>
    <w:rsid w:val="00266688"/>
    <w:rsid w:val="00267474"/>
    <w:rsid w:val="00271A01"/>
    <w:rsid w:val="00276AF2"/>
    <w:rsid w:val="00284DDF"/>
    <w:rsid w:val="00285E10"/>
    <w:rsid w:val="00291158"/>
    <w:rsid w:val="002942C8"/>
    <w:rsid w:val="002A00AE"/>
    <w:rsid w:val="002A1BD0"/>
    <w:rsid w:val="002B2FBC"/>
    <w:rsid w:val="002B3C67"/>
    <w:rsid w:val="002C1CBB"/>
    <w:rsid w:val="002C2286"/>
    <w:rsid w:val="002C47D9"/>
    <w:rsid w:val="002C6860"/>
    <w:rsid w:val="002C6CDE"/>
    <w:rsid w:val="002C71D5"/>
    <w:rsid w:val="002C79FC"/>
    <w:rsid w:val="002D0902"/>
    <w:rsid w:val="002D48A3"/>
    <w:rsid w:val="002D5B9B"/>
    <w:rsid w:val="002D7C1B"/>
    <w:rsid w:val="002E4CF9"/>
    <w:rsid w:val="002E5129"/>
    <w:rsid w:val="002E67E9"/>
    <w:rsid w:val="002E7212"/>
    <w:rsid w:val="002E7D63"/>
    <w:rsid w:val="002F079F"/>
    <w:rsid w:val="002F34F9"/>
    <w:rsid w:val="00301EB7"/>
    <w:rsid w:val="003032E1"/>
    <w:rsid w:val="00306C8A"/>
    <w:rsid w:val="003122DA"/>
    <w:rsid w:val="0031661B"/>
    <w:rsid w:val="00316D3F"/>
    <w:rsid w:val="00317C65"/>
    <w:rsid w:val="00321081"/>
    <w:rsid w:val="00321B60"/>
    <w:rsid w:val="00321E70"/>
    <w:rsid w:val="00321F59"/>
    <w:rsid w:val="00323B43"/>
    <w:rsid w:val="00325513"/>
    <w:rsid w:val="003261A3"/>
    <w:rsid w:val="00331C8E"/>
    <w:rsid w:val="0033391D"/>
    <w:rsid w:val="003354B6"/>
    <w:rsid w:val="0033674B"/>
    <w:rsid w:val="00337FB5"/>
    <w:rsid w:val="00340173"/>
    <w:rsid w:val="00345E98"/>
    <w:rsid w:val="0034770E"/>
    <w:rsid w:val="003529D6"/>
    <w:rsid w:val="0035375C"/>
    <w:rsid w:val="00353E5F"/>
    <w:rsid w:val="00356104"/>
    <w:rsid w:val="003636C9"/>
    <w:rsid w:val="00364BE1"/>
    <w:rsid w:val="00367FA5"/>
    <w:rsid w:val="003715E0"/>
    <w:rsid w:val="003727C2"/>
    <w:rsid w:val="00373269"/>
    <w:rsid w:val="00373AD3"/>
    <w:rsid w:val="00374F26"/>
    <w:rsid w:val="00377FBF"/>
    <w:rsid w:val="00382290"/>
    <w:rsid w:val="00386CFE"/>
    <w:rsid w:val="00390F93"/>
    <w:rsid w:val="003916DB"/>
    <w:rsid w:val="00395292"/>
    <w:rsid w:val="00396DC4"/>
    <w:rsid w:val="003A0BE7"/>
    <w:rsid w:val="003A16F5"/>
    <w:rsid w:val="003A17FF"/>
    <w:rsid w:val="003A3107"/>
    <w:rsid w:val="003A3B85"/>
    <w:rsid w:val="003A5416"/>
    <w:rsid w:val="003B30F9"/>
    <w:rsid w:val="003B337E"/>
    <w:rsid w:val="003B33CC"/>
    <w:rsid w:val="003B35A9"/>
    <w:rsid w:val="003B3914"/>
    <w:rsid w:val="003B4067"/>
    <w:rsid w:val="003B6E21"/>
    <w:rsid w:val="003B7C4D"/>
    <w:rsid w:val="003C04A7"/>
    <w:rsid w:val="003C0CA3"/>
    <w:rsid w:val="003C200D"/>
    <w:rsid w:val="003C748D"/>
    <w:rsid w:val="003C74E2"/>
    <w:rsid w:val="003D0A3C"/>
    <w:rsid w:val="003D37D8"/>
    <w:rsid w:val="003D3ECF"/>
    <w:rsid w:val="003D568E"/>
    <w:rsid w:val="003D6A31"/>
    <w:rsid w:val="003E0E44"/>
    <w:rsid w:val="003E0F74"/>
    <w:rsid w:val="003E1D90"/>
    <w:rsid w:val="003E5A76"/>
    <w:rsid w:val="003E67F4"/>
    <w:rsid w:val="003E696C"/>
    <w:rsid w:val="003F1A38"/>
    <w:rsid w:val="00400D99"/>
    <w:rsid w:val="00400FD1"/>
    <w:rsid w:val="004025DF"/>
    <w:rsid w:val="00403775"/>
    <w:rsid w:val="00403E2D"/>
    <w:rsid w:val="004040B1"/>
    <w:rsid w:val="00405669"/>
    <w:rsid w:val="00406BC3"/>
    <w:rsid w:val="004120FE"/>
    <w:rsid w:val="0041512B"/>
    <w:rsid w:val="00415569"/>
    <w:rsid w:val="004232E9"/>
    <w:rsid w:val="00423D7B"/>
    <w:rsid w:val="00424FBC"/>
    <w:rsid w:val="00426133"/>
    <w:rsid w:val="00426DD1"/>
    <w:rsid w:val="004330FC"/>
    <w:rsid w:val="0043353A"/>
    <w:rsid w:val="00435619"/>
    <w:rsid w:val="004358AB"/>
    <w:rsid w:val="004362AA"/>
    <w:rsid w:val="00436C45"/>
    <w:rsid w:val="0043784F"/>
    <w:rsid w:val="00440FCE"/>
    <w:rsid w:val="00441910"/>
    <w:rsid w:val="00443A19"/>
    <w:rsid w:val="0044499A"/>
    <w:rsid w:val="004463EA"/>
    <w:rsid w:val="004507B3"/>
    <w:rsid w:val="00457103"/>
    <w:rsid w:val="00457C37"/>
    <w:rsid w:val="00457F0B"/>
    <w:rsid w:val="00461693"/>
    <w:rsid w:val="00461A20"/>
    <w:rsid w:val="004628D9"/>
    <w:rsid w:val="00465474"/>
    <w:rsid w:val="00465CBD"/>
    <w:rsid w:val="00465ECE"/>
    <w:rsid w:val="0046751E"/>
    <w:rsid w:val="004722F4"/>
    <w:rsid w:val="00474CB2"/>
    <w:rsid w:val="00490D27"/>
    <w:rsid w:val="00491C2E"/>
    <w:rsid w:val="00492C26"/>
    <w:rsid w:val="00497BE5"/>
    <w:rsid w:val="004A0A43"/>
    <w:rsid w:val="004A0D1F"/>
    <w:rsid w:val="004A0FA3"/>
    <w:rsid w:val="004A1CAE"/>
    <w:rsid w:val="004A304D"/>
    <w:rsid w:val="004A3590"/>
    <w:rsid w:val="004A46F4"/>
    <w:rsid w:val="004A5120"/>
    <w:rsid w:val="004A5EE8"/>
    <w:rsid w:val="004B2489"/>
    <w:rsid w:val="004B304B"/>
    <w:rsid w:val="004B50DD"/>
    <w:rsid w:val="004B5407"/>
    <w:rsid w:val="004B6B42"/>
    <w:rsid w:val="004C0685"/>
    <w:rsid w:val="004C31B0"/>
    <w:rsid w:val="004C45F5"/>
    <w:rsid w:val="004C6251"/>
    <w:rsid w:val="004D28B4"/>
    <w:rsid w:val="004D2C51"/>
    <w:rsid w:val="004D4157"/>
    <w:rsid w:val="004D6FCD"/>
    <w:rsid w:val="004D7E0B"/>
    <w:rsid w:val="004E25D1"/>
    <w:rsid w:val="004E5E17"/>
    <w:rsid w:val="004F1387"/>
    <w:rsid w:val="004F44DF"/>
    <w:rsid w:val="004F5844"/>
    <w:rsid w:val="005009D1"/>
    <w:rsid w:val="00500A0C"/>
    <w:rsid w:val="00504C89"/>
    <w:rsid w:val="00504E3E"/>
    <w:rsid w:val="00505CD4"/>
    <w:rsid w:val="00512880"/>
    <w:rsid w:val="0051299B"/>
    <w:rsid w:val="005135F5"/>
    <w:rsid w:val="00513F1D"/>
    <w:rsid w:val="00514BCA"/>
    <w:rsid w:val="00514D26"/>
    <w:rsid w:val="005155D9"/>
    <w:rsid w:val="005169AD"/>
    <w:rsid w:val="00517B9C"/>
    <w:rsid w:val="0052064C"/>
    <w:rsid w:val="00521078"/>
    <w:rsid w:val="005250CC"/>
    <w:rsid w:val="00526BBD"/>
    <w:rsid w:val="0053078F"/>
    <w:rsid w:val="00536EB2"/>
    <w:rsid w:val="005372EA"/>
    <w:rsid w:val="0053748A"/>
    <w:rsid w:val="00541BEF"/>
    <w:rsid w:val="00553005"/>
    <w:rsid w:val="005538A3"/>
    <w:rsid w:val="00554ACB"/>
    <w:rsid w:val="00556427"/>
    <w:rsid w:val="00566D73"/>
    <w:rsid w:val="00570AA0"/>
    <w:rsid w:val="00575E3B"/>
    <w:rsid w:val="005773CE"/>
    <w:rsid w:val="005805BC"/>
    <w:rsid w:val="00582699"/>
    <w:rsid w:val="00583C56"/>
    <w:rsid w:val="00584805"/>
    <w:rsid w:val="00586ABB"/>
    <w:rsid w:val="00587E93"/>
    <w:rsid w:val="00591AF5"/>
    <w:rsid w:val="00592378"/>
    <w:rsid w:val="00596A52"/>
    <w:rsid w:val="00596B79"/>
    <w:rsid w:val="005A0034"/>
    <w:rsid w:val="005A0DAD"/>
    <w:rsid w:val="005B10B7"/>
    <w:rsid w:val="005B4259"/>
    <w:rsid w:val="005B5947"/>
    <w:rsid w:val="005C31E0"/>
    <w:rsid w:val="005C44E2"/>
    <w:rsid w:val="005C5D0F"/>
    <w:rsid w:val="005C6059"/>
    <w:rsid w:val="005C661A"/>
    <w:rsid w:val="005C7640"/>
    <w:rsid w:val="005C7FB5"/>
    <w:rsid w:val="005D0686"/>
    <w:rsid w:val="005D35AA"/>
    <w:rsid w:val="005D3CC8"/>
    <w:rsid w:val="005D4341"/>
    <w:rsid w:val="005D60EC"/>
    <w:rsid w:val="005D643F"/>
    <w:rsid w:val="005D7C95"/>
    <w:rsid w:val="005E342D"/>
    <w:rsid w:val="005E5250"/>
    <w:rsid w:val="005F1C09"/>
    <w:rsid w:val="005F1EB1"/>
    <w:rsid w:val="005F2CE7"/>
    <w:rsid w:val="005F4228"/>
    <w:rsid w:val="005F44BF"/>
    <w:rsid w:val="005F7986"/>
    <w:rsid w:val="006022E7"/>
    <w:rsid w:val="00602CD4"/>
    <w:rsid w:val="0060776D"/>
    <w:rsid w:val="006135CD"/>
    <w:rsid w:val="00613B54"/>
    <w:rsid w:val="00615A24"/>
    <w:rsid w:val="00615D4E"/>
    <w:rsid w:val="006172D1"/>
    <w:rsid w:val="00617F56"/>
    <w:rsid w:val="00621DEA"/>
    <w:rsid w:val="0062230D"/>
    <w:rsid w:val="006223EF"/>
    <w:rsid w:val="00625C5F"/>
    <w:rsid w:val="00627126"/>
    <w:rsid w:val="00630D92"/>
    <w:rsid w:val="00631CFD"/>
    <w:rsid w:val="006343A8"/>
    <w:rsid w:val="00635EC2"/>
    <w:rsid w:val="00635FE3"/>
    <w:rsid w:val="00637690"/>
    <w:rsid w:val="00640D66"/>
    <w:rsid w:val="006413FD"/>
    <w:rsid w:val="00641493"/>
    <w:rsid w:val="00642972"/>
    <w:rsid w:val="00643CA2"/>
    <w:rsid w:val="006443D6"/>
    <w:rsid w:val="00652DB4"/>
    <w:rsid w:val="00653606"/>
    <w:rsid w:val="00653E2F"/>
    <w:rsid w:val="00654428"/>
    <w:rsid w:val="00660ABA"/>
    <w:rsid w:val="00661574"/>
    <w:rsid w:val="006635F3"/>
    <w:rsid w:val="00665015"/>
    <w:rsid w:val="00670B88"/>
    <w:rsid w:val="006729EE"/>
    <w:rsid w:val="00672E1D"/>
    <w:rsid w:val="00676E02"/>
    <w:rsid w:val="00677C7C"/>
    <w:rsid w:val="00680F35"/>
    <w:rsid w:val="00684164"/>
    <w:rsid w:val="006850F1"/>
    <w:rsid w:val="0069037C"/>
    <w:rsid w:val="0069293D"/>
    <w:rsid w:val="006930D4"/>
    <w:rsid w:val="006944C4"/>
    <w:rsid w:val="00695136"/>
    <w:rsid w:val="006962CC"/>
    <w:rsid w:val="006977A2"/>
    <w:rsid w:val="006A1C84"/>
    <w:rsid w:val="006A4AE9"/>
    <w:rsid w:val="006A4BA1"/>
    <w:rsid w:val="006B0E30"/>
    <w:rsid w:val="006B191C"/>
    <w:rsid w:val="006B5C1D"/>
    <w:rsid w:val="006B665D"/>
    <w:rsid w:val="006B7474"/>
    <w:rsid w:val="006C5AB4"/>
    <w:rsid w:val="006C75D3"/>
    <w:rsid w:val="006D282C"/>
    <w:rsid w:val="006D2874"/>
    <w:rsid w:val="006D2BBC"/>
    <w:rsid w:val="006D4EF3"/>
    <w:rsid w:val="006D5078"/>
    <w:rsid w:val="006E6495"/>
    <w:rsid w:val="006F01E5"/>
    <w:rsid w:val="006F0C3A"/>
    <w:rsid w:val="006F1E60"/>
    <w:rsid w:val="006F21BC"/>
    <w:rsid w:val="006F2FEF"/>
    <w:rsid w:val="006F70E6"/>
    <w:rsid w:val="006F782F"/>
    <w:rsid w:val="00700807"/>
    <w:rsid w:val="007021DC"/>
    <w:rsid w:val="007116A0"/>
    <w:rsid w:val="00713CF7"/>
    <w:rsid w:val="00714734"/>
    <w:rsid w:val="0071514D"/>
    <w:rsid w:val="00716F39"/>
    <w:rsid w:val="007176D1"/>
    <w:rsid w:val="00717A5D"/>
    <w:rsid w:val="00717EE0"/>
    <w:rsid w:val="00722B54"/>
    <w:rsid w:val="007275D5"/>
    <w:rsid w:val="00736B90"/>
    <w:rsid w:val="0073729D"/>
    <w:rsid w:val="0074669D"/>
    <w:rsid w:val="00746D9F"/>
    <w:rsid w:val="00747BD7"/>
    <w:rsid w:val="007505F6"/>
    <w:rsid w:val="0075319E"/>
    <w:rsid w:val="00753E21"/>
    <w:rsid w:val="00755C3D"/>
    <w:rsid w:val="007575C7"/>
    <w:rsid w:val="007607A7"/>
    <w:rsid w:val="00762C28"/>
    <w:rsid w:val="007640BE"/>
    <w:rsid w:val="0076412B"/>
    <w:rsid w:val="007657F7"/>
    <w:rsid w:val="00765B2D"/>
    <w:rsid w:val="00766371"/>
    <w:rsid w:val="00767CC7"/>
    <w:rsid w:val="00774909"/>
    <w:rsid w:val="0078085D"/>
    <w:rsid w:val="00781B36"/>
    <w:rsid w:val="007824C5"/>
    <w:rsid w:val="007852FC"/>
    <w:rsid w:val="007913F5"/>
    <w:rsid w:val="00791615"/>
    <w:rsid w:val="007941FB"/>
    <w:rsid w:val="00794A39"/>
    <w:rsid w:val="00795D4A"/>
    <w:rsid w:val="007A022A"/>
    <w:rsid w:val="007A04D2"/>
    <w:rsid w:val="007A111F"/>
    <w:rsid w:val="007A368E"/>
    <w:rsid w:val="007A509F"/>
    <w:rsid w:val="007A52FC"/>
    <w:rsid w:val="007A6EB4"/>
    <w:rsid w:val="007B185F"/>
    <w:rsid w:val="007B1B81"/>
    <w:rsid w:val="007B294E"/>
    <w:rsid w:val="007B3337"/>
    <w:rsid w:val="007B58DD"/>
    <w:rsid w:val="007B5D84"/>
    <w:rsid w:val="007C0C46"/>
    <w:rsid w:val="007C170F"/>
    <w:rsid w:val="007C22C3"/>
    <w:rsid w:val="007C2BD0"/>
    <w:rsid w:val="007C635C"/>
    <w:rsid w:val="007D2A88"/>
    <w:rsid w:val="007D2D4A"/>
    <w:rsid w:val="007D44E0"/>
    <w:rsid w:val="007E44BA"/>
    <w:rsid w:val="007E4CE5"/>
    <w:rsid w:val="007E4E9F"/>
    <w:rsid w:val="007E4FC1"/>
    <w:rsid w:val="007E775E"/>
    <w:rsid w:val="007F1E33"/>
    <w:rsid w:val="007F33A0"/>
    <w:rsid w:val="008017B6"/>
    <w:rsid w:val="00803613"/>
    <w:rsid w:val="0080714D"/>
    <w:rsid w:val="00810D47"/>
    <w:rsid w:val="00816871"/>
    <w:rsid w:val="00823138"/>
    <w:rsid w:val="00824102"/>
    <w:rsid w:val="00825123"/>
    <w:rsid w:val="008256E4"/>
    <w:rsid w:val="00825F6F"/>
    <w:rsid w:val="0082729D"/>
    <w:rsid w:val="00827A89"/>
    <w:rsid w:val="00831EEC"/>
    <w:rsid w:val="00832756"/>
    <w:rsid w:val="008373E3"/>
    <w:rsid w:val="00842925"/>
    <w:rsid w:val="00842DCA"/>
    <w:rsid w:val="00843D0D"/>
    <w:rsid w:val="00844561"/>
    <w:rsid w:val="00850E5B"/>
    <w:rsid w:val="00855DD3"/>
    <w:rsid w:val="00856FFE"/>
    <w:rsid w:val="008570FE"/>
    <w:rsid w:val="00857ED2"/>
    <w:rsid w:val="0086605A"/>
    <w:rsid w:val="0086610E"/>
    <w:rsid w:val="00866F92"/>
    <w:rsid w:val="0086704C"/>
    <w:rsid w:val="008704EB"/>
    <w:rsid w:val="00871317"/>
    <w:rsid w:val="00872EFF"/>
    <w:rsid w:val="00877121"/>
    <w:rsid w:val="00880B45"/>
    <w:rsid w:val="00881740"/>
    <w:rsid w:val="00884815"/>
    <w:rsid w:val="008863E2"/>
    <w:rsid w:val="008911B9"/>
    <w:rsid w:val="00891573"/>
    <w:rsid w:val="008918C5"/>
    <w:rsid w:val="00891FC0"/>
    <w:rsid w:val="00893582"/>
    <w:rsid w:val="008A025E"/>
    <w:rsid w:val="008A3A69"/>
    <w:rsid w:val="008A5FCF"/>
    <w:rsid w:val="008A76D4"/>
    <w:rsid w:val="008B02C6"/>
    <w:rsid w:val="008B5F3B"/>
    <w:rsid w:val="008B6342"/>
    <w:rsid w:val="008B7450"/>
    <w:rsid w:val="008B7456"/>
    <w:rsid w:val="008B7726"/>
    <w:rsid w:val="008B7FF5"/>
    <w:rsid w:val="008C3CBC"/>
    <w:rsid w:val="008C4806"/>
    <w:rsid w:val="008C60EC"/>
    <w:rsid w:val="008C76E2"/>
    <w:rsid w:val="008D0EE2"/>
    <w:rsid w:val="008D1879"/>
    <w:rsid w:val="008D3A5B"/>
    <w:rsid w:val="008D4FFD"/>
    <w:rsid w:val="008D7C39"/>
    <w:rsid w:val="008E03DB"/>
    <w:rsid w:val="008E0D66"/>
    <w:rsid w:val="008E31DC"/>
    <w:rsid w:val="008E6A46"/>
    <w:rsid w:val="008E7E17"/>
    <w:rsid w:val="008F06DA"/>
    <w:rsid w:val="008F3FB7"/>
    <w:rsid w:val="008F41BF"/>
    <w:rsid w:val="008F4B30"/>
    <w:rsid w:val="008F6ABC"/>
    <w:rsid w:val="008F728C"/>
    <w:rsid w:val="00910179"/>
    <w:rsid w:val="00911A2D"/>
    <w:rsid w:val="009146BF"/>
    <w:rsid w:val="00917C78"/>
    <w:rsid w:val="00921430"/>
    <w:rsid w:val="00921573"/>
    <w:rsid w:val="00924823"/>
    <w:rsid w:val="00926342"/>
    <w:rsid w:val="00927F8D"/>
    <w:rsid w:val="00932BAC"/>
    <w:rsid w:val="0093748F"/>
    <w:rsid w:val="00945E99"/>
    <w:rsid w:val="00945EAB"/>
    <w:rsid w:val="009471AC"/>
    <w:rsid w:val="009479F9"/>
    <w:rsid w:val="00952CA7"/>
    <w:rsid w:val="00954A90"/>
    <w:rsid w:val="00954F47"/>
    <w:rsid w:val="00955B8D"/>
    <w:rsid w:val="00955E77"/>
    <w:rsid w:val="009614A2"/>
    <w:rsid w:val="0096591C"/>
    <w:rsid w:val="00967FFA"/>
    <w:rsid w:val="00970AC1"/>
    <w:rsid w:val="00974D29"/>
    <w:rsid w:val="009753F2"/>
    <w:rsid w:val="009810B2"/>
    <w:rsid w:val="0098491D"/>
    <w:rsid w:val="00986C27"/>
    <w:rsid w:val="00987515"/>
    <w:rsid w:val="0098755D"/>
    <w:rsid w:val="00990F85"/>
    <w:rsid w:val="00995E6E"/>
    <w:rsid w:val="009A022F"/>
    <w:rsid w:val="009A2382"/>
    <w:rsid w:val="009A3B40"/>
    <w:rsid w:val="009A4014"/>
    <w:rsid w:val="009A563F"/>
    <w:rsid w:val="009A681B"/>
    <w:rsid w:val="009A7223"/>
    <w:rsid w:val="009B2036"/>
    <w:rsid w:val="009B2A2E"/>
    <w:rsid w:val="009B4DF2"/>
    <w:rsid w:val="009B65A3"/>
    <w:rsid w:val="009C14AC"/>
    <w:rsid w:val="009C243A"/>
    <w:rsid w:val="009C42B2"/>
    <w:rsid w:val="009C652E"/>
    <w:rsid w:val="009C694F"/>
    <w:rsid w:val="009C7428"/>
    <w:rsid w:val="009C789A"/>
    <w:rsid w:val="009D2FB0"/>
    <w:rsid w:val="009D39EA"/>
    <w:rsid w:val="009D4259"/>
    <w:rsid w:val="009E4411"/>
    <w:rsid w:val="009F000F"/>
    <w:rsid w:val="009F19E0"/>
    <w:rsid w:val="009F3D29"/>
    <w:rsid w:val="00A0024B"/>
    <w:rsid w:val="00A016BB"/>
    <w:rsid w:val="00A02326"/>
    <w:rsid w:val="00A02494"/>
    <w:rsid w:val="00A07B6C"/>
    <w:rsid w:val="00A11BD3"/>
    <w:rsid w:val="00A12236"/>
    <w:rsid w:val="00A13AD6"/>
    <w:rsid w:val="00A13B7B"/>
    <w:rsid w:val="00A15B53"/>
    <w:rsid w:val="00A160C1"/>
    <w:rsid w:val="00A1614F"/>
    <w:rsid w:val="00A214FF"/>
    <w:rsid w:val="00A22728"/>
    <w:rsid w:val="00A23416"/>
    <w:rsid w:val="00A23B11"/>
    <w:rsid w:val="00A2584F"/>
    <w:rsid w:val="00A31A07"/>
    <w:rsid w:val="00A3236F"/>
    <w:rsid w:val="00A34C3F"/>
    <w:rsid w:val="00A34E71"/>
    <w:rsid w:val="00A3701D"/>
    <w:rsid w:val="00A43A86"/>
    <w:rsid w:val="00A44F4E"/>
    <w:rsid w:val="00A451FE"/>
    <w:rsid w:val="00A477AD"/>
    <w:rsid w:val="00A477B8"/>
    <w:rsid w:val="00A50BB4"/>
    <w:rsid w:val="00A5176D"/>
    <w:rsid w:val="00A52661"/>
    <w:rsid w:val="00A57FA8"/>
    <w:rsid w:val="00A60536"/>
    <w:rsid w:val="00A61E5D"/>
    <w:rsid w:val="00A64020"/>
    <w:rsid w:val="00A64300"/>
    <w:rsid w:val="00A7048B"/>
    <w:rsid w:val="00A727D3"/>
    <w:rsid w:val="00A739F6"/>
    <w:rsid w:val="00A75234"/>
    <w:rsid w:val="00A775E4"/>
    <w:rsid w:val="00A84FE3"/>
    <w:rsid w:val="00A878E8"/>
    <w:rsid w:val="00A924B1"/>
    <w:rsid w:val="00A94A09"/>
    <w:rsid w:val="00A94D54"/>
    <w:rsid w:val="00A97060"/>
    <w:rsid w:val="00A97E47"/>
    <w:rsid w:val="00AA09E9"/>
    <w:rsid w:val="00AA0EB7"/>
    <w:rsid w:val="00AA145B"/>
    <w:rsid w:val="00AA3183"/>
    <w:rsid w:val="00AA4DB0"/>
    <w:rsid w:val="00AA594F"/>
    <w:rsid w:val="00AA6216"/>
    <w:rsid w:val="00AA73AE"/>
    <w:rsid w:val="00AA7A2C"/>
    <w:rsid w:val="00AB1640"/>
    <w:rsid w:val="00AB1967"/>
    <w:rsid w:val="00AB28D1"/>
    <w:rsid w:val="00AB364B"/>
    <w:rsid w:val="00AB380B"/>
    <w:rsid w:val="00AB60E5"/>
    <w:rsid w:val="00AC187A"/>
    <w:rsid w:val="00AC1EB5"/>
    <w:rsid w:val="00AC5095"/>
    <w:rsid w:val="00AC65F8"/>
    <w:rsid w:val="00AC7FF0"/>
    <w:rsid w:val="00AD0710"/>
    <w:rsid w:val="00AD0E21"/>
    <w:rsid w:val="00AD137E"/>
    <w:rsid w:val="00AD39A3"/>
    <w:rsid w:val="00AD562F"/>
    <w:rsid w:val="00AD73A8"/>
    <w:rsid w:val="00AD7DEB"/>
    <w:rsid w:val="00AE1F42"/>
    <w:rsid w:val="00AE3DC1"/>
    <w:rsid w:val="00AE7724"/>
    <w:rsid w:val="00AE7D79"/>
    <w:rsid w:val="00AF4D25"/>
    <w:rsid w:val="00AF5097"/>
    <w:rsid w:val="00B05F23"/>
    <w:rsid w:val="00B07A7A"/>
    <w:rsid w:val="00B1002B"/>
    <w:rsid w:val="00B11D48"/>
    <w:rsid w:val="00B122F0"/>
    <w:rsid w:val="00B14077"/>
    <w:rsid w:val="00B179A9"/>
    <w:rsid w:val="00B26B28"/>
    <w:rsid w:val="00B31273"/>
    <w:rsid w:val="00B328B4"/>
    <w:rsid w:val="00B36BAA"/>
    <w:rsid w:val="00B40366"/>
    <w:rsid w:val="00B409C9"/>
    <w:rsid w:val="00B42453"/>
    <w:rsid w:val="00B43F73"/>
    <w:rsid w:val="00B464B6"/>
    <w:rsid w:val="00B46CB9"/>
    <w:rsid w:val="00B47F2B"/>
    <w:rsid w:val="00B50AEB"/>
    <w:rsid w:val="00B53713"/>
    <w:rsid w:val="00B54D98"/>
    <w:rsid w:val="00B5674C"/>
    <w:rsid w:val="00B623E7"/>
    <w:rsid w:val="00B6279C"/>
    <w:rsid w:val="00B64034"/>
    <w:rsid w:val="00B65B6C"/>
    <w:rsid w:val="00B6609F"/>
    <w:rsid w:val="00B67ED5"/>
    <w:rsid w:val="00B75773"/>
    <w:rsid w:val="00B81CDF"/>
    <w:rsid w:val="00B82D9B"/>
    <w:rsid w:val="00B84FA9"/>
    <w:rsid w:val="00B87949"/>
    <w:rsid w:val="00B918FE"/>
    <w:rsid w:val="00B91B8A"/>
    <w:rsid w:val="00B92CB9"/>
    <w:rsid w:val="00B93DA5"/>
    <w:rsid w:val="00B94541"/>
    <w:rsid w:val="00B961AE"/>
    <w:rsid w:val="00B97630"/>
    <w:rsid w:val="00BA085B"/>
    <w:rsid w:val="00BA30B2"/>
    <w:rsid w:val="00BA5769"/>
    <w:rsid w:val="00BA760E"/>
    <w:rsid w:val="00BB5614"/>
    <w:rsid w:val="00BC5EAC"/>
    <w:rsid w:val="00BC6738"/>
    <w:rsid w:val="00BD0103"/>
    <w:rsid w:val="00BD3BF8"/>
    <w:rsid w:val="00BD44C6"/>
    <w:rsid w:val="00BD5482"/>
    <w:rsid w:val="00BD6406"/>
    <w:rsid w:val="00BE148E"/>
    <w:rsid w:val="00BE1A37"/>
    <w:rsid w:val="00BE3259"/>
    <w:rsid w:val="00BE4115"/>
    <w:rsid w:val="00BE6859"/>
    <w:rsid w:val="00BF326E"/>
    <w:rsid w:val="00BF6DD4"/>
    <w:rsid w:val="00BF736E"/>
    <w:rsid w:val="00C009FA"/>
    <w:rsid w:val="00C0689D"/>
    <w:rsid w:val="00C1798D"/>
    <w:rsid w:val="00C17C9C"/>
    <w:rsid w:val="00C203FE"/>
    <w:rsid w:val="00C23A2E"/>
    <w:rsid w:val="00C26D41"/>
    <w:rsid w:val="00C27584"/>
    <w:rsid w:val="00C3391C"/>
    <w:rsid w:val="00C3469A"/>
    <w:rsid w:val="00C37755"/>
    <w:rsid w:val="00C37F7C"/>
    <w:rsid w:val="00C43AD7"/>
    <w:rsid w:val="00C44332"/>
    <w:rsid w:val="00C45313"/>
    <w:rsid w:val="00C45528"/>
    <w:rsid w:val="00C51939"/>
    <w:rsid w:val="00C5262E"/>
    <w:rsid w:val="00C52C57"/>
    <w:rsid w:val="00C57243"/>
    <w:rsid w:val="00C574B2"/>
    <w:rsid w:val="00C60239"/>
    <w:rsid w:val="00C63FFD"/>
    <w:rsid w:val="00C6419D"/>
    <w:rsid w:val="00C642C5"/>
    <w:rsid w:val="00C77142"/>
    <w:rsid w:val="00C8076A"/>
    <w:rsid w:val="00C8415C"/>
    <w:rsid w:val="00C84FB1"/>
    <w:rsid w:val="00C875E1"/>
    <w:rsid w:val="00C91052"/>
    <w:rsid w:val="00C91689"/>
    <w:rsid w:val="00CA2154"/>
    <w:rsid w:val="00CA510E"/>
    <w:rsid w:val="00CA68CF"/>
    <w:rsid w:val="00CB0165"/>
    <w:rsid w:val="00CB0DC1"/>
    <w:rsid w:val="00CB59D3"/>
    <w:rsid w:val="00CB5E37"/>
    <w:rsid w:val="00CC1A5D"/>
    <w:rsid w:val="00CC2858"/>
    <w:rsid w:val="00CC661F"/>
    <w:rsid w:val="00CC76EF"/>
    <w:rsid w:val="00CC7F01"/>
    <w:rsid w:val="00CD0B93"/>
    <w:rsid w:val="00CD0CE9"/>
    <w:rsid w:val="00CD45DB"/>
    <w:rsid w:val="00CD7838"/>
    <w:rsid w:val="00CD7B9C"/>
    <w:rsid w:val="00CE099B"/>
    <w:rsid w:val="00CE1D3E"/>
    <w:rsid w:val="00CE1F2D"/>
    <w:rsid w:val="00CE2B5B"/>
    <w:rsid w:val="00CE62E6"/>
    <w:rsid w:val="00CE63B3"/>
    <w:rsid w:val="00CF2CCD"/>
    <w:rsid w:val="00CF384D"/>
    <w:rsid w:val="00CF5A81"/>
    <w:rsid w:val="00CF7AF5"/>
    <w:rsid w:val="00D00112"/>
    <w:rsid w:val="00D0309A"/>
    <w:rsid w:val="00D05807"/>
    <w:rsid w:val="00D06AD8"/>
    <w:rsid w:val="00D07C87"/>
    <w:rsid w:val="00D1092D"/>
    <w:rsid w:val="00D10BB6"/>
    <w:rsid w:val="00D11820"/>
    <w:rsid w:val="00D15191"/>
    <w:rsid w:val="00D210C5"/>
    <w:rsid w:val="00D24AA6"/>
    <w:rsid w:val="00D2796A"/>
    <w:rsid w:val="00D31883"/>
    <w:rsid w:val="00D31D50"/>
    <w:rsid w:val="00D35F58"/>
    <w:rsid w:val="00D35FCA"/>
    <w:rsid w:val="00D4257E"/>
    <w:rsid w:val="00D42FF5"/>
    <w:rsid w:val="00D44EE8"/>
    <w:rsid w:val="00D4590C"/>
    <w:rsid w:val="00D469DA"/>
    <w:rsid w:val="00D509A9"/>
    <w:rsid w:val="00D50DCE"/>
    <w:rsid w:val="00D51F54"/>
    <w:rsid w:val="00D56004"/>
    <w:rsid w:val="00D56BFC"/>
    <w:rsid w:val="00D62BB8"/>
    <w:rsid w:val="00D65F6F"/>
    <w:rsid w:val="00D667CA"/>
    <w:rsid w:val="00D71ADF"/>
    <w:rsid w:val="00D72BE5"/>
    <w:rsid w:val="00D77CF0"/>
    <w:rsid w:val="00D813C7"/>
    <w:rsid w:val="00D82169"/>
    <w:rsid w:val="00D82613"/>
    <w:rsid w:val="00D84100"/>
    <w:rsid w:val="00D85DB4"/>
    <w:rsid w:val="00D90B57"/>
    <w:rsid w:val="00D92089"/>
    <w:rsid w:val="00D93DE3"/>
    <w:rsid w:val="00DA093C"/>
    <w:rsid w:val="00DA1CCE"/>
    <w:rsid w:val="00DA1E93"/>
    <w:rsid w:val="00DA3B7E"/>
    <w:rsid w:val="00DA4D12"/>
    <w:rsid w:val="00DA7826"/>
    <w:rsid w:val="00DB372A"/>
    <w:rsid w:val="00DB5554"/>
    <w:rsid w:val="00DB577E"/>
    <w:rsid w:val="00DB750A"/>
    <w:rsid w:val="00DC05F2"/>
    <w:rsid w:val="00DC38BD"/>
    <w:rsid w:val="00DC6F17"/>
    <w:rsid w:val="00DC7706"/>
    <w:rsid w:val="00DC7F52"/>
    <w:rsid w:val="00DD0166"/>
    <w:rsid w:val="00DD2B95"/>
    <w:rsid w:val="00DD45D3"/>
    <w:rsid w:val="00DD5A35"/>
    <w:rsid w:val="00DE0591"/>
    <w:rsid w:val="00DE753D"/>
    <w:rsid w:val="00DF14BA"/>
    <w:rsid w:val="00DF57F4"/>
    <w:rsid w:val="00DF76B1"/>
    <w:rsid w:val="00E021D8"/>
    <w:rsid w:val="00E05830"/>
    <w:rsid w:val="00E05E5D"/>
    <w:rsid w:val="00E0636A"/>
    <w:rsid w:val="00E1071E"/>
    <w:rsid w:val="00E10774"/>
    <w:rsid w:val="00E109D2"/>
    <w:rsid w:val="00E1313D"/>
    <w:rsid w:val="00E13F0D"/>
    <w:rsid w:val="00E17165"/>
    <w:rsid w:val="00E20CE6"/>
    <w:rsid w:val="00E22EB6"/>
    <w:rsid w:val="00E22FF9"/>
    <w:rsid w:val="00E2695F"/>
    <w:rsid w:val="00E311BF"/>
    <w:rsid w:val="00E31F79"/>
    <w:rsid w:val="00E33203"/>
    <w:rsid w:val="00E357C9"/>
    <w:rsid w:val="00E3635B"/>
    <w:rsid w:val="00E36A73"/>
    <w:rsid w:val="00E409D7"/>
    <w:rsid w:val="00E41190"/>
    <w:rsid w:val="00E44937"/>
    <w:rsid w:val="00E45307"/>
    <w:rsid w:val="00E503F0"/>
    <w:rsid w:val="00E516C5"/>
    <w:rsid w:val="00E5431A"/>
    <w:rsid w:val="00E54621"/>
    <w:rsid w:val="00E54D32"/>
    <w:rsid w:val="00E57076"/>
    <w:rsid w:val="00E60712"/>
    <w:rsid w:val="00E60B2A"/>
    <w:rsid w:val="00E60EB8"/>
    <w:rsid w:val="00E66CB7"/>
    <w:rsid w:val="00E701D8"/>
    <w:rsid w:val="00E745F8"/>
    <w:rsid w:val="00E74656"/>
    <w:rsid w:val="00E757F3"/>
    <w:rsid w:val="00E76A84"/>
    <w:rsid w:val="00E81681"/>
    <w:rsid w:val="00E81F8C"/>
    <w:rsid w:val="00E82F66"/>
    <w:rsid w:val="00E833AE"/>
    <w:rsid w:val="00E84D40"/>
    <w:rsid w:val="00E868E2"/>
    <w:rsid w:val="00E877D8"/>
    <w:rsid w:val="00E87A48"/>
    <w:rsid w:val="00E90559"/>
    <w:rsid w:val="00E9128D"/>
    <w:rsid w:val="00E9200B"/>
    <w:rsid w:val="00E9243A"/>
    <w:rsid w:val="00EA011F"/>
    <w:rsid w:val="00EA047A"/>
    <w:rsid w:val="00EA4BD7"/>
    <w:rsid w:val="00EA4E43"/>
    <w:rsid w:val="00EA57E4"/>
    <w:rsid w:val="00EB3CC4"/>
    <w:rsid w:val="00EB4308"/>
    <w:rsid w:val="00EB5079"/>
    <w:rsid w:val="00EB5BE6"/>
    <w:rsid w:val="00EB7748"/>
    <w:rsid w:val="00EC1AF2"/>
    <w:rsid w:val="00EC3532"/>
    <w:rsid w:val="00EC44EA"/>
    <w:rsid w:val="00EC4C23"/>
    <w:rsid w:val="00ED016E"/>
    <w:rsid w:val="00ED0DAA"/>
    <w:rsid w:val="00ED2376"/>
    <w:rsid w:val="00EE06BA"/>
    <w:rsid w:val="00EE2C2E"/>
    <w:rsid w:val="00EE2FF8"/>
    <w:rsid w:val="00EE43F5"/>
    <w:rsid w:val="00EE4B0E"/>
    <w:rsid w:val="00EE4BC4"/>
    <w:rsid w:val="00EE78C3"/>
    <w:rsid w:val="00EF058A"/>
    <w:rsid w:val="00EF1B92"/>
    <w:rsid w:val="00EF2E28"/>
    <w:rsid w:val="00EF4F98"/>
    <w:rsid w:val="00EF5393"/>
    <w:rsid w:val="00EF7696"/>
    <w:rsid w:val="00F045E4"/>
    <w:rsid w:val="00F05E63"/>
    <w:rsid w:val="00F065B5"/>
    <w:rsid w:val="00F07E3B"/>
    <w:rsid w:val="00F10A82"/>
    <w:rsid w:val="00F124EC"/>
    <w:rsid w:val="00F13593"/>
    <w:rsid w:val="00F157D9"/>
    <w:rsid w:val="00F15860"/>
    <w:rsid w:val="00F21335"/>
    <w:rsid w:val="00F22AE4"/>
    <w:rsid w:val="00F22E2E"/>
    <w:rsid w:val="00F238AA"/>
    <w:rsid w:val="00F2436D"/>
    <w:rsid w:val="00F2615C"/>
    <w:rsid w:val="00F26DFF"/>
    <w:rsid w:val="00F33F89"/>
    <w:rsid w:val="00F35B1F"/>
    <w:rsid w:val="00F47FBB"/>
    <w:rsid w:val="00F513BA"/>
    <w:rsid w:val="00F51A05"/>
    <w:rsid w:val="00F54A3B"/>
    <w:rsid w:val="00F55401"/>
    <w:rsid w:val="00F554C2"/>
    <w:rsid w:val="00F55B3D"/>
    <w:rsid w:val="00F573F1"/>
    <w:rsid w:val="00F60887"/>
    <w:rsid w:val="00F6296B"/>
    <w:rsid w:val="00F6611B"/>
    <w:rsid w:val="00F66615"/>
    <w:rsid w:val="00F666EE"/>
    <w:rsid w:val="00F71B06"/>
    <w:rsid w:val="00F7219D"/>
    <w:rsid w:val="00F725C1"/>
    <w:rsid w:val="00F72EDB"/>
    <w:rsid w:val="00F743A7"/>
    <w:rsid w:val="00F743C5"/>
    <w:rsid w:val="00F841CB"/>
    <w:rsid w:val="00F8597E"/>
    <w:rsid w:val="00F8617B"/>
    <w:rsid w:val="00F87FA0"/>
    <w:rsid w:val="00F90A86"/>
    <w:rsid w:val="00F915F8"/>
    <w:rsid w:val="00F93E5C"/>
    <w:rsid w:val="00F940FA"/>
    <w:rsid w:val="00F943F5"/>
    <w:rsid w:val="00F943F6"/>
    <w:rsid w:val="00F956F2"/>
    <w:rsid w:val="00F976E3"/>
    <w:rsid w:val="00F979E4"/>
    <w:rsid w:val="00FA1236"/>
    <w:rsid w:val="00FA33F8"/>
    <w:rsid w:val="00FA3FD6"/>
    <w:rsid w:val="00FA45EC"/>
    <w:rsid w:val="00FA59EB"/>
    <w:rsid w:val="00FB2E32"/>
    <w:rsid w:val="00FB2EC3"/>
    <w:rsid w:val="00FB77E6"/>
    <w:rsid w:val="00FC116E"/>
    <w:rsid w:val="00FC24CA"/>
    <w:rsid w:val="00FC4B38"/>
    <w:rsid w:val="00FC5F3D"/>
    <w:rsid w:val="00FC709A"/>
    <w:rsid w:val="00FD064E"/>
    <w:rsid w:val="00FD0FB7"/>
    <w:rsid w:val="00FD3B07"/>
    <w:rsid w:val="00FE7719"/>
    <w:rsid w:val="00FF325E"/>
    <w:rsid w:val="014B5583"/>
    <w:rsid w:val="015B764F"/>
    <w:rsid w:val="01876562"/>
    <w:rsid w:val="019A1690"/>
    <w:rsid w:val="01D379A7"/>
    <w:rsid w:val="01DA1902"/>
    <w:rsid w:val="01E22965"/>
    <w:rsid w:val="02544395"/>
    <w:rsid w:val="02561E83"/>
    <w:rsid w:val="026A2FF1"/>
    <w:rsid w:val="02C6455E"/>
    <w:rsid w:val="03271B13"/>
    <w:rsid w:val="035970A5"/>
    <w:rsid w:val="037073E3"/>
    <w:rsid w:val="03A92725"/>
    <w:rsid w:val="03B24845"/>
    <w:rsid w:val="04116187"/>
    <w:rsid w:val="04182FD2"/>
    <w:rsid w:val="04357814"/>
    <w:rsid w:val="0481012B"/>
    <w:rsid w:val="049A046D"/>
    <w:rsid w:val="04A671EB"/>
    <w:rsid w:val="04E85BE4"/>
    <w:rsid w:val="058A2CC9"/>
    <w:rsid w:val="063C48E7"/>
    <w:rsid w:val="06746253"/>
    <w:rsid w:val="068E7B0C"/>
    <w:rsid w:val="06FE33D8"/>
    <w:rsid w:val="07180644"/>
    <w:rsid w:val="072E13B2"/>
    <w:rsid w:val="07380505"/>
    <w:rsid w:val="07506225"/>
    <w:rsid w:val="076A0520"/>
    <w:rsid w:val="07705306"/>
    <w:rsid w:val="07981D17"/>
    <w:rsid w:val="083077EF"/>
    <w:rsid w:val="089C5B12"/>
    <w:rsid w:val="08B902E2"/>
    <w:rsid w:val="08BE24DE"/>
    <w:rsid w:val="08C37531"/>
    <w:rsid w:val="08CA5578"/>
    <w:rsid w:val="08D664BE"/>
    <w:rsid w:val="08DA08C0"/>
    <w:rsid w:val="097A63AE"/>
    <w:rsid w:val="09AA2A38"/>
    <w:rsid w:val="09BC1D58"/>
    <w:rsid w:val="0A1B5973"/>
    <w:rsid w:val="0A4D532F"/>
    <w:rsid w:val="0A520F86"/>
    <w:rsid w:val="0A5E767E"/>
    <w:rsid w:val="0A7D535B"/>
    <w:rsid w:val="0A911870"/>
    <w:rsid w:val="0AA77629"/>
    <w:rsid w:val="0AB95CF2"/>
    <w:rsid w:val="0AC533AE"/>
    <w:rsid w:val="0BE31A97"/>
    <w:rsid w:val="0C3B7D5E"/>
    <w:rsid w:val="0C8C7232"/>
    <w:rsid w:val="0C9B15EB"/>
    <w:rsid w:val="0C9D64E6"/>
    <w:rsid w:val="0CC369CD"/>
    <w:rsid w:val="0D165A31"/>
    <w:rsid w:val="0D2666DB"/>
    <w:rsid w:val="0D6C5A89"/>
    <w:rsid w:val="0D7D24CD"/>
    <w:rsid w:val="0DA47E5B"/>
    <w:rsid w:val="0E277F3B"/>
    <w:rsid w:val="0E7C1F37"/>
    <w:rsid w:val="0F2D46D8"/>
    <w:rsid w:val="0F352A88"/>
    <w:rsid w:val="0F7F52EC"/>
    <w:rsid w:val="0FE703B9"/>
    <w:rsid w:val="0FF67AB6"/>
    <w:rsid w:val="100E44DB"/>
    <w:rsid w:val="107D798C"/>
    <w:rsid w:val="109F7F4F"/>
    <w:rsid w:val="10D443CF"/>
    <w:rsid w:val="11162536"/>
    <w:rsid w:val="115465F2"/>
    <w:rsid w:val="115B458A"/>
    <w:rsid w:val="11794D32"/>
    <w:rsid w:val="118F7B2B"/>
    <w:rsid w:val="11AB4A7F"/>
    <w:rsid w:val="12214EFA"/>
    <w:rsid w:val="12505F34"/>
    <w:rsid w:val="12553B12"/>
    <w:rsid w:val="12582599"/>
    <w:rsid w:val="126B35D6"/>
    <w:rsid w:val="128A59A4"/>
    <w:rsid w:val="12CA0847"/>
    <w:rsid w:val="12DE1F76"/>
    <w:rsid w:val="12F15D1F"/>
    <w:rsid w:val="12FC1D84"/>
    <w:rsid w:val="13143E40"/>
    <w:rsid w:val="132061BE"/>
    <w:rsid w:val="141A12CA"/>
    <w:rsid w:val="1432087E"/>
    <w:rsid w:val="14A55CEF"/>
    <w:rsid w:val="14BB5A06"/>
    <w:rsid w:val="157951B9"/>
    <w:rsid w:val="15845EA2"/>
    <w:rsid w:val="158D1B5E"/>
    <w:rsid w:val="15BF7BA0"/>
    <w:rsid w:val="15C2259E"/>
    <w:rsid w:val="15E123ED"/>
    <w:rsid w:val="161E1E6D"/>
    <w:rsid w:val="16466DFC"/>
    <w:rsid w:val="168056DD"/>
    <w:rsid w:val="16BE2B60"/>
    <w:rsid w:val="175E770D"/>
    <w:rsid w:val="176F362E"/>
    <w:rsid w:val="179462EF"/>
    <w:rsid w:val="179B5415"/>
    <w:rsid w:val="17A34B7C"/>
    <w:rsid w:val="17C23A0C"/>
    <w:rsid w:val="17EE2EB8"/>
    <w:rsid w:val="17FE1D71"/>
    <w:rsid w:val="187B2733"/>
    <w:rsid w:val="18BB3774"/>
    <w:rsid w:val="18E63FF9"/>
    <w:rsid w:val="198C35C0"/>
    <w:rsid w:val="19CB2D3B"/>
    <w:rsid w:val="19D77F30"/>
    <w:rsid w:val="19DF6FF0"/>
    <w:rsid w:val="1A0B6598"/>
    <w:rsid w:val="1A775033"/>
    <w:rsid w:val="1A7F3CC5"/>
    <w:rsid w:val="1AB159C2"/>
    <w:rsid w:val="1AEC3464"/>
    <w:rsid w:val="1B166493"/>
    <w:rsid w:val="1B302EB1"/>
    <w:rsid w:val="1B3D4DF1"/>
    <w:rsid w:val="1B5B6521"/>
    <w:rsid w:val="1C195C7E"/>
    <w:rsid w:val="1C4D4F75"/>
    <w:rsid w:val="1CB05C76"/>
    <w:rsid w:val="1CC17DD8"/>
    <w:rsid w:val="1CC76434"/>
    <w:rsid w:val="1CFF6CEE"/>
    <w:rsid w:val="1D127DAB"/>
    <w:rsid w:val="1D134B5C"/>
    <w:rsid w:val="1D222359"/>
    <w:rsid w:val="1D28426B"/>
    <w:rsid w:val="1D2C242B"/>
    <w:rsid w:val="1D340EC3"/>
    <w:rsid w:val="1D350671"/>
    <w:rsid w:val="1D584E0A"/>
    <w:rsid w:val="1D752774"/>
    <w:rsid w:val="1DAD493F"/>
    <w:rsid w:val="1E5C1FE5"/>
    <w:rsid w:val="1E671ED8"/>
    <w:rsid w:val="1E67232D"/>
    <w:rsid w:val="1EEB19A7"/>
    <w:rsid w:val="1F076F2C"/>
    <w:rsid w:val="1F153901"/>
    <w:rsid w:val="1F5441CA"/>
    <w:rsid w:val="1F7039BB"/>
    <w:rsid w:val="1F9508DE"/>
    <w:rsid w:val="1FAA2CF3"/>
    <w:rsid w:val="1FC7448E"/>
    <w:rsid w:val="200603EA"/>
    <w:rsid w:val="204508CA"/>
    <w:rsid w:val="20546EB5"/>
    <w:rsid w:val="20973903"/>
    <w:rsid w:val="20BE582F"/>
    <w:rsid w:val="20E33F37"/>
    <w:rsid w:val="20E65282"/>
    <w:rsid w:val="20EF00E2"/>
    <w:rsid w:val="21682A7E"/>
    <w:rsid w:val="218E534B"/>
    <w:rsid w:val="21A516C0"/>
    <w:rsid w:val="21A70A44"/>
    <w:rsid w:val="21BA518C"/>
    <w:rsid w:val="21F703D1"/>
    <w:rsid w:val="2246287A"/>
    <w:rsid w:val="225966C3"/>
    <w:rsid w:val="22777EF2"/>
    <w:rsid w:val="22B36E8F"/>
    <w:rsid w:val="22D068D5"/>
    <w:rsid w:val="22DF5940"/>
    <w:rsid w:val="23172E2B"/>
    <w:rsid w:val="23180372"/>
    <w:rsid w:val="23193F7F"/>
    <w:rsid w:val="23233BC3"/>
    <w:rsid w:val="23475C44"/>
    <w:rsid w:val="23605D5C"/>
    <w:rsid w:val="23642E51"/>
    <w:rsid w:val="236B5B4E"/>
    <w:rsid w:val="238C6134"/>
    <w:rsid w:val="23EF6E8D"/>
    <w:rsid w:val="246937EE"/>
    <w:rsid w:val="24775812"/>
    <w:rsid w:val="249A0F12"/>
    <w:rsid w:val="24A110AD"/>
    <w:rsid w:val="253D661F"/>
    <w:rsid w:val="25A56A42"/>
    <w:rsid w:val="25A712AF"/>
    <w:rsid w:val="25E65862"/>
    <w:rsid w:val="25E75440"/>
    <w:rsid w:val="25FC25FD"/>
    <w:rsid w:val="26016247"/>
    <w:rsid w:val="264522EA"/>
    <w:rsid w:val="264E58E1"/>
    <w:rsid w:val="269B520B"/>
    <w:rsid w:val="26AA539F"/>
    <w:rsid w:val="26C372DE"/>
    <w:rsid w:val="273D5831"/>
    <w:rsid w:val="27473A24"/>
    <w:rsid w:val="27583B3A"/>
    <w:rsid w:val="276E458D"/>
    <w:rsid w:val="27853557"/>
    <w:rsid w:val="27DD3F0C"/>
    <w:rsid w:val="280755F4"/>
    <w:rsid w:val="282964AC"/>
    <w:rsid w:val="287D69C1"/>
    <w:rsid w:val="291700BA"/>
    <w:rsid w:val="291F5229"/>
    <w:rsid w:val="2992358B"/>
    <w:rsid w:val="29AF3E41"/>
    <w:rsid w:val="29F313EE"/>
    <w:rsid w:val="2A6A3315"/>
    <w:rsid w:val="2A9316B5"/>
    <w:rsid w:val="2AB222CD"/>
    <w:rsid w:val="2AD7076A"/>
    <w:rsid w:val="2AEA7FDA"/>
    <w:rsid w:val="2B2314FD"/>
    <w:rsid w:val="2B327DF7"/>
    <w:rsid w:val="2BC611C1"/>
    <w:rsid w:val="2BC70671"/>
    <w:rsid w:val="2BF640A5"/>
    <w:rsid w:val="2C653975"/>
    <w:rsid w:val="2C864E21"/>
    <w:rsid w:val="2CC53064"/>
    <w:rsid w:val="2CC738A3"/>
    <w:rsid w:val="2CD94A37"/>
    <w:rsid w:val="2D01735D"/>
    <w:rsid w:val="2D0B41E7"/>
    <w:rsid w:val="2D526916"/>
    <w:rsid w:val="2D702926"/>
    <w:rsid w:val="2DCC1C67"/>
    <w:rsid w:val="2DF210CC"/>
    <w:rsid w:val="2DF95A38"/>
    <w:rsid w:val="2E0966B4"/>
    <w:rsid w:val="2E2933C5"/>
    <w:rsid w:val="2E353D46"/>
    <w:rsid w:val="2E88666E"/>
    <w:rsid w:val="2E8C5146"/>
    <w:rsid w:val="2ECD2374"/>
    <w:rsid w:val="2EEC6BB0"/>
    <w:rsid w:val="2EF4187A"/>
    <w:rsid w:val="2F144754"/>
    <w:rsid w:val="2F8328C8"/>
    <w:rsid w:val="2FF850D3"/>
    <w:rsid w:val="30272AA1"/>
    <w:rsid w:val="304A648A"/>
    <w:rsid w:val="306C3D17"/>
    <w:rsid w:val="307D4AFE"/>
    <w:rsid w:val="30CB6F8A"/>
    <w:rsid w:val="30EF07F4"/>
    <w:rsid w:val="30FB1F9A"/>
    <w:rsid w:val="312C2658"/>
    <w:rsid w:val="314939D6"/>
    <w:rsid w:val="315C67DD"/>
    <w:rsid w:val="317B09E0"/>
    <w:rsid w:val="31BB63EE"/>
    <w:rsid w:val="31CA2ABF"/>
    <w:rsid w:val="31EB1A09"/>
    <w:rsid w:val="32677D59"/>
    <w:rsid w:val="32A35D8C"/>
    <w:rsid w:val="32F57FEA"/>
    <w:rsid w:val="32F67EF6"/>
    <w:rsid w:val="33085D25"/>
    <w:rsid w:val="33F15F47"/>
    <w:rsid w:val="33FB2113"/>
    <w:rsid w:val="34183576"/>
    <w:rsid w:val="34334BA7"/>
    <w:rsid w:val="345F391D"/>
    <w:rsid w:val="3489358C"/>
    <w:rsid w:val="34D8591F"/>
    <w:rsid w:val="34DE6DC9"/>
    <w:rsid w:val="35182CA5"/>
    <w:rsid w:val="351C7B64"/>
    <w:rsid w:val="35A41494"/>
    <w:rsid w:val="36492A16"/>
    <w:rsid w:val="36515963"/>
    <w:rsid w:val="36A46425"/>
    <w:rsid w:val="37176626"/>
    <w:rsid w:val="37954349"/>
    <w:rsid w:val="37F93BF3"/>
    <w:rsid w:val="3885332F"/>
    <w:rsid w:val="38B84ADC"/>
    <w:rsid w:val="38D34FD7"/>
    <w:rsid w:val="3957268D"/>
    <w:rsid w:val="39730B32"/>
    <w:rsid w:val="397D6297"/>
    <w:rsid w:val="39A44750"/>
    <w:rsid w:val="39B75B7E"/>
    <w:rsid w:val="3A472C4B"/>
    <w:rsid w:val="3A92601B"/>
    <w:rsid w:val="3AA73F0D"/>
    <w:rsid w:val="3AEE10DF"/>
    <w:rsid w:val="3B1E00D3"/>
    <w:rsid w:val="3B1F2DAA"/>
    <w:rsid w:val="3B9669B8"/>
    <w:rsid w:val="3BC960C0"/>
    <w:rsid w:val="3C127AA9"/>
    <w:rsid w:val="3C181122"/>
    <w:rsid w:val="3C333F2B"/>
    <w:rsid w:val="3C42023E"/>
    <w:rsid w:val="3CB93CD2"/>
    <w:rsid w:val="3CBA1DBC"/>
    <w:rsid w:val="3CBF7772"/>
    <w:rsid w:val="3CE25B80"/>
    <w:rsid w:val="3CF845FE"/>
    <w:rsid w:val="3D343E42"/>
    <w:rsid w:val="3D502131"/>
    <w:rsid w:val="3D58231C"/>
    <w:rsid w:val="3D596869"/>
    <w:rsid w:val="3D5C29B3"/>
    <w:rsid w:val="3D61755B"/>
    <w:rsid w:val="3D7048C3"/>
    <w:rsid w:val="3D72335B"/>
    <w:rsid w:val="3D9F6C17"/>
    <w:rsid w:val="3DE86303"/>
    <w:rsid w:val="3DEB3BE3"/>
    <w:rsid w:val="3E0E409A"/>
    <w:rsid w:val="3E0E4EB6"/>
    <w:rsid w:val="3E507747"/>
    <w:rsid w:val="3E8450A4"/>
    <w:rsid w:val="3E98294B"/>
    <w:rsid w:val="3EB63EDB"/>
    <w:rsid w:val="3F1B531B"/>
    <w:rsid w:val="3F501C32"/>
    <w:rsid w:val="3FA1780B"/>
    <w:rsid w:val="3FB943A4"/>
    <w:rsid w:val="3FCB0BD5"/>
    <w:rsid w:val="3FEE2BE2"/>
    <w:rsid w:val="3FF31FE1"/>
    <w:rsid w:val="404B1AA8"/>
    <w:rsid w:val="404D3620"/>
    <w:rsid w:val="40995E1D"/>
    <w:rsid w:val="411D2281"/>
    <w:rsid w:val="41405EEF"/>
    <w:rsid w:val="415E1A19"/>
    <w:rsid w:val="41DA3120"/>
    <w:rsid w:val="41F527D7"/>
    <w:rsid w:val="421433A0"/>
    <w:rsid w:val="422F6EF6"/>
    <w:rsid w:val="423B7669"/>
    <w:rsid w:val="427567F5"/>
    <w:rsid w:val="42B74E2B"/>
    <w:rsid w:val="42E074D2"/>
    <w:rsid w:val="433E1841"/>
    <w:rsid w:val="437B39DB"/>
    <w:rsid w:val="440D6F8D"/>
    <w:rsid w:val="447D4C19"/>
    <w:rsid w:val="451B2DFE"/>
    <w:rsid w:val="45257C29"/>
    <w:rsid w:val="454712F8"/>
    <w:rsid w:val="455F253B"/>
    <w:rsid w:val="457809A1"/>
    <w:rsid w:val="45B1183B"/>
    <w:rsid w:val="45B33CBB"/>
    <w:rsid w:val="45F76190"/>
    <w:rsid w:val="46233EE9"/>
    <w:rsid w:val="46522352"/>
    <w:rsid w:val="46562912"/>
    <w:rsid w:val="46936F88"/>
    <w:rsid w:val="46A039C3"/>
    <w:rsid w:val="46D014E1"/>
    <w:rsid w:val="46E80F1A"/>
    <w:rsid w:val="46F010A2"/>
    <w:rsid w:val="4752634A"/>
    <w:rsid w:val="4847574E"/>
    <w:rsid w:val="48676A89"/>
    <w:rsid w:val="48784777"/>
    <w:rsid w:val="487F7103"/>
    <w:rsid w:val="48AA57F0"/>
    <w:rsid w:val="49535B8C"/>
    <w:rsid w:val="49592B56"/>
    <w:rsid w:val="495D7233"/>
    <w:rsid w:val="4A21035E"/>
    <w:rsid w:val="4AB6500E"/>
    <w:rsid w:val="4AB95B1E"/>
    <w:rsid w:val="4AE84D33"/>
    <w:rsid w:val="4B3609FF"/>
    <w:rsid w:val="4B7A4068"/>
    <w:rsid w:val="4B933830"/>
    <w:rsid w:val="4BEE291D"/>
    <w:rsid w:val="4C3458F4"/>
    <w:rsid w:val="4CC36D91"/>
    <w:rsid w:val="4CDB6338"/>
    <w:rsid w:val="4D0275AF"/>
    <w:rsid w:val="4D1D18CC"/>
    <w:rsid w:val="4D360CC2"/>
    <w:rsid w:val="4D6839FA"/>
    <w:rsid w:val="4DA155BD"/>
    <w:rsid w:val="4E150978"/>
    <w:rsid w:val="4E21655D"/>
    <w:rsid w:val="4E341738"/>
    <w:rsid w:val="4F0F22F8"/>
    <w:rsid w:val="4F20596E"/>
    <w:rsid w:val="4F3E299D"/>
    <w:rsid w:val="4F5320ED"/>
    <w:rsid w:val="4FAD0678"/>
    <w:rsid w:val="4FD7544D"/>
    <w:rsid w:val="4FF457E5"/>
    <w:rsid w:val="4FFC322C"/>
    <w:rsid w:val="507C1570"/>
    <w:rsid w:val="509949E6"/>
    <w:rsid w:val="509C7D30"/>
    <w:rsid w:val="50E36F52"/>
    <w:rsid w:val="50EA5622"/>
    <w:rsid w:val="51A44570"/>
    <w:rsid w:val="51B34AD6"/>
    <w:rsid w:val="51F142B3"/>
    <w:rsid w:val="51F476C6"/>
    <w:rsid w:val="520C2B00"/>
    <w:rsid w:val="52384DC9"/>
    <w:rsid w:val="523C1E69"/>
    <w:rsid w:val="52C470C0"/>
    <w:rsid w:val="53096B84"/>
    <w:rsid w:val="53212652"/>
    <w:rsid w:val="532C7F62"/>
    <w:rsid w:val="536A7BDE"/>
    <w:rsid w:val="536D205E"/>
    <w:rsid w:val="53DF34F0"/>
    <w:rsid w:val="53F77579"/>
    <w:rsid w:val="54270408"/>
    <w:rsid w:val="544C6DAB"/>
    <w:rsid w:val="5461708F"/>
    <w:rsid w:val="546E3617"/>
    <w:rsid w:val="55106C00"/>
    <w:rsid w:val="552631E0"/>
    <w:rsid w:val="55AE444B"/>
    <w:rsid w:val="55B249B7"/>
    <w:rsid w:val="55B7647B"/>
    <w:rsid w:val="55DE2596"/>
    <w:rsid w:val="55F31C2C"/>
    <w:rsid w:val="5614704A"/>
    <w:rsid w:val="561C12E9"/>
    <w:rsid w:val="563167FA"/>
    <w:rsid w:val="566D1613"/>
    <w:rsid w:val="56A73B36"/>
    <w:rsid w:val="56B343E4"/>
    <w:rsid w:val="570F7EDE"/>
    <w:rsid w:val="57260A21"/>
    <w:rsid w:val="572861BB"/>
    <w:rsid w:val="57572B8D"/>
    <w:rsid w:val="57786B65"/>
    <w:rsid w:val="57A17F10"/>
    <w:rsid w:val="57AA60DB"/>
    <w:rsid w:val="57C12C2A"/>
    <w:rsid w:val="57C636F0"/>
    <w:rsid w:val="57F0529C"/>
    <w:rsid w:val="5804192E"/>
    <w:rsid w:val="580E444B"/>
    <w:rsid w:val="58143855"/>
    <w:rsid w:val="58927AC1"/>
    <w:rsid w:val="58B538E9"/>
    <w:rsid w:val="58C34546"/>
    <w:rsid w:val="58E967D7"/>
    <w:rsid w:val="592421CF"/>
    <w:rsid w:val="5A1C5658"/>
    <w:rsid w:val="5A261249"/>
    <w:rsid w:val="5A85000A"/>
    <w:rsid w:val="5ACC7A17"/>
    <w:rsid w:val="5B6E544B"/>
    <w:rsid w:val="5B9C4393"/>
    <w:rsid w:val="5BB44DCF"/>
    <w:rsid w:val="5C065EF0"/>
    <w:rsid w:val="5CEE4E3E"/>
    <w:rsid w:val="5D152453"/>
    <w:rsid w:val="5D3C2CFF"/>
    <w:rsid w:val="5D73565C"/>
    <w:rsid w:val="5DA33110"/>
    <w:rsid w:val="5DCA0F53"/>
    <w:rsid w:val="5DFA0B77"/>
    <w:rsid w:val="5E0A6960"/>
    <w:rsid w:val="5E111166"/>
    <w:rsid w:val="5E3852E5"/>
    <w:rsid w:val="5EA21F8E"/>
    <w:rsid w:val="5ECF0E5B"/>
    <w:rsid w:val="5F3657B7"/>
    <w:rsid w:val="5F6E4355"/>
    <w:rsid w:val="5F9E03DF"/>
    <w:rsid w:val="5FAA4EEF"/>
    <w:rsid w:val="60015F08"/>
    <w:rsid w:val="600216D8"/>
    <w:rsid w:val="6005351F"/>
    <w:rsid w:val="60375791"/>
    <w:rsid w:val="606353CD"/>
    <w:rsid w:val="60756C6D"/>
    <w:rsid w:val="607E487E"/>
    <w:rsid w:val="6089649A"/>
    <w:rsid w:val="608C47E8"/>
    <w:rsid w:val="60D41898"/>
    <w:rsid w:val="60EA5481"/>
    <w:rsid w:val="60FB4C33"/>
    <w:rsid w:val="614F029F"/>
    <w:rsid w:val="61653021"/>
    <w:rsid w:val="62030B82"/>
    <w:rsid w:val="6249707A"/>
    <w:rsid w:val="62A764D6"/>
    <w:rsid w:val="62AE77FC"/>
    <w:rsid w:val="62B64DBC"/>
    <w:rsid w:val="62F71DB0"/>
    <w:rsid w:val="638D2A79"/>
    <w:rsid w:val="63B405F1"/>
    <w:rsid w:val="63ED4890"/>
    <w:rsid w:val="644B12AD"/>
    <w:rsid w:val="6468022A"/>
    <w:rsid w:val="64784DB9"/>
    <w:rsid w:val="647D2766"/>
    <w:rsid w:val="64B20D96"/>
    <w:rsid w:val="64B529A4"/>
    <w:rsid w:val="64C01CCF"/>
    <w:rsid w:val="64FF289B"/>
    <w:rsid w:val="655536B7"/>
    <w:rsid w:val="656F2CBF"/>
    <w:rsid w:val="65C04986"/>
    <w:rsid w:val="6647794F"/>
    <w:rsid w:val="667D4061"/>
    <w:rsid w:val="66CE68B3"/>
    <w:rsid w:val="66EA12E1"/>
    <w:rsid w:val="671B0598"/>
    <w:rsid w:val="672542C6"/>
    <w:rsid w:val="672B2379"/>
    <w:rsid w:val="6741713B"/>
    <w:rsid w:val="677679BF"/>
    <w:rsid w:val="67F76858"/>
    <w:rsid w:val="685119C6"/>
    <w:rsid w:val="68762F89"/>
    <w:rsid w:val="69125094"/>
    <w:rsid w:val="69223BF2"/>
    <w:rsid w:val="694E195B"/>
    <w:rsid w:val="695E5590"/>
    <w:rsid w:val="69745198"/>
    <w:rsid w:val="69790BEE"/>
    <w:rsid w:val="69CC4A80"/>
    <w:rsid w:val="69DD600F"/>
    <w:rsid w:val="6A572825"/>
    <w:rsid w:val="6A8A2844"/>
    <w:rsid w:val="6AC5142C"/>
    <w:rsid w:val="6B131760"/>
    <w:rsid w:val="6B5F4912"/>
    <w:rsid w:val="6BFE40AC"/>
    <w:rsid w:val="6C1E6040"/>
    <w:rsid w:val="6C4A49BA"/>
    <w:rsid w:val="6C7F13DA"/>
    <w:rsid w:val="6CE079D7"/>
    <w:rsid w:val="6D0661E2"/>
    <w:rsid w:val="6DDB59C6"/>
    <w:rsid w:val="6E3741C3"/>
    <w:rsid w:val="6E6B0962"/>
    <w:rsid w:val="6E721806"/>
    <w:rsid w:val="6E735206"/>
    <w:rsid w:val="6E7C6DEC"/>
    <w:rsid w:val="6EEE2387"/>
    <w:rsid w:val="6F160A6C"/>
    <w:rsid w:val="6F1F475D"/>
    <w:rsid w:val="6F301AE9"/>
    <w:rsid w:val="6F523D3F"/>
    <w:rsid w:val="6F644CE4"/>
    <w:rsid w:val="6F962E9F"/>
    <w:rsid w:val="6F9B31A8"/>
    <w:rsid w:val="6F9E6692"/>
    <w:rsid w:val="6FA445FF"/>
    <w:rsid w:val="6FF87BBF"/>
    <w:rsid w:val="6FF9321F"/>
    <w:rsid w:val="70302253"/>
    <w:rsid w:val="70431504"/>
    <w:rsid w:val="70DD1A33"/>
    <w:rsid w:val="70E97B2B"/>
    <w:rsid w:val="7104230B"/>
    <w:rsid w:val="718E3AB3"/>
    <w:rsid w:val="71A51F9F"/>
    <w:rsid w:val="71BA61C3"/>
    <w:rsid w:val="71BC4E4A"/>
    <w:rsid w:val="72324EED"/>
    <w:rsid w:val="728715CA"/>
    <w:rsid w:val="72DA1B01"/>
    <w:rsid w:val="72FD3AB9"/>
    <w:rsid w:val="734E71D3"/>
    <w:rsid w:val="739B4FBA"/>
    <w:rsid w:val="73C6405F"/>
    <w:rsid w:val="74065244"/>
    <w:rsid w:val="74285FA0"/>
    <w:rsid w:val="743F624C"/>
    <w:rsid w:val="74512C96"/>
    <w:rsid w:val="745521E5"/>
    <w:rsid w:val="745D6B55"/>
    <w:rsid w:val="74D8567D"/>
    <w:rsid w:val="75447CC5"/>
    <w:rsid w:val="755E40C2"/>
    <w:rsid w:val="76077FA9"/>
    <w:rsid w:val="76473F6B"/>
    <w:rsid w:val="7684728E"/>
    <w:rsid w:val="76990D01"/>
    <w:rsid w:val="773437EF"/>
    <w:rsid w:val="77902252"/>
    <w:rsid w:val="779D07E6"/>
    <w:rsid w:val="77EC3223"/>
    <w:rsid w:val="78617744"/>
    <w:rsid w:val="78836528"/>
    <w:rsid w:val="78CF7E9F"/>
    <w:rsid w:val="78DD3A2F"/>
    <w:rsid w:val="79507AE7"/>
    <w:rsid w:val="7962386A"/>
    <w:rsid w:val="79634518"/>
    <w:rsid w:val="798756D5"/>
    <w:rsid w:val="79EC1610"/>
    <w:rsid w:val="7A95443D"/>
    <w:rsid w:val="7A9A6782"/>
    <w:rsid w:val="7B604E1B"/>
    <w:rsid w:val="7B9C6750"/>
    <w:rsid w:val="7BAB7169"/>
    <w:rsid w:val="7BB860EA"/>
    <w:rsid w:val="7C5018F8"/>
    <w:rsid w:val="7C5949C1"/>
    <w:rsid w:val="7CCC5A91"/>
    <w:rsid w:val="7D0D4223"/>
    <w:rsid w:val="7D1B7F16"/>
    <w:rsid w:val="7D8412FB"/>
    <w:rsid w:val="7E457FA7"/>
    <w:rsid w:val="7E703180"/>
    <w:rsid w:val="7E7B6D52"/>
    <w:rsid w:val="7EAE20A5"/>
    <w:rsid w:val="7EB20E16"/>
    <w:rsid w:val="7EBC25D3"/>
    <w:rsid w:val="7EE81E92"/>
    <w:rsid w:val="7EF6041F"/>
    <w:rsid w:val="7F5F50FD"/>
    <w:rsid w:val="7F65738C"/>
    <w:rsid w:val="7F7377C5"/>
    <w:rsid w:val="7FC66637"/>
    <w:rsid w:val="7FE76830"/>
    <w:rsid w:val="7FF1300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AutoShape 517"/>
        <o:r id="V:Rule2" type="connector" idref="#AutoShape 508"/>
        <o:r id="V:Rule3" type="connector" idref="#AutoShape 507"/>
        <o:r id="V:Rule4" type="connector" idref="#AutoShape 518"/>
        <o:r id="V:Rule5" type="connector" idref="#AutoShape 510"/>
        <o:r id="V:Rule6" type="connector" idref="#AutoShape 509"/>
        <o:r id="V:Rule7" type="connector" idref="#AutoShape 519"/>
        <o:r id="V:Rule8" type="connector" idref="#AutoShape 522"/>
        <o:r id="V:Rule9" type="connector" idref="#AutoShape 524"/>
        <o:r id="V:Rule10" type="connector" idref="#_x0000_s2174"/>
        <o:r id="V:Rule11" type="connector" idref="#_x0000_s2175"/>
        <o:r id="V:Rule12" type="connector" idref="#_x0000_s2178"/>
        <o:r id="V:Rule13" type="connector" idref="#_x0000_s2179"/>
        <o:r id="V:Rule14" type="connector" idref="#_x0000_s218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uiPriority="99" w:name="footnote text"/>
    <w:lsdException w:qFormat="1" w:uiPriority="0" w:semiHidden="0"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5">
    <w:name w:val="heading 1"/>
    <w:basedOn w:val="1"/>
    <w:next w:val="1"/>
    <w:link w:val="41"/>
    <w:qFormat/>
    <w:uiPriority w:val="0"/>
    <w:pPr>
      <w:keepNext/>
      <w:keepLines/>
      <w:widowControl w:val="0"/>
      <w:adjustRightInd/>
      <w:snapToGrid/>
      <w:spacing w:after="0" w:line="360" w:lineRule="auto"/>
      <w:jc w:val="both"/>
      <w:outlineLvl w:val="0"/>
    </w:pPr>
    <w:rPr>
      <w:rFonts w:ascii="Times New Roman" w:hAnsi="Times New Roman" w:eastAsia="仿宋" w:cs="Times New Roman"/>
      <w:b/>
      <w:bCs/>
      <w:kern w:val="44"/>
      <w:sz w:val="36"/>
      <w:szCs w:val="44"/>
    </w:rPr>
  </w:style>
  <w:style w:type="paragraph" w:styleId="6">
    <w:name w:val="heading 2"/>
    <w:basedOn w:val="1"/>
    <w:next w:val="1"/>
    <w:link w:val="39"/>
    <w:qFormat/>
    <w:uiPriority w:val="0"/>
    <w:pPr>
      <w:keepNext/>
      <w:keepLines/>
      <w:widowControl w:val="0"/>
      <w:adjustRightInd/>
      <w:snapToGrid/>
      <w:spacing w:after="0" w:line="360" w:lineRule="auto"/>
      <w:jc w:val="both"/>
      <w:outlineLvl w:val="1"/>
    </w:pPr>
    <w:rPr>
      <w:rFonts w:ascii="Times New Roman" w:hAnsi="Times New Roman" w:eastAsia="仿宋" w:cs="Times New Roman"/>
      <w:b/>
      <w:bCs/>
      <w:kern w:val="2"/>
      <w:sz w:val="30"/>
      <w:szCs w:val="32"/>
    </w:rPr>
  </w:style>
  <w:style w:type="paragraph" w:styleId="7">
    <w:name w:val="heading 3"/>
    <w:basedOn w:val="1"/>
    <w:next w:val="1"/>
    <w:link w:val="40"/>
    <w:qFormat/>
    <w:uiPriority w:val="0"/>
    <w:pPr>
      <w:keepNext/>
      <w:keepLines/>
      <w:widowControl w:val="0"/>
      <w:adjustRightInd/>
      <w:snapToGrid/>
      <w:spacing w:after="0" w:line="360" w:lineRule="auto"/>
      <w:jc w:val="both"/>
      <w:outlineLvl w:val="2"/>
    </w:pPr>
    <w:rPr>
      <w:rFonts w:ascii="Times New Roman" w:hAnsi="Times New Roman" w:eastAsia="仿宋" w:cs="Times New Roman"/>
      <w:b/>
      <w:bCs/>
      <w:kern w:val="2"/>
      <w:sz w:val="28"/>
      <w:szCs w:val="32"/>
    </w:rPr>
  </w:style>
  <w:style w:type="paragraph" w:styleId="8">
    <w:name w:val="heading 4"/>
    <w:basedOn w:val="1"/>
    <w:next w:val="1"/>
    <w:qFormat/>
    <w:uiPriority w:val="99"/>
    <w:pPr>
      <w:keepNext/>
      <w:keepLines/>
      <w:spacing w:before="280" w:after="290" w:line="376" w:lineRule="auto"/>
      <w:outlineLvl w:val="3"/>
    </w:pPr>
    <w:rPr>
      <w:rFonts w:ascii="Cambria" w:hAnsi="Cambria" w:cs="Cambria"/>
      <w:b/>
      <w:bCs/>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customStyle="1" w:styleId="2">
    <w:name w:val="样式 样式 样式 小四 首行缩进:  2.25 字符 + 首行缩进:  2.25 字符 + 首行缩进:  2 字符"/>
    <w:basedOn w:val="3"/>
    <w:qFormat/>
    <w:uiPriority w:val="0"/>
  </w:style>
  <w:style w:type="paragraph" w:customStyle="1" w:styleId="3">
    <w:name w:val="样式 样式 小四 首行缩进:  2.25 字符 + 首行缩进:  2.25 字符"/>
    <w:basedOn w:val="4"/>
    <w:qFormat/>
    <w:uiPriority w:val="0"/>
  </w:style>
  <w:style w:type="paragraph" w:customStyle="1" w:styleId="4">
    <w:name w:val="样式 小四 首行缩进:  2.25 字符"/>
    <w:qFormat/>
    <w:uiPriority w:val="0"/>
    <w:pPr>
      <w:widowControl w:val="0"/>
      <w:spacing w:line="440" w:lineRule="exact"/>
      <w:ind w:firstLine="200"/>
      <w:jc w:val="both"/>
    </w:pPr>
    <w:rPr>
      <w:rFonts w:ascii="Times New Roman" w:hAnsi="Times New Roman" w:eastAsia="宋体" w:cs="Times New Roman"/>
      <w:kern w:val="1"/>
      <w:sz w:val="24"/>
      <w:lang w:val="en-US" w:eastAsia="zh-CN" w:bidi="ar-SA"/>
    </w:rPr>
  </w:style>
  <w:style w:type="paragraph" w:styleId="9">
    <w:name w:val="toc 7"/>
    <w:basedOn w:val="1"/>
    <w:next w:val="1"/>
    <w:unhideWhenUsed/>
    <w:qFormat/>
    <w:uiPriority w:val="39"/>
    <w:pPr>
      <w:widowControl w:val="0"/>
      <w:adjustRightInd/>
      <w:snapToGrid/>
      <w:spacing w:after="0"/>
      <w:ind w:left="2520" w:leftChars="1200"/>
      <w:jc w:val="both"/>
    </w:pPr>
    <w:rPr>
      <w:rFonts w:asciiTheme="minorHAnsi" w:hAnsiTheme="minorHAnsi" w:eastAsiaTheme="minorEastAsia"/>
      <w:kern w:val="2"/>
      <w:sz w:val="21"/>
    </w:rPr>
  </w:style>
  <w:style w:type="paragraph" w:styleId="10">
    <w:name w:val="Normal Indent"/>
    <w:basedOn w:val="1"/>
    <w:link w:val="46"/>
    <w:qFormat/>
    <w:uiPriority w:val="99"/>
    <w:pPr>
      <w:widowControl w:val="0"/>
      <w:adjustRightInd/>
      <w:snapToGrid/>
      <w:spacing w:after="0"/>
      <w:ind w:firstLine="420"/>
      <w:jc w:val="both"/>
    </w:pPr>
    <w:rPr>
      <w:rFonts w:asciiTheme="minorHAnsi" w:hAnsiTheme="minorHAnsi"/>
      <w:sz w:val="24"/>
      <w:szCs w:val="21"/>
    </w:rPr>
  </w:style>
  <w:style w:type="paragraph" w:styleId="11">
    <w:name w:val="Document Map"/>
    <w:basedOn w:val="1"/>
    <w:link w:val="54"/>
    <w:unhideWhenUsed/>
    <w:qFormat/>
    <w:uiPriority w:val="99"/>
    <w:rPr>
      <w:rFonts w:ascii="宋体" w:eastAsia="宋体"/>
      <w:sz w:val="18"/>
      <w:szCs w:val="18"/>
    </w:rPr>
  </w:style>
  <w:style w:type="paragraph" w:styleId="12">
    <w:name w:val="annotation text"/>
    <w:basedOn w:val="1"/>
    <w:link w:val="48"/>
    <w:unhideWhenUsed/>
    <w:qFormat/>
    <w:uiPriority w:val="0"/>
  </w:style>
  <w:style w:type="paragraph" w:styleId="13">
    <w:name w:val="Body Text"/>
    <w:basedOn w:val="1"/>
    <w:next w:val="1"/>
    <w:link w:val="51"/>
    <w:qFormat/>
    <w:uiPriority w:val="99"/>
    <w:pPr>
      <w:widowControl w:val="0"/>
      <w:adjustRightInd/>
      <w:snapToGrid/>
      <w:spacing w:after="120"/>
      <w:jc w:val="both"/>
    </w:pPr>
    <w:rPr>
      <w:rFonts w:ascii="Times New Roman" w:hAnsi="Times New Roman" w:eastAsia="宋体" w:cs="Times New Roman"/>
      <w:szCs w:val="21"/>
    </w:rPr>
  </w:style>
  <w:style w:type="paragraph" w:styleId="14">
    <w:name w:val="Body Text Indent"/>
    <w:basedOn w:val="1"/>
    <w:unhideWhenUsed/>
    <w:qFormat/>
    <w:uiPriority w:val="99"/>
    <w:pPr>
      <w:spacing w:line="560" w:lineRule="atLeast"/>
      <w:ind w:firstLine="560" w:firstLineChars="200"/>
    </w:pPr>
  </w:style>
  <w:style w:type="paragraph" w:styleId="15">
    <w:name w:val="toc 5"/>
    <w:basedOn w:val="1"/>
    <w:next w:val="1"/>
    <w:unhideWhenUsed/>
    <w:qFormat/>
    <w:uiPriority w:val="39"/>
    <w:pPr>
      <w:widowControl w:val="0"/>
      <w:adjustRightInd/>
      <w:snapToGrid/>
      <w:spacing w:after="0"/>
      <w:ind w:left="1680" w:leftChars="800"/>
      <w:jc w:val="both"/>
    </w:pPr>
    <w:rPr>
      <w:rFonts w:asciiTheme="minorHAnsi" w:hAnsiTheme="minorHAnsi" w:eastAsiaTheme="minorEastAsia"/>
      <w:kern w:val="2"/>
      <w:sz w:val="21"/>
    </w:rPr>
  </w:style>
  <w:style w:type="paragraph" w:styleId="16">
    <w:name w:val="toc 3"/>
    <w:basedOn w:val="1"/>
    <w:next w:val="1"/>
    <w:unhideWhenUsed/>
    <w:qFormat/>
    <w:uiPriority w:val="39"/>
    <w:pPr>
      <w:adjustRightInd/>
      <w:snapToGrid/>
      <w:spacing w:after="100" w:line="259" w:lineRule="auto"/>
      <w:ind w:left="440"/>
    </w:pPr>
    <w:rPr>
      <w:rFonts w:cs="Times New Roman" w:asciiTheme="minorHAnsi" w:hAnsiTheme="minorHAnsi" w:eastAsiaTheme="minorEastAsia"/>
    </w:rPr>
  </w:style>
  <w:style w:type="paragraph" w:styleId="17">
    <w:name w:val="Plain Text"/>
    <w:basedOn w:val="1"/>
    <w:link w:val="59"/>
    <w:qFormat/>
    <w:uiPriority w:val="0"/>
    <w:pPr>
      <w:widowControl w:val="0"/>
      <w:adjustRightInd/>
      <w:snapToGrid/>
      <w:spacing w:after="0"/>
      <w:jc w:val="both"/>
    </w:pPr>
    <w:rPr>
      <w:rFonts w:ascii="宋体" w:hAnsi="Courier New" w:eastAsia="宋体" w:cs="Courier New"/>
      <w:kern w:val="2"/>
      <w:sz w:val="21"/>
      <w:szCs w:val="21"/>
    </w:rPr>
  </w:style>
  <w:style w:type="paragraph" w:styleId="18">
    <w:name w:val="toc 8"/>
    <w:basedOn w:val="1"/>
    <w:next w:val="1"/>
    <w:unhideWhenUsed/>
    <w:qFormat/>
    <w:uiPriority w:val="39"/>
    <w:pPr>
      <w:widowControl w:val="0"/>
      <w:adjustRightInd/>
      <w:snapToGrid/>
      <w:spacing w:after="0"/>
      <w:ind w:left="2940" w:leftChars="1400"/>
      <w:jc w:val="both"/>
    </w:pPr>
    <w:rPr>
      <w:rFonts w:asciiTheme="minorHAnsi" w:hAnsiTheme="minorHAnsi" w:eastAsiaTheme="minorEastAsia"/>
      <w:kern w:val="2"/>
      <w:sz w:val="21"/>
    </w:rPr>
  </w:style>
  <w:style w:type="paragraph" w:styleId="19">
    <w:name w:val="Balloon Text"/>
    <w:basedOn w:val="1"/>
    <w:link w:val="50"/>
    <w:unhideWhenUsed/>
    <w:qFormat/>
    <w:uiPriority w:val="99"/>
    <w:pPr>
      <w:spacing w:after="0"/>
    </w:pPr>
    <w:rPr>
      <w:sz w:val="18"/>
      <w:szCs w:val="18"/>
    </w:rPr>
  </w:style>
  <w:style w:type="paragraph" w:styleId="20">
    <w:name w:val="footer"/>
    <w:basedOn w:val="1"/>
    <w:link w:val="42"/>
    <w:qFormat/>
    <w:uiPriority w:val="99"/>
    <w:pPr>
      <w:widowControl w:val="0"/>
      <w:tabs>
        <w:tab w:val="center" w:pos="4153"/>
        <w:tab w:val="right" w:pos="8306"/>
      </w:tabs>
      <w:adjustRightInd/>
      <w:spacing w:after="0"/>
    </w:pPr>
    <w:rPr>
      <w:rFonts w:ascii="Times New Roman" w:hAnsi="Times New Roman" w:eastAsia="宋体" w:cs="Times New Roman"/>
      <w:kern w:val="2"/>
      <w:sz w:val="18"/>
      <w:szCs w:val="18"/>
    </w:rPr>
  </w:style>
  <w:style w:type="paragraph" w:styleId="21">
    <w:name w:val="header"/>
    <w:basedOn w:val="1"/>
    <w:next w:val="13"/>
    <w:link w:val="43"/>
    <w:unhideWhenUsed/>
    <w:qFormat/>
    <w:uiPriority w:val="99"/>
    <w:pPr>
      <w:pBdr>
        <w:bottom w:val="single" w:color="auto" w:sz="6" w:space="1"/>
      </w:pBdr>
      <w:tabs>
        <w:tab w:val="center" w:pos="4153"/>
        <w:tab w:val="right" w:pos="8306"/>
      </w:tabs>
      <w:jc w:val="center"/>
    </w:pPr>
    <w:rPr>
      <w:sz w:val="18"/>
      <w:szCs w:val="18"/>
    </w:rPr>
  </w:style>
  <w:style w:type="paragraph" w:styleId="22">
    <w:name w:val="toc 1"/>
    <w:basedOn w:val="1"/>
    <w:next w:val="1"/>
    <w:unhideWhenUsed/>
    <w:qFormat/>
    <w:uiPriority w:val="39"/>
    <w:pPr>
      <w:adjustRightInd/>
      <w:snapToGrid/>
      <w:spacing w:after="100" w:line="259" w:lineRule="auto"/>
    </w:pPr>
    <w:rPr>
      <w:rFonts w:cs="Times New Roman" w:asciiTheme="minorHAnsi" w:hAnsiTheme="minorHAnsi" w:eastAsiaTheme="minorEastAsia"/>
    </w:rPr>
  </w:style>
  <w:style w:type="paragraph" w:styleId="23">
    <w:name w:val="toc 4"/>
    <w:basedOn w:val="1"/>
    <w:next w:val="1"/>
    <w:unhideWhenUsed/>
    <w:qFormat/>
    <w:uiPriority w:val="39"/>
    <w:pPr>
      <w:widowControl w:val="0"/>
      <w:adjustRightInd/>
      <w:snapToGrid/>
      <w:spacing w:after="0"/>
      <w:ind w:left="1260" w:leftChars="600"/>
      <w:jc w:val="both"/>
    </w:pPr>
    <w:rPr>
      <w:rFonts w:asciiTheme="minorHAnsi" w:hAnsiTheme="minorHAnsi" w:eastAsiaTheme="minorEastAsia"/>
      <w:kern w:val="2"/>
      <w:sz w:val="21"/>
    </w:rPr>
  </w:style>
  <w:style w:type="paragraph" w:styleId="24">
    <w:name w:val="List"/>
    <w:basedOn w:val="1"/>
    <w:semiHidden/>
    <w:unhideWhenUsed/>
    <w:qFormat/>
    <w:uiPriority w:val="99"/>
    <w:pPr>
      <w:ind w:left="200" w:hanging="200" w:hangingChars="200"/>
    </w:pPr>
  </w:style>
  <w:style w:type="paragraph" w:styleId="25">
    <w:name w:val="toc 6"/>
    <w:basedOn w:val="1"/>
    <w:next w:val="1"/>
    <w:unhideWhenUsed/>
    <w:qFormat/>
    <w:uiPriority w:val="39"/>
    <w:pPr>
      <w:widowControl w:val="0"/>
      <w:adjustRightInd/>
      <w:snapToGrid/>
      <w:spacing w:after="0"/>
      <w:ind w:left="2100" w:leftChars="1000"/>
      <w:jc w:val="both"/>
    </w:pPr>
    <w:rPr>
      <w:rFonts w:asciiTheme="minorHAnsi" w:hAnsiTheme="minorHAnsi" w:eastAsiaTheme="minorEastAsia"/>
      <w:kern w:val="2"/>
      <w:sz w:val="21"/>
    </w:rPr>
  </w:style>
  <w:style w:type="paragraph" w:styleId="26">
    <w:name w:val="toc 2"/>
    <w:basedOn w:val="1"/>
    <w:next w:val="1"/>
    <w:unhideWhenUsed/>
    <w:qFormat/>
    <w:uiPriority w:val="39"/>
    <w:pPr>
      <w:adjustRightInd/>
      <w:snapToGrid/>
      <w:spacing w:after="100" w:line="259" w:lineRule="auto"/>
      <w:ind w:left="220"/>
    </w:pPr>
    <w:rPr>
      <w:rFonts w:cs="Times New Roman" w:asciiTheme="minorHAnsi" w:hAnsiTheme="minorHAnsi" w:eastAsiaTheme="minorEastAsia"/>
    </w:rPr>
  </w:style>
  <w:style w:type="paragraph" w:styleId="27">
    <w:name w:val="toc 9"/>
    <w:basedOn w:val="1"/>
    <w:next w:val="1"/>
    <w:unhideWhenUsed/>
    <w:qFormat/>
    <w:uiPriority w:val="39"/>
    <w:pPr>
      <w:widowControl w:val="0"/>
      <w:adjustRightInd/>
      <w:snapToGrid/>
      <w:spacing w:after="0"/>
      <w:ind w:left="3360" w:leftChars="1600"/>
      <w:jc w:val="both"/>
    </w:pPr>
    <w:rPr>
      <w:rFonts w:asciiTheme="minorHAnsi" w:hAnsiTheme="minorHAnsi" w:eastAsiaTheme="minorEastAsia"/>
      <w:kern w:val="2"/>
      <w:sz w:val="21"/>
    </w:rPr>
  </w:style>
  <w:style w:type="paragraph" w:styleId="28">
    <w:name w:val="Normal (Web)"/>
    <w:basedOn w:val="1"/>
    <w:qFormat/>
    <w:uiPriority w:val="99"/>
    <w:pPr>
      <w:widowControl w:val="0"/>
      <w:adjustRightInd/>
      <w:snapToGrid/>
      <w:spacing w:before="100" w:beforeAutospacing="1" w:after="100" w:afterAutospacing="1" w:line="360" w:lineRule="auto"/>
      <w:ind w:firstLine="200" w:firstLineChars="200"/>
    </w:pPr>
    <w:rPr>
      <w:rFonts w:ascii="Times New Roman" w:hAnsi="Times New Roman" w:eastAsia="宋体" w:cs="Times New Roman"/>
      <w:sz w:val="24"/>
      <w:szCs w:val="21"/>
    </w:rPr>
  </w:style>
  <w:style w:type="paragraph" w:styleId="29">
    <w:name w:val="annotation subject"/>
    <w:basedOn w:val="12"/>
    <w:next w:val="12"/>
    <w:link w:val="49"/>
    <w:unhideWhenUsed/>
    <w:qFormat/>
    <w:uiPriority w:val="99"/>
    <w:rPr>
      <w:b/>
      <w:bCs/>
    </w:rPr>
  </w:style>
  <w:style w:type="paragraph" w:styleId="30">
    <w:name w:val="Body Text First Indent 2"/>
    <w:qFormat/>
    <w:uiPriority w:val="0"/>
    <w:pPr>
      <w:adjustRightInd w:val="0"/>
      <w:spacing w:after="120" w:line="360" w:lineRule="atLeast"/>
      <w:ind w:left="420" w:firstLine="210"/>
      <w:textAlignment w:val="baseline"/>
    </w:pPr>
    <w:rPr>
      <w:rFonts w:ascii="Times New Roman" w:hAnsi="Times New Roman" w:eastAsia="宋体" w:cs="Times New Roman"/>
      <w:sz w:val="24"/>
      <w:lang w:val="en-US" w:eastAsia="zh-CN" w:bidi="ar-SA"/>
    </w:rPr>
  </w:style>
  <w:style w:type="table" w:styleId="32">
    <w:name w:val="Table Grid"/>
    <w:basedOn w:val="3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4">
    <w:name w:val="Strong"/>
    <w:basedOn w:val="33"/>
    <w:qFormat/>
    <w:uiPriority w:val="22"/>
    <w:rPr>
      <w:b/>
      <w:bCs/>
    </w:rPr>
  </w:style>
  <w:style w:type="character" w:styleId="35">
    <w:name w:val="page number"/>
    <w:basedOn w:val="33"/>
    <w:qFormat/>
    <w:uiPriority w:val="0"/>
  </w:style>
  <w:style w:type="character" w:styleId="36">
    <w:name w:val="Emphasis"/>
    <w:basedOn w:val="33"/>
    <w:qFormat/>
    <w:uiPriority w:val="0"/>
    <w:rPr>
      <w:i/>
      <w:iCs/>
    </w:rPr>
  </w:style>
  <w:style w:type="character" w:styleId="37">
    <w:name w:val="Hyperlink"/>
    <w:basedOn w:val="33"/>
    <w:unhideWhenUsed/>
    <w:qFormat/>
    <w:uiPriority w:val="99"/>
    <w:rPr>
      <w:color w:val="0000FF" w:themeColor="hyperlink"/>
      <w:u w:val="single"/>
    </w:rPr>
  </w:style>
  <w:style w:type="character" w:styleId="38">
    <w:name w:val="annotation reference"/>
    <w:basedOn w:val="33"/>
    <w:unhideWhenUsed/>
    <w:qFormat/>
    <w:uiPriority w:val="99"/>
    <w:rPr>
      <w:sz w:val="21"/>
      <w:szCs w:val="21"/>
    </w:rPr>
  </w:style>
  <w:style w:type="character" w:customStyle="1" w:styleId="39">
    <w:name w:val="标题 2 Char"/>
    <w:basedOn w:val="33"/>
    <w:link w:val="6"/>
    <w:qFormat/>
    <w:uiPriority w:val="0"/>
    <w:rPr>
      <w:rFonts w:ascii="Times New Roman" w:hAnsi="Times New Roman" w:eastAsia="仿宋" w:cs="Times New Roman"/>
      <w:b/>
      <w:bCs/>
      <w:kern w:val="2"/>
      <w:sz w:val="30"/>
      <w:szCs w:val="32"/>
    </w:rPr>
  </w:style>
  <w:style w:type="character" w:customStyle="1" w:styleId="40">
    <w:name w:val="标题 3 Char"/>
    <w:basedOn w:val="33"/>
    <w:link w:val="7"/>
    <w:qFormat/>
    <w:uiPriority w:val="0"/>
    <w:rPr>
      <w:rFonts w:ascii="Times New Roman" w:hAnsi="Times New Roman" w:eastAsia="仿宋" w:cs="Times New Roman"/>
      <w:b/>
      <w:bCs/>
      <w:kern w:val="2"/>
      <w:sz w:val="28"/>
      <w:szCs w:val="32"/>
    </w:rPr>
  </w:style>
  <w:style w:type="character" w:customStyle="1" w:styleId="41">
    <w:name w:val="标题 1 Char"/>
    <w:basedOn w:val="33"/>
    <w:link w:val="5"/>
    <w:qFormat/>
    <w:uiPriority w:val="0"/>
    <w:rPr>
      <w:rFonts w:ascii="Times New Roman" w:hAnsi="Times New Roman" w:eastAsia="仿宋" w:cs="Times New Roman"/>
      <w:b/>
      <w:bCs/>
      <w:kern w:val="44"/>
      <w:sz w:val="36"/>
      <w:szCs w:val="44"/>
    </w:rPr>
  </w:style>
  <w:style w:type="character" w:customStyle="1" w:styleId="42">
    <w:name w:val="页脚 Char"/>
    <w:basedOn w:val="33"/>
    <w:link w:val="20"/>
    <w:qFormat/>
    <w:uiPriority w:val="99"/>
    <w:rPr>
      <w:rFonts w:ascii="Times New Roman" w:hAnsi="Times New Roman" w:eastAsia="宋体" w:cs="Times New Roman"/>
      <w:kern w:val="2"/>
      <w:sz w:val="18"/>
      <w:szCs w:val="18"/>
    </w:rPr>
  </w:style>
  <w:style w:type="character" w:customStyle="1" w:styleId="43">
    <w:name w:val="页眉 Char"/>
    <w:basedOn w:val="33"/>
    <w:link w:val="21"/>
    <w:qFormat/>
    <w:uiPriority w:val="99"/>
    <w:rPr>
      <w:rFonts w:ascii="Tahoma" w:hAnsi="Tahoma"/>
      <w:sz w:val="18"/>
      <w:szCs w:val="18"/>
    </w:rPr>
  </w:style>
  <w:style w:type="character" w:customStyle="1" w:styleId="44">
    <w:name w:val="样式 宋体 小四 行距: 1.5 倍行距 Char"/>
    <w:link w:val="45"/>
    <w:qFormat/>
    <w:uiPriority w:val="0"/>
    <w:rPr>
      <w:rFonts w:ascii="宋体" w:hAnsi="宋体" w:cs="宋体"/>
      <w:kern w:val="2"/>
      <w:sz w:val="24"/>
    </w:rPr>
  </w:style>
  <w:style w:type="paragraph" w:customStyle="1" w:styleId="45">
    <w:name w:val="样式 宋体 小四 行距: 1.5 倍行距"/>
    <w:basedOn w:val="1"/>
    <w:link w:val="44"/>
    <w:qFormat/>
    <w:uiPriority w:val="0"/>
    <w:pPr>
      <w:widowControl w:val="0"/>
      <w:adjustRightInd/>
      <w:snapToGrid/>
      <w:spacing w:after="0" w:line="360" w:lineRule="auto"/>
      <w:ind w:firstLine="480" w:firstLineChars="200"/>
      <w:jc w:val="both"/>
    </w:pPr>
    <w:rPr>
      <w:rFonts w:ascii="宋体" w:hAnsi="宋体" w:cs="宋体"/>
      <w:kern w:val="2"/>
      <w:sz w:val="24"/>
    </w:rPr>
  </w:style>
  <w:style w:type="character" w:customStyle="1" w:styleId="46">
    <w:name w:val="正文缩进 Char"/>
    <w:link w:val="10"/>
    <w:qFormat/>
    <w:uiPriority w:val="99"/>
    <w:rPr>
      <w:sz w:val="24"/>
      <w:szCs w:val="21"/>
    </w:rPr>
  </w:style>
  <w:style w:type="character" w:customStyle="1" w:styleId="47">
    <w:name w:val="正文缩进 Char2"/>
    <w:basedOn w:val="33"/>
    <w:qFormat/>
    <w:uiPriority w:val="0"/>
    <w:rPr>
      <w:sz w:val="24"/>
    </w:rPr>
  </w:style>
  <w:style w:type="character" w:customStyle="1" w:styleId="48">
    <w:name w:val="批注文字 Char"/>
    <w:basedOn w:val="33"/>
    <w:link w:val="12"/>
    <w:qFormat/>
    <w:uiPriority w:val="0"/>
    <w:rPr>
      <w:rFonts w:ascii="Tahoma" w:hAnsi="Tahoma"/>
    </w:rPr>
  </w:style>
  <w:style w:type="character" w:customStyle="1" w:styleId="49">
    <w:name w:val="批注主题 Char"/>
    <w:basedOn w:val="48"/>
    <w:link w:val="29"/>
    <w:semiHidden/>
    <w:qFormat/>
    <w:uiPriority w:val="99"/>
    <w:rPr>
      <w:rFonts w:ascii="Tahoma" w:hAnsi="Tahoma"/>
      <w:b/>
      <w:bCs/>
    </w:rPr>
  </w:style>
  <w:style w:type="character" w:customStyle="1" w:styleId="50">
    <w:name w:val="批注框文本 Char"/>
    <w:basedOn w:val="33"/>
    <w:link w:val="19"/>
    <w:semiHidden/>
    <w:qFormat/>
    <w:uiPriority w:val="99"/>
    <w:rPr>
      <w:rFonts w:ascii="Tahoma" w:hAnsi="Tahoma"/>
      <w:sz w:val="18"/>
      <w:szCs w:val="18"/>
    </w:rPr>
  </w:style>
  <w:style w:type="character" w:customStyle="1" w:styleId="51">
    <w:name w:val="正文文本 Char"/>
    <w:basedOn w:val="33"/>
    <w:link w:val="13"/>
    <w:qFormat/>
    <w:uiPriority w:val="99"/>
    <w:rPr>
      <w:rFonts w:ascii="Times New Roman" w:hAnsi="Times New Roman" w:eastAsia="宋体" w:cs="Times New Roman"/>
      <w:szCs w:val="21"/>
    </w:rPr>
  </w:style>
  <w:style w:type="character" w:customStyle="1" w:styleId="52">
    <w:name w:val="正文文本 Char1"/>
    <w:basedOn w:val="33"/>
    <w:semiHidden/>
    <w:qFormat/>
    <w:uiPriority w:val="99"/>
    <w:rPr>
      <w:rFonts w:ascii="Tahoma" w:hAnsi="Tahoma"/>
    </w:rPr>
  </w:style>
  <w:style w:type="paragraph" w:customStyle="1" w:styleId="53">
    <w:name w:val="TOC 标题1"/>
    <w:basedOn w:val="5"/>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366091" w:themeColor="accent1" w:themeShade="BF"/>
      <w:kern w:val="0"/>
      <w:sz w:val="32"/>
      <w:szCs w:val="32"/>
    </w:rPr>
  </w:style>
  <w:style w:type="character" w:customStyle="1" w:styleId="54">
    <w:name w:val="文档结构图 Char"/>
    <w:basedOn w:val="33"/>
    <w:link w:val="11"/>
    <w:semiHidden/>
    <w:qFormat/>
    <w:uiPriority w:val="99"/>
    <w:rPr>
      <w:rFonts w:ascii="宋体" w:hAnsi="Tahoma" w:eastAsia="宋体"/>
      <w:sz w:val="18"/>
      <w:szCs w:val="18"/>
    </w:rPr>
  </w:style>
  <w:style w:type="paragraph" w:customStyle="1" w:styleId="55">
    <w:name w:val="列出段落1"/>
    <w:basedOn w:val="1"/>
    <w:qFormat/>
    <w:uiPriority w:val="34"/>
    <w:pPr>
      <w:ind w:firstLine="420" w:firstLineChars="200"/>
    </w:pPr>
  </w:style>
  <w:style w:type="character" w:customStyle="1" w:styleId="56">
    <w:name w:val="manage_name"/>
    <w:basedOn w:val="33"/>
    <w:qFormat/>
    <w:uiPriority w:val="0"/>
  </w:style>
  <w:style w:type="paragraph" w:customStyle="1" w:styleId="57">
    <w:name w:val="p0"/>
    <w:basedOn w:val="1"/>
    <w:qFormat/>
    <w:uiPriority w:val="0"/>
    <w:pPr>
      <w:adjustRightInd/>
      <w:snapToGrid/>
      <w:spacing w:before="100" w:beforeAutospacing="1" w:after="100" w:afterAutospacing="1" w:line="360" w:lineRule="auto"/>
      <w:ind w:firstLine="200" w:firstLineChars="200"/>
    </w:pPr>
    <w:rPr>
      <w:rFonts w:ascii="宋体" w:hAnsi="宋体" w:eastAsia="宋体" w:cs="宋体"/>
      <w:sz w:val="24"/>
      <w:szCs w:val="24"/>
    </w:rPr>
  </w:style>
  <w:style w:type="paragraph" w:customStyle="1" w:styleId="58">
    <w:name w:val="列出段落2"/>
    <w:basedOn w:val="1"/>
    <w:qFormat/>
    <w:uiPriority w:val="99"/>
    <w:pPr>
      <w:ind w:firstLine="420" w:firstLineChars="200"/>
    </w:pPr>
  </w:style>
  <w:style w:type="character" w:customStyle="1" w:styleId="59">
    <w:name w:val="纯文本 Char"/>
    <w:basedOn w:val="33"/>
    <w:link w:val="17"/>
    <w:qFormat/>
    <w:uiPriority w:val="0"/>
    <w:rPr>
      <w:rFonts w:ascii="宋体" w:hAnsi="Courier New" w:eastAsia="宋体" w:cs="Courier New"/>
      <w:kern w:val="2"/>
      <w:sz w:val="21"/>
      <w:szCs w:val="21"/>
    </w:rPr>
  </w:style>
  <w:style w:type="character" w:customStyle="1" w:styleId="60">
    <w:name w:val="apple-converted-space"/>
    <w:basedOn w:val="33"/>
    <w:qFormat/>
    <w:uiPriority w:val="0"/>
  </w:style>
  <w:style w:type="paragraph" w:customStyle="1" w:styleId="61">
    <w:name w:val="列出段落3"/>
    <w:basedOn w:val="1"/>
    <w:unhideWhenUsed/>
    <w:qFormat/>
    <w:uiPriority w:val="99"/>
    <w:pPr>
      <w:ind w:firstLine="420" w:firstLineChars="200"/>
    </w:pPr>
  </w:style>
  <w:style w:type="character" w:customStyle="1" w:styleId="62">
    <w:name w:val="content"/>
    <w:basedOn w:val="33"/>
    <w:qFormat/>
    <w:uiPriority w:val="0"/>
    <w:rPr>
      <w:sz w:val="24"/>
    </w:rPr>
  </w:style>
  <w:style w:type="paragraph" w:customStyle="1" w:styleId="63">
    <w:name w:val="方案正文样式"/>
    <w:basedOn w:val="1"/>
    <w:qFormat/>
    <w:uiPriority w:val="0"/>
    <w:pPr>
      <w:spacing w:line="360" w:lineRule="auto"/>
      <w:ind w:firstLine="454"/>
      <w:jc w:val="both"/>
    </w:pPr>
    <w:rPr>
      <w:rFonts w:asciiTheme="minorHAnsi" w:hAnsiTheme="minorHAnsi" w:eastAsiaTheme="minorEastAsia"/>
      <w:kern w:val="2"/>
      <w:sz w:val="24"/>
      <w:szCs w:val="24"/>
    </w:rPr>
  </w:style>
  <w:style w:type="paragraph" w:customStyle="1" w:styleId="64">
    <w:name w:val="正文4号"/>
    <w:basedOn w:val="24"/>
    <w:qFormat/>
    <w:uiPriority w:val="99"/>
    <w:pPr>
      <w:widowControl w:val="0"/>
      <w:spacing w:after="0" w:line="300" w:lineRule="auto"/>
      <w:ind w:left="0" w:firstLine="200" w:firstLineChars="200"/>
    </w:pPr>
    <w:rPr>
      <w:rFonts w:ascii="仿宋_GB2312" w:hAnsi="Times New Roman" w:eastAsia="仿宋_GB2312" w:cs="仿宋_GB2312"/>
      <w:kern w:val="2"/>
      <w:sz w:val="21"/>
      <w:szCs w:val="21"/>
      <w:lang w:val="zh-CN"/>
    </w:rPr>
  </w:style>
  <w:style w:type="paragraph" w:customStyle="1" w:styleId="65">
    <w:name w:val="表头"/>
    <w:basedOn w:val="1"/>
    <w:qFormat/>
    <w:uiPriority w:val="99"/>
    <w:pPr>
      <w:widowControl w:val="0"/>
      <w:snapToGrid/>
      <w:spacing w:after="0" w:line="320" w:lineRule="atLeast"/>
      <w:jc w:val="center"/>
      <w:textAlignment w:val="baseline"/>
    </w:pPr>
    <w:rPr>
      <w:rFonts w:ascii="Times New Roman" w:hAnsi="Times New Roman" w:eastAsia="黑体" w:cs="Times New Roman"/>
      <w:spacing w:val="-10"/>
      <w:sz w:val="21"/>
      <w:szCs w:val="21"/>
      <w:lang w:val="zh-CN"/>
    </w:rPr>
  </w:style>
  <w:style w:type="paragraph" w:styleId="66">
    <w:name w:val="List Paragraph"/>
    <w:basedOn w:val="1"/>
    <w:unhideWhenUsed/>
    <w:qFormat/>
    <w:uiPriority w:val="34"/>
    <w:pPr>
      <w:ind w:firstLine="420" w:firstLineChars="200"/>
    </w:pPr>
  </w:style>
  <w:style w:type="character" w:customStyle="1" w:styleId="67">
    <w:name w:val="font11"/>
    <w:basedOn w:val="33"/>
    <w:qFormat/>
    <w:uiPriority w:val="0"/>
    <w:rPr>
      <w:rFonts w:hint="eastAsia" w:ascii="宋体" w:hAnsi="宋体" w:eastAsia="宋体" w:cs="宋体"/>
      <w:color w:val="000000"/>
      <w:sz w:val="21"/>
      <w:szCs w:val="21"/>
      <w:u w:val="none"/>
    </w:rPr>
  </w:style>
  <w:style w:type="character" w:customStyle="1" w:styleId="68">
    <w:name w:val="font21"/>
    <w:basedOn w:val="33"/>
    <w:qFormat/>
    <w:uiPriority w:val="0"/>
    <w:rPr>
      <w:rFonts w:hint="default" w:ascii="Times New Roman" w:hAnsi="Times New Roman" w:cs="Times New Roman"/>
      <w:color w:val="000000"/>
      <w:sz w:val="21"/>
      <w:szCs w:val="21"/>
      <w:u w:val="none"/>
    </w:rPr>
  </w:style>
  <w:style w:type="paragraph" w:customStyle="1" w:styleId="69">
    <w:name w:val="WPSOffice手动目录 1"/>
    <w:qFormat/>
    <w:uiPriority w:val="0"/>
    <w:rPr>
      <w:rFonts w:ascii="Times New Roman" w:hAnsi="Times New Roman" w:eastAsia="宋体" w:cs="Times New Roman"/>
      <w:lang w:val="en-US" w:eastAsia="zh-CN" w:bidi="ar-SA"/>
    </w:rPr>
  </w:style>
  <w:style w:type="paragraph" w:customStyle="1" w:styleId="70">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71">
    <w:name w:val="正 文"/>
    <w:basedOn w:val="64"/>
    <w:qFormat/>
    <w:uiPriority w:val="99"/>
    <w:pPr>
      <w:ind w:firstLine="560"/>
    </w:pPr>
    <w:rPr>
      <w:rFonts w:ascii="??" w:hAnsi="??" w:eastAsia="宋体" w:cs="??"/>
      <w:color w:val="000000"/>
      <w:sz w:val="27"/>
      <w:szCs w:val="27"/>
    </w:rPr>
  </w:style>
  <w:style w:type="character" w:customStyle="1" w:styleId="72">
    <w:name w:val="apple-style-span"/>
    <w:basedOn w:val="33"/>
    <w:qFormat/>
    <w:uiPriority w:val="0"/>
  </w:style>
  <w:style w:type="paragraph" w:customStyle="1" w:styleId="73">
    <w:name w:val="引文目录标题1"/>
    <w:basedOn w:val="1"/>
    <w:next w:val="1"/>
    <w:qFormat/>
    <w:uiPriority w:val="0"/>
    <w:pPr>
      <w:spacing w:line="360" w:lineRule="auto"/>
    </w:pPr>
    <w:rPr>
      <w:rFonts w:eastAsia="仿宋_GB2312"/>
    </w:rPr>
  </w:style>
  <w:style w:type="paragraph" w:customStyle="1" w:styleId="74">
    <w:name w:val="预案正文"/>
    <w:basedOn w:val="1"/>
    <w:next w:val="1"/>
    <w:qFormat/>
    <w:uiPriority w:val="0"/>
    <w:pPr>
      <w:spacing w:line="360" w:lineRule="auto"/>
    </w:pPr>
    <w:rPr>
      <w:rFonts w:ascii="Calibri" w:hAnsi="宋体"/>
      <w:szCs w:val="20"/>
    </w:rPr>
  </w:style>
  <w:style w:type="paragraph" w:customStyle="1" w:styleId="75">
    <w:name w:val="【正文】"/>
    <w:basedOn w:val="1"/>
    <w:qFormat/>
    <w:uiPriority w:val="0"/>
    <w:pPr>
      <w:widowControl w:val="0"/>
      <w:adjustRightInd/>
      <w:snapToGrid/>
      <w:spacing w:line="360" w:lineRule="auto"/>
      <w:ind w:firstLine="560"/>
      <w:jc w:val="both"/>
    </w:pPr>
    <w:rPr>
      <w:rFonts w:ascii="宋体" w:hAnsi="宋体" w:eastAsia="仿宋_GB2312"/>
      <w:kern w:val="2"/>
      <w:sz w:val="24"/>
      <w:szCs w:val="28"/>
    </w:rPr>
  </w:style>
  <w:style w:type="paragraph" w:customStyle="1" w:styleId="76">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77">
    <w:name w:val="4题目4"/>
    <w:basedOn w:val="1"/>
    <w:next w:val="78"/>
    <w:qFormat/>
    <w:uiPriority w:val="0"/>
    <w:pPr>
      <w:widowControl w:val="0"/>
      <w:adjustRightInd/>
      <w:snapToGrid/>
      <w:spacing w:line="360" w:lineRule="auto"/>
      <w:jc w:val="both"/>
      <w:outlineLvl w:val="3"/>
    </w:pPr>
    <w:rPr>
      <w:rFonts w:eastAsia="仿宋_GB2312"/>
      <w:b/>
      <w:kern w:val="2"/>
      <w:szCs w:val="20"/>
    </w:rPr>
  </w:style>
  <w:style w:type="paragraph" w:customStyle="1" w:styleId="78">
    <w:name w:val="正文."/>
    <w:qFormat/>
    <w:uiPriority w:val="0"/>
    <w:pPr>
      <w:widowControl w:val="0"/>
      <w:autoSpaceDE w:val="0"/>
      <w:autoSpaceDN w:val="0"/>
      <w:adjustRightInd w:val="0"/>
      <w:spacing w:line="500" w:lineRule="exact"/>
      <w:jc w:val="both"/>
    </w:pPr>
    <w:rPr>
      <w:rFonts w:ascii="Times New Roman;Symbol;Arial;婼" w:hAnsi="Times New Roman" w:eastAsia="Times New Roman;Symbol;Arial;婼" w:cs="Times New Roman"/>
      <w:sz w:val="21"/>
      <w:szCs w:val="21"/>
      <w:lang w:val="en-US" w:eastAsia="zh-CN" w:bidi="ar-SA"/>
    </w:rPr>
  </w:style>
  <w:style w:type="paragraph" w:customStyle="1" w:styleId="79">
    <w:name w:val="2题目2"/>
    <w:basedOn w:val="1"/>
    <w:qFormat/>
    <w:uiPriority w:val="0"/>
    <w:pPr>
      <w:widowControl w:val="0"/>
      <w:adjustRightInd/>
      <w:snapToGrid/>
      <w:spacing w:line="360" w:lineRule="auto"/>
      <w:outlineLvl w:val="1"/>
    </w:pPr>
    <w:rPr>
      <w:rFonts w:eastAsia="仿宋_GB2312" w:cs="宋体"/>
      <w:b/>
      <w:bCs/>
      <w:color w:val="000000"/>
      <w:kern w:val="2"/>
      <w:szCs w:val="20"/>
    </w:rPr>
  </w:style>
  <w:style w:type="paragraph" w:customStyle="1" w:styleId="80">
    <w:name w:val="_Style 45"/>
    <w:basedOn w:val="1"/>
    <w:next w:val="14"/>
    <w:qFormat/>
    <w:uiPriority w:val="0"/>
    <w:pPr>
      <w:suppressAutoHyphens/>
      <w:spacing w:line="500" w:lineRule="atLeast"/>
      <w:jc w:val="both"/>
    </w:pPr>
    <w:rPr>
      <w:rFonts w:eastAsia="宋体"/>
      <w:snapToGrid w:val="0"/>
      <w:sz w:val="24"/>
      <w:szCs w:val="20"/>
    </w:rPr>
  </w:style>
  <w:style w:type="character" w:customStyle="1" w:styleId="81">
    <w:name w:val="Body text + 9 pt"/>
    <w:basedOn w:val="51"/>
    <w:unhideWhenUsed/>
    <w:qFormat/>
    <w:uiPriority w:val="99"/>
    <w:rPr>
      <w:rFonts w:hint="eastAsia"/>
      <w:spacing w:val="7"/>
      <w:sz w:val="18"/>
    </w:rPr>
  </w:style>
  <w:style w:type="paragraph" w:customStyle="1" w:styleId="82">
    <w:name w:val="Revision"/>
    <w:hidden/>
    <w:semiHidden/>
    <w:unhideWhenUsed/>
    <w:qFormat/>
    <w:uiPriority w:val="99"/>
    <w:rPr>
      <w:rFonts w:ascii="Tahoma" w:hAnsi="Tahoma" w:eastAsia="微软雅黑" w:cstheme="minorBidi"/>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3073"/>
    <customShpInfo spid="_x0000_s3076"/>
    <customShpInfo spid="_x0000_s3077"/>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69"/>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E6B4DA-FE15-4CDE-BC71-AC541EBFF1D3}">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77</Pages>
  <Words>7472</Words>
  <Characters>42592</Characters>
  <Lines>354</Lines>
  <Paragraphs>99</Paragraphs>
  <TotalTime>10</TotalTime>
  <ScaleCrop>false</ScaleCrop>
  <LinksUpToDate>false</LinksUpToDate>
  <CharactersWithSpaces>49965</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2016-10-06T08:43:00Z</dcterms:created>
  <dc:creator>Administrator</dc:creator>
  <cp:lastModifiedBy>吉心</cp:lastModifiedBy>
  <cp:lastPrinted>2021-07-12T07:08:00Z</cp:lastPrinted>
  <dcterms:modified xsi:type="dcterms:W3CDTF">2021-09-28T07:38:25Z</dcterms:modified>
  <cp:revision>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55A55D52A1834514970BF7D9FE871396</vt:lpwstr>
  </property>
</Properties>
</file>