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pacing w:val="-20"/>
          <w:sz w:val="44"/>
          <w:szCs w:val="44"/>
          <w:lang w:eastAsia="zh-CN"/>
        </w:rPr>
      </w:pPr>
      <w:bookmarkStart w:id="0" w:name="_GoBack"/>
      <w:bookmarkEnd w:id="0"/>
      <w:r>
        <w:rPr>
          <w:rFonts w:hint="eastAsia" w:ascii="Times New Roman" w:hAnsi="Times New Roman" w:eastAsia="方正小标宋_GBK" w:cs="Times New Roman"/>
          <w:spacing w:val="-20"/>
          <w:sz w:val="44"/>
          <w:szCs w:val="44"/>
          <w:lang w:eastAsia="zh-CN"/>
        </w:rPr>
        <w:t>西畴县柏林彬美家具店建设项目环境</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r>
        <w:rPr>
          <w:rFonts w:hint="eastAsia" w:ascii="Times New Roman" w:hAnsi="Times New Roman" w:eastAsia="方正小标宋_GBK" w:cs="Times New Roman"/>
          <w:spacing w:val="-20"/>
          <w:sz w:val="44"/>
          <w:szCs w:val="44"/>
          <w:lang w:eastAsia="zh-CN"/>
        </w:rPr>
        <w:t>影响评价</w:t>
      </w:r>
      <w:r>
        <w:rPr>
          <w:rFonts w:hint="eastAsia" w:eastAsia="方正小标宋_GBK" w:cs="Times New Roman"/>
          <w:spacing w:val="-20"/>
          <w:sz w:val="44"/>
          <w:szCs w:val="44"/>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仿宋" w:hAnsi="仿宋" w:eastAsia="仿宋" w:cs="方正仿宋简体"/>
          <w:color w:val="000000"/>
          <w:sz w:val="32"/>
          <w:szCs w:val="32"/>
          <w:shd w:val="clear" w:color="auto" w:fill="FFFFFF"/>
          <w:lang w:eastAsia="zh-CN"/>
        </w:rPr>
        <w:t>我局拟对《</w:t>
      </w:r>
      <w:r>
        <w:rPr>
          <w:rFonts w:hint="eastAsia" w:ascii="Times New Roman" w:hAnsi="Times New Roman" w:eastAsia="方正仿宋_GBK" w:cs="Times New Roman"/>
          <w:sz w:val="32"/>
          <w:szCs w:val="32"/>
          <w:lang w:eastAsia="zh-CN"/>
        </w:rPr>
        <w:t>西畴县柏林彬美家具店建设项目</w:t>
      </w:r>
      <w:r>
        <w:rPr>
          <w:rFonts w:hint="eastAsia" w:ascii="仿宋" w:hAnsi="仿宋" w:eastAsia="仿宋" w:cs="方正仿宋简体"/>
          <w:color w:val="000000"/>
          <w:sz w:val="32"/>
          <w:szCs w:val="32"/>
          <w:shd w:val="clear" w:color="auto" w:fill="FFFFFF"/>
          <w:lang w:eastAsia="zh-CN"/>
        </w:rPr>
        <w:t>环</w:t>
      </w:r>
      <w:r>
        <w:rPr>
          <w:rFonts w:hint="default" w:ascii="仿宋" w:hAnsi="仿宋" w:eastAsia="仿宋" w:cs="方正仿宋简体"/>
          <w:color w:val="000000"/>
          <w:sz w:val="32"/>
          <w:szCs w:val="32"/>
          <w:shd w:val="clear" w:color="auto" w:fill="FFFFFF"/>
          <w:lang w:eastAsia="zh-CN"/>
        </w:rPr>
        <w:t>境影响</w:t>
      </w:r>
      <w:r>
        <w:rPr>
          <w:rFonts w:hint="eastAsia" w:ascii="仿宋" w:hAnsi="仿宋" w:eastAsia="仿宋" w:cs="方正仿宋简体"/>
          <w:color w:val="000000"/>
          <w:sz w:val="32"/>
          <w:szCs w:val="32"/>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公示期：202</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7</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9</w:t>
      </w:r>
      <w:r>
        <w:rPr>
          <w:rFonts w:hint="default" w:ascii="Times New Roman" w:hAnsi="Times New Roman" w:eastAsia="仿宋" w:cs="Times New Roman"/>
          <w:color w:val="000000"/>
          <w:sz w:val="32"/>
          <w:szCs w:val="32"/>
          <w:shd w:val="clear" w:color="auto" w:fill="FFFFFF"/>
          <w:lang w:eastAsia="zh-CN"/>
        </w:rPr>
        <w:t>日至20</w:t>
      </w:r>
      <w:r>
        <w:rPr>
          <w:rFonts w:hint="eastAsia" w:ascii="Times New Roman" w:hAnsi="Times New Roman" w:eastAsia="仿宋" w:cs="Times New Roman"/>
          <w:color w:val="000000"/>
          <w:sz w:val="32"/>
          <w:szCs w:val="32"/>
          <w:shd w:val="clear" w:color="auto" w:fill="FFFFFF"/>
          <w:lang w:val="en-US" w:eastAsia="zh-CN"/>
        </w:rPr>
        <w:t>21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7</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15</w:t>
      </w:r>
      <w:r>
        <w:rPr>
          <w:rFonts w:hint="default" w:ascii="Times New Roman" w:hAnsi="Times New Roman" w:eastAsia="仿宋" w:cs="Times New Roman"/>
          <w:color w:val="000000"/>
          <w:sz w:val="32"/>
          <w:szCs w:val="32"/>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21</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7</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9</w:t>
      </w:r>
      <w:r>
        <w:rPr>
          <w:rFonts w:hint="default"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 xml:space="preserve">   </w:t>
      </w:r>
    </w:p>
    <w:p>
      <w:pPr>
        <w:rPr>
          <w:rFonts w:hint="eastAsia"/>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356"/>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24" w:hRule="atLeast"/>
        </w:trPr>
        <w:tc>
          <w:tcPr>
            <w:tcW w:w="1356"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8923"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shd w:val="clear" w:color="auto" w:fill="FFFFFF"/>
                <w:lang w:eastAsia="zh-CN"/>
              </w:rPr>
            </w:pPr>
            <w:r>
              <w:rPr>
                <w:rFonts w:hint="eastAsia" w:ascii="Times New Roman" w:hAnsi="Times New Roman" w:eastAsia="方正仿宋_GBK" w:cs="Times New Roman"/>
                <w:color w:val="000000"/>
                <w:sz w:val="24"/>
                <w:szCs w:val="24"/>
                <w:shd w:val="clear" w:color="auto" w:fill="FFFFFF"/>
                <w:lang w:eastAsia="zh-CN"/>
              </w:rPr>
              <w:t>西畴</w:t>
            </w:r>
            <w:r>
              <w:rPr>
                <w:rFonts w:hint="default" w:ascii="Times New Roman" w:hAnsi="Times New Roman" w:eastAsia="方正仿宋_GBK" w:cs="Times New Roman"/>
                <w:color w:val="000000"/>
                <w:sz w:val="24"/>
                <w:szCs w:val="24"/>
                <w:shd w:val="clear" w:color="auto" w:fill="FFFFFF"/>
                <w:lang w:eastAsia="zh-CN"/>
              </w:rPr>
              <w:t>县</w:t>
            </w:r>
            <w:r>
              <w:rPr>
                <w:rFonts w:hint="eastAsia" w:ascii="Times New Roman" w:hAnsi="Times New Roman" w:eastAsia="方正仿宋_GBK" w:cs="Times New Roman"/>
                <w:color w:val="000000"/>
                <w:sz w:val="24"/>
                <w:szCs w:val="24"/>
                <w:shd w:val="clear" w:color="auto" w:fill="FFFFFF"/>
                <w:lang w:eastAsia="zh-CN"/>
              </w:rPr>
              <w:t>柏林乡马蹄寨村委会老寨村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99" w:hRule="atLeast"/>
        </w:trPr>
        <w:tc>
          <w:tcPr>
            <w:tcW w:w="1356"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8923"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eastAsia" w:ascii="Times New Roman" w:hAnsi="Times New Roman" w:eastAsia="方正仿宋_GBK" w:cs="Times New Roman"/>
                <w:color w:val="000000"/>
                <w:sz w:val="24"/>
                <w:szCs w:val="24"/>
                <w:shd w:val="clear" w:color="auto" w:fill="FFFFFF"/>
                <w:lang w:eastAsia="zh-CN"/>
              </w:rPr>
              <w:t>西畴县柏林彬美家具店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463" w:hRule="atLeast"/>
        </w:trPr>
        <w:tc>
          <w:tcPr>
            <w:tcW w:w="13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8923"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广西泰胜环保科技有限公司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865" w:hRule="atLeast"/>
        </w:trPr>
        <w:tc>
          <w:tcPr>
            <w:tcW w:w="13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8923" w:type="dxa"/>
            <w:shd w:val="clear" w:color="auto" w:fill="FFFFFF"/>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eastAsiaTheme="minorEastAsia"/>
                <w:lang w:val="en-US" w:eastAsia="zh-CN"/>
              </w:rPr>
            </w:pPr>
            <w:r>
              <w:rPr>
                <w:rFonts w:hint="eastAsia" w:ascii="Times New Roman" w:hAnsi="Times New Roman" w:eastAsia="方正仿宋_GBK" w:cs="Times New Roman"/>
                <w:color w:val="000000"/>
                <w:kern w:val="2"/>
                <w:sz w:val="24"/>
                <w:szCs w:val="24"/>
                <w:shd w:val="clear" w:color="auto" w:fill="FFFFFF"/>
                <w:lang w:val="en-US" w:eastAsia="zh-CN" w:bidi="ar-SA"/>
              </w:rPr>
              <w:t>项目位于西畴县柏林乡马蹄寨村委会老寨村，地理中心坐标为：东经104°41'47.995"，北纬23°12'22.205"。项目占地面积400m</w:t>
            </w:r>
            <w:r>
              <w:rPr>
                <w:rFonts w:hint="eastAsia" w:ascii="Times New Roman" w:hAnsi="Times New Roman" w:eastAsia="方正仿宋_GBK" w:cs="Times New Roman"/>
                <w:color w:val="000000"/>
                <w:kern w:val="2"/>
                <w:sz w:val="24"/>
                <w:szCs w:val="24"/>
                <w:shd w:val="clear" w:color="auto" w:fill="FFFFFF"/>
                <w:vertAlign w:val="superscript"/>
                <w:lang w:val="en-US" w:eastAsia="zh-CN" w:bidi="ar-SA"/>
              </w:rPr>
              <w:t>2</w:t>
            </w:r>
            <w:r>
              <w:rPr>
                <w:rFonts w:hint="eastAsia" w:ascii="Times New Roman" w:hAnsi="Times New Roman" w:eastAsia="方正仿宋_GBK" w:cs="Times New Roman"/>
                <w:color w:val="000000"/>
                <w:kern w:val="2"/>
                <w:sz w:val="24"/>
                <w:szCs w:val="24"/>
                <w:shd w:val="clear" w:color="auto" w:fill="FFFFFF"/>
                <w:lang w:val="en-US" w:eastAsia="zh-CN" w:bidi="ar-SA"/>
              </w:rPr>
              <w:t>，总建筑面积为357m</w:t>
            </w:r>
            <w:r>
              <w:rPr>
                <w:rFonts w:hint="eastAsia" w:ascii="Times New Roman" w:hAnsi="Times New Roman" w:eastAsia="方正仿宋_GBK" w:cs="Times New Roman"/>
                <w:color w:val="000000"/>
                <w:kern w:val="2"/>
                <w:sz w:val="24"/>
                <w:szCs w:val="24"/>
                <w:shd w:val="clear" w:color="auto" w:fill="FFFFFF"/>
                <w:vertAlign w:val="superscript"/>
                <w:lang w:val="en-US" w:eastAsia="zh-CN" w:bidi="ar-SA"/>
              </w:rPr>
              <w:t>2</w:t>
            </w:r>
            <w:r>
              <w:rPr>
                <w:rFonts w:hint="eastAsia" w:ascii="Times New Roman" w:hAnsi="Times New Roman" w:eastAsia="方正仿宋_GBK" w:cs="Times New Roman"/>
                <w:color w:val="000000"/>
                <w:kern w:val="2"/>
                <w:sz w:val="24"/>
                <w:szCs w:val="24"/>
                <w:shd w:val="clear" w:color="auto" w:fill="FFFFFF"/>
                <w:lang w:val="en-US" w:eastAsia="zh-CN" w:bidi="ar-SA"/>
              </w:rPr>
              <w:t>，年产木桌150张，椅子1000把，神龛200个。建筑物主要有改料间、品料间生产车间、喷漆房和食堂等。实行单班制，每班工作8小时，年工作250天，夜间不生产。项目总投资200万元，其中环保投资41.6万元，环保投资占比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13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60" w:lineRule="auto"/>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8923" w:type="dxa"/>
            <w:shd w:val="clear" w:color="auto" w:fill="FFFFFF"/>
            <w:tcMar>
              <w:top w:w="0" w:type="dxa"/>
              <w:left w:w="108" w:type="dxa"/>
              <w:bottom w:w="0" w:type="dxa"/>
              <w:right w:w="108" w:type="dxa"/>
            </w:tcMar>
          </w:tcPr>
          <w:tbl>
            <w:tblPr>
              <w:tblStyle w:val="10"/>
              <w:tblW w:w="88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170"/>
              <w:gridCol w:w="1155"/>
              <w:gridCol w:w="2355"/>
              <w:gridCol w:w="31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170" w:type="dxa"/>
                  <w:noWrap w:val="0"/>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55" w:type="dxa"/>
                  <w:noWrap w:val="0"/>
                  <w:vAlign w:val="center"/>
                </w:tcPr>
                <w:p>
                  <w:pPr>
                    <w:jc w:val="center"/>
                    <w:rPr>
                      <w:b/>
                      <w:bCs/>
                      <w:szCs w:val="21"/>
                    </w:rPr>
                  </w:pPr>
                  <w:r>
                    <w:rPr>
                      <w:b/>
                      <w:bCs/>
                      <w:szCs w:val="21"/>
                    </w:rPr>
                    <w:t>污染物项目</w:t>
                  </w:r>
                </w:p>
              </w:tc>
              <w:tc>
                <w:tcPr>
                  <w:tcW w:w="2355" w:type="dxa"/>
                  <w:noWrap w:val="0"/>
                  <w:vAlign w:val="center"/>
                </w:tcPr>
                <w:p>
                  <w:pPr>
                    <w:jc w:val="center"/>
                    <w:rPr>
                      <w:b/>
                      <w:bCs/>
                      <w:szCs w:val="21"/>
                    </w:rPr>
                  </w:pPr>
                  <w:r>
                    <w:rPr>
                      <w:b/>
                      <w:bCs/>
                      <w:szCs w:val="21"/>
                    </w:rPr>
                    <w:t>环境保护措施</w:t>
                  </w:r>
                </w:p>
              </w:tc>
              <w:tc>
                <w:tcPr>
                  <w:tcW w:w="3137"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83" w:type="dxa"/>
                  <w:vMerge w:val="restart"/>
                  <w:noWrap w:val="0"/>
                  <w:vAlign w:val="center"/>
                </w:tcPr>
                <w:p>
                  <w:pPr>
                    <w:jc w:val="center"/>
                    <w:rPr>
                      <w:b/>
                      <w:bCs/>
                      <w:szCs w:val="21"/>
                    </w:rPr>
                  </w:pPr>
                  <w:r>
                    <w:rPr>
                      <w:b/>
                      <w:bCs/>
                      <w:szCs w:val="21"/>
                    </w:rPr>
                    <w:t>大气环境</w:t>
                  </w:r>
                </w:p>
              </w:tc>
              <w:tc>
                <w:tcPr>
                  <w:tcW w:w="1170" w:type="dxa"/>
                  <w:noWrap w:val="0"/>
                  <w:vAlign w:val="center"/>
                </w:tcPr>
                <w:p>
                  <w:pPr>
                    <w:jc w:val="center"/>
                    <w:rPr>
                      <w:szCs w:val="21"/>
                    </w:rPr>
                  </w:pPr>
                  <w:r>
                    <w:rPr>
                      <w:rFonts w:hint="eastAsia"/>
                    </w:rPr>
                    <w:t>下料、铣型、雕刻、木磨、底漆打磨</w:t>
                  </w:r>
                </w:p>
              </w:tc>
              <w:tc>
                <w:tcPr>
                  <w:tcW w:w="1155" w:type="dxa"/>
                  <w:noWrap w:val="0"/>
                  <w:vAlign w:val="center"/>
                </w:tcPr>
                <w:p>
                  <w:pPr>
                    <w:jc w:val="center"/>
                    <w:rPr>
                      <w:szCs w:val="21"/>
                    </w:rPr>
                  </w:pPr>
                  <w:r>
                    <w:rPr>
                      <w:rFonts w:hint="eastAsia"/>
                      <w:szCs w:val="21"/>
                    </w:rPr>
                    <w:t>颗粒物</w:t>
                  </w:r>
                </w:p>
              </w:tc>
              <w:tc>
                <w:tcPr>
                  <w:tcW w:w="2355" w:type="dxa"/>
                  <w:tcBorders>
                    <w:bottom w:val="single" w:color="auto" w:sz="4" w:space="0"/>
                  </w:tcBorders>
                  <w:noWrap w:val="0"/>
                  <w:vAlign w:val="center"/>
                </w:tcPr>
                <w:p>
                  <w:pPr>
                    <w:rPr>
                      <w:szCs w:val="21"/>
                    </w:rPr>
                  </w:pPr>
                  <w:r>
                    <w:rPr>
                      <w:rFonts w:hint="eastAsia"/>
                      <w:szCs w:val="21"/>
                    </w:rPr>
                    <w:t>项目拟设置2台活动式集尘罩和一台固定式集尘罩，采用并列组合的形式。固定式集尘罩设置于开料机上部，活动式集尘罩可灵活拉至加工设备旁，如开榫机、铣床、打磨机等，可将废气引至布袋除尘器</w:t>
                  </w:r>
                </w:p>
              </w:tc>
              <w:tc>
                <w:tcPr>
                  <w:tcW w:w="3137" w:type="dxa"/>
                  <w:tcBorders>
                    <w:bottom w:val="single" w:color="auto" w:sz="4" w:space="0"/>
                  </w:tcBorders>
                  <w:noWrap w:val="0"/>
                  <w:vAlign w:val="center"/>
                </w:tcPr>
                <w:p>
                  <w:pPr>
                    <w:rPr>
                      <w:szCs w:val="21"/>
                    </w:rPr>
                  </w:pPr>
                  <w:r>
                    <w:rPr>
                      <w:rFonts w:hint="eastAsia"/>
                      <w:snapToGrid w:val="0"/>
                      <w:kern w:val="0"/>
                      <w:szCs w:val="21"/>
                    </w:rPr>
                    <w:t>达到《大气污染物综合排放标准》（GB16297-1996）中颗粒物有组织和无组织排放限值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983" w:type="dxa"/>
                  <w:vMerge w:val="continue"/>
                  <w:noWrap w:val="0"/>
                  <w:vAlign w:val="center"/>
                </w:tcPr>
                <w:p>
                  <w:pPr>
                    <w:jc w:val="center"/>
                    <w:rPr>
                      <w:b/>
                      <w:bCs/>
                      <w:szCs w:val="21"/>
                    </w:rPr>
                  </w:pPr>
                </w:p>
              </w:tc>
              <w:tc>
                <w:tcPr>
                  <w:tcW w:w="1170" w:type="dxa"/>
                  <w:noWrap w:val="0"/>
                  <w:vAlign w:val="center"/>
                </w:tcPr>
                <w:p>
                  <w:pPr>
                    <w:jc w:val="center"/>
                    <w:rPr>
                      <w:szCs w:val="21"/>
                    </w:rPr>
                  </w:pPr>
                  <w:r>
                    <w:rPr>
                      <w:rFonts w:hint="eastAsia"/>
                    </w:rPr>
                    <w:t>排气筒/底漆、面漆喷涂</w:t>
                  </w:r>
                </w:p>
              </w:tc>
              <w:tc>
                <w:tcPr>
                  <w:tcW w:w="1155" w:type="dxa"/>
                  <w:noWrap w:val="0"/>
                  <w:vAlign w:val="center"/>
                </w:tcPr>
                <w:p>
                  <w:pPr>
                    <w:jc w:val="center"/>
                    <w:rPr>
                      <w:szCs w:val="21"/>
                    </w:rPr>
                  </w:pPr>
                  <w:r>
                    <w:rPr>
                      <w:rFonts w:hint="eastAsia"/>
                      <w:szCs w:val="21"/>
                    </w:rPr>
                    <w:t>颗粒物、甲苯、二甲苯、VOCs</w:t>
                  </w:r>
                </w:p>
              </w:tc>
              <w:tc>
                <w:tcPr>
                  <w:tcW w:w="2355" w:type="dxa"/>
                  <w:tcBorders>
                    <w:top w:val="single" w:color="auto" w:sz="4" w:space="0"/>
                    <w:bottom w:val="single" w:color="auto" w:sz="4" w:space="0"/>
                  </w:tcBorders>
                  <w:noWrap w:val="0"/>
                  <w:vAlign w:val="center"/>
                </w:tcPr>
                <w:p>
                  <w:pPr>
                    <w:rPr>
                      <w:szCs w:val="21"/>
                    </w:rPr>
                  </w:pPr>
                  <w:r>
                    <w:rPr>
                      <w:rFonts w:hint="eastAsia"/>
                      <w:szCs w:val="21"/>
                    </w:rPr>
                    <w:t>密闭式喷漆房。喷漆房废气经</w:t>
                  </w:r>
                  <w:r>
                    <w:rPr>
                      <w:rFonts w:hint="eastAsia"/>
                      <w:szCs w:val="21"/>
                      <w:lang w:val="en-US" w:eastAsia="zh-CN"/>
                    </w:rPr>
                    <w:t>设置引风机通过</w:t>
                  </w:r>
                  <w:r>
                    <w:rPr>
                      <w:rFonts w:hint="eastAsia"/>
                      <w:szCs w:val="21"/>
                    </w:rPr>
                    <w:t>活性炭吸附</w:t>
                  </w:r>
                  <w:r>
                    <w:rPr>
                      <w:rFonts w:hint="eastAsia"/>
                      <w:szCs w:val="21"/>
                      <w:lang w:val="en-US" w:eastAsia="zh-CN"/>
                    </w:rPr>
                    <w:t>+光氧催化</w:t>
                  </w:r>
                  <w:r>
                    <w:rPr>
                      <w:rFonts w:hint="eastAsia"/>
                      <w:szCs w:val="21"/>
                    </w:rPr>
                    <w:t>处理排放。</w:t>
                  </w:r>
                </w:p>
              </w:tc>
              <w:tc>
                <w:tcPr>
                  <w:tcW w:w="3137" w:type="dxa"/>
                  <w:tcBorders>
                    <w:top w:val="single" w:color="auto" w:sz="4" w:space="0"/>
                    <w:bottom w:val="single" w:color="auto" w:sz="4" w:space="0"/>
                  </w:tcBorders>
                  <w:noWrap w:val="0"/>
                  <w:vAlign w:val="center"/>
                </w:tcPr>
                <w:p>
                  <w:pPr>
                    <w:rPr>
                      <w:szCs w:val="21"/>
                    </w:rPr>
                  </w:pPr>
                  <w:r>
                    <w:rPr>
                      <w:rFonts w:hint="eastAsia"/>
                      <w:snapToGrid w:val="0"/>
                      <w:kern w:val="0"/>
                      <w:szCs w:val="21"/>
                    </w:rPr>
                    <w:t>达到《大气污染物综合排放标准》（GB16297-1996）中有组织和无组织排放限值。无组织排放的V</w:t>
                  </w:r>
                  <w:r>
                    <w:rPr>
                      <w:snapToGrid w:val="0"/>
                      <w:kern w:val="0"/>
                      <w:szCs w:val="21"/>
                    </w:rPr>
                    <w:t>OC</w:t>
                  </w:r>
                  <w:r>
                    <w:rPr>
                      <w:rFonts w:hint="eastAsia"/>
                      <w:snapToGrid w:val="0"/>
                      <w:kern w:val="0"/>
                      <w:szCs w:val="21"/>
                    </w:rPr>
                    <w:t>s满足挥发性有机物无组织排放控制标准》（GB37822-2019）中表A</w:t>
                  </w:r>
                  <w:r>
                    <w:rPr>
                      <w:snapToGrid w:val="0"/>
                      <w:kern w:val="0"/>
                      <w:szCs w:val="21"/>
                    </w:rPr>
                    <w:t>.1</w:t>
                  </w:r>
                  <w:r>
                    <w:rPr>
                      <w:rFonts w:hint="eastAsia"/>
                      <w:snapToGrid w:val="0"/>
                      <w:kern w:val="0"/>
                      <w:szCs w:val="21"/>
                    </w:rPr>
                    <w:t>规定限值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983" w:type="dxa"/>
                  <w:vMerge w:val="continue"/>
                  <w:noWrap w:val="0"/>
                  <w:vAlign w:val="center"/>
                </w:tcPr>
                <w:p>
                  <w:pPr>
                    <w:jc w:val="center"/>
                    <w:rPr>
                      <w:b/>
                      <w:bCs/>
                      <w:szCs w:val="21"/>
                    </w:rPr>
                  </w:pPr>
                </w:p>
              </w:tc>
              <w:tc>
                <w:tcPr>
                  <w:tcW w:w="1170" w:type="dxa"/>
                  <w:noWrap w:val="0"/>
                  <w:vAlign w:val="center"/>
                </w:tcPr>
                <w:p>
                  <w:pPr>
                    <w:jc w:val="center"/>
                    <w:rPr>
                      <w:szCs w:val="21"/>
                    </w:rPr>
                  </w:pPr>
                  <w:r>
                    <w:rPr>
                      <w:rFonts w:hint="eastAsia"/>
                      <w:szCs w:val="21"/>
                    </w:rPr>
                    <w:t>员工食堂</w:t>
                  </w:r>
                </w:p>
              </w:tc>
              <w:tc>
                <w:tcPr>
                  <w:tcW w:w="1155" w:type="dxa"/>
                  <w:noWrap w:val="0"/>
                  <w:vAlign w:val="center"/>
                </w:tcPr>
                <w:p>
                  <w:pPr>
                    <w:jc w:val="center"/>
                    <w:rPr>
                      <w:szCs w:val="21"/>
                    </w:rPr>
                  </w:pPr>
                  <w:r>
                    <w:rPr>
                      <w:rFonts w:hint="eastAsia"/>
                      <w:szCs w:val="21"/>
                    </w:rPr>
                    <w:t>饮食油烟</w:t>
                  </w:r>
                </w:p>
              </w:tc>
              <w:tc>
                <w:tcPr>
                  <w:tcW w:w="2355" w:type="dxa"/>
                  <w:tcBorders>
                    <w:top w:val="single" w:color="auto" w:sz="4" w:space="0"/>
                    <w:bottom w:val="single" w:color="auto" w:sz="4" w:space="0"/>
                  </w:tcBorders>
                  <w:noWrap w:val="0"/>
                  <w:vAlign w:val="center"/>
                </w:tcPr>
                <w:p>
                  <w:pPr>
                    <w:rPr>
                      <w:szCs w:val="21"/>
                    </w:rPr>
                  </w:pPr>
                  <w:r>
                    <w:rPr>
                      <w:rFonts w:hint="eastAsia"/>
                      <w:szCs w:val="21"/>
                    </w:rPr>
                    <w:t>经油烟净化器处理达标后通过排气筒排放</w:t>
                  </w:r>
                </w:p>
              </w:tc>
              <w:tc>
                <w:tcPr>
                  <w:tcW w:w="3137" w:type="dxa"/>
                  <w:tcBorders>
                    <w:top w:val="single" w:color="auto" w:sz="4" w:space="0"/>
                    <w:bottom w:val="single" w:color="auto" w:sz="4" w:space="0"/>
                  </w:tcBorders>
                  <w:noWrap w:val="0"/>
                  <w:vAlign w:val="center"/>
                </w:tcPr>
                <w:p>
                  <w:pPr>
                    <w:rPr>
                      <w:szCs w:val="21"/>
                    </w:rPr>
                  </w:pPr>
                  <w:r>
                    <w:rPr>
                      <w:rFonts w:hint="eastAsia"/>
                      <w:snapToGrid w:val="0"/>
                      <w:kern w:val="0"/>
                      <w:szCs w:val="21"/>
                    </w:rPr>
                    <w:t>满足《饮食业油烟排放标准》（GB18483-2001）的规定标准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3" w:type="dxa"/>
                  <w:noWrap w:val="0"/>
                  <w:vAlign w:val="center"/>
                </w:tcPr>
                <w:p>
                  <w:pPr>
                    <w:jc w:val="center"/>
                    <w:rPr>
                      <w:b/>
                      <w:bCs/>
                      <w:szCs w:val="21"/>
                    </w:rPr>
                  </w:pPr>
                  <w:r>
                    <w:rPr>
                      <w:b/>
                      <w:bCs/>
                      <w:szCs w:val="21"/>
                    </w:rPr>
                    <w:t>地表水环境</w:t>
                  </w:r>
                </w:p>
              </w:tc>
              <w:tc>
                <w:tcPr>
                  <w:tcW w:w="1170" w:type="dxa"/>
                  <w:tcBorders>
                    <w:bottom w:val="single" w:color="auto" w:sz="4" w:space="0"/>
                  </w:tcBorders>
                  <w:noWrap w:val="0"/>
                  <w:vAlign w:val="center"/>
                </w:tcPr>
                <w:p>
                  <w:pPr>
                    <w:jc w:val="center"/>
                    <w:rPr>
                      <w:szCs w:val="21"/>
                    </w:rPr>
                  </w:pPr>
                  <w:r>
                    <w:rPr>
                      <w:snapToGrid w:val="0"/>
                      <w:kern w:val="0"/>
                      <w:szCs w:val="21"/>
                    </w:rPr>
                    <w:t>生活废水</w:t>
                  </w:r>
                </w:p>
              </w:tc>
              <w:tc>
                <w:tcPr>
                  <w:tcW w:w="1155" w:type="dxa"/>
                  <w:tcBorders>
                    <w:bottom w:val="single" w:color="auto" w:sz="4" w:space="0"/>
                  </w:tcBorders>
                  <w:noWrap w:val="0"/>
                  <w:vAlign w:val="center"/>
                </w:tcPr>
                <w:p>
                  <w:pPr>
                    <w:jc w:val="center"/>
                    <w:rPr>
                      <w:szCs w:val="21"/>
                    </w:rPr>
                  </w:pPr>
                  <w:r>
                    <w:rPr>
                      <w:snapToGrid w:val="0"/>
                      <w:kern w:val="0"/>
                      <w:szCs w:val="21"/>
                    </w:rPr>
                    <w:t>COD、BOD</w:t>
                  </w:r>
                  <w:r>
                    <w:rPr>
                      <w:snapToGrid w:val="0"/>
                      <w:kern w:val="0"/>
                      <w:szCs w:val="21"/>
                      <w:vertAlign w:val="subscript"/>
                    </w:rPr>
                    <w:t>5</w:t>
                  </w:r>
                  <w:r>
                    <w:rPr>
                      <w:snapToGrid w:val="0"/>
                      <w:kern w:val="0"/>
                      <w:szCs w:val="21"/>
                    </w:rPr>
                    <w:t>、氨氮、SS、TP、粪大肠菌群</w:t>
                  </w:r>
                </w:p>
              </w:tc>
              <w:tc>
                <w:tcPr>
                  <w:tcW w:w="2355" w:type="dxa"/>
                  <w:tcBorders>
                    <w:bottom w:val="single" w:color="auto" w:sz="4" w:space="0"/>
                  </w:tcBorders>
                  <w:noWrap w:val="0"/>
                  <w:vAlign w:val="center"/>
                </w:tcPr>
                <w:p>
                  <w:pPr>
                    <w:jc w:val="center"/>
                    <w:rPr>
                      <w:szCs w:val="21"/>
                    </w:rPr>
                  </w:pPr>
                  <w:r>
                    <w:rPr>
                      <w:rFonts w:hint="eastAsia"/>
                      <w:szCs w:val="21"/>
                    </w:rPr>
                    <w:t>隔油池（0</w:t>
                  </w:r>
                  <w:r>
                    <w:rPr>
                      <w:szCs w:val="21"/>
                    </w:rPr>
                    <w:t>.1</w:t>
                  </w:r>
                  <w:r>
                    <w:rPr>
                      <w:rFonts w:hint="eastAsia"/>
                      <w:szCs w:val="21"/>
                    </w:rPr>
                    <w:t>m</w:t>
                  </w:r>
                  <w:r>
                    <w:rPr>
                      <w:szCs w:val="21"/>
                      <w:vertAlign w:val="superscript"/>
                    </w:rPr>
                    <w:t>3</w:t>
                  </w:r>
                  <w:r>
                    <w:rPr>
                      <w:rFonts w:hint="eastAsia"/>
                      <w:szCs w:val="21"/>
                    </w:rPr>
                    <w:t>）、</w:t>
                  </w:r>
                  <w:r>
                    <w:rPr>
                      <w:szCs w:val="21"/>
                    </w:rPr>
                    <w:t>化粪池</w:t>
                  </w:r>
                  <w:r>
                    <w:rPr>
                      <w:rFonts w:hint="eastAsia"/>
                      <w:szCs w:val="21"/>
                    </w:rPr>
                    <w:t>（</w:t>
                  </w:r>
                  <w:r>
                    <w:rPr>
                      <w:szCs w:val="21"/>
                    </w:rPr>
                    <w:t>5</w:t>
                  </w:r>
                  <w:r>
                    <w:rPr>
                      <w:rFonts w:hint="eastAsia"/>
                      <w:szCs w:val="21"/>
                    </w:rPr>
                    <w:t>m</w:t>
                  </w:r>
                  <w:r>
                    <w:rPr>
                      <w:szCs w:val="21"/>
                      <w:vertAlign w:val="superscript"/>
                    </w:rPr>
                    <w:t>3</w:t>
                  </w:r>
                  <w:r>
                    <w:rPr>
                      <w:rFonts w:hint="eastAsia"/>
                      <w:szCs w:val="21"/>
                    </w:rPr>
                    <w:t>）</w:t>
                  </w:r>
                  <w:r>
                    <w:rPr>
                      <w:szCs w:val="21"/>
                    </w:rPr>
                    <w:t>处理</w:t>
                  </w:r>
                  <w:r>
                    <w:rPr>
                      <w:rFonts w:hint="eastAsia"/>
                      <w:szCs w:val="21"/>
                    </w:rPr>
                    <w:t>，定期清掏作为周围旱地肥料施用</w:t>
                  </w:r>
                </w:p>
              </w:tc>
              <w:tc>
                <w:tcPr>
                  <w:tcW w:w="3137" w:type="dxa"/>
                  <w:tcBorders>
                    <w:bottom w:val="single" w:color="auto" w:sz="4" w:space="0"/>
                  </w:tcBorders>
                  <w:noWrap w:val="0"/>
                  <w:vAlign w:val="center"/>
                </w:tcPr>
                <w:p>
                  <w:pPr>
                    <w:jc w:val="center"/>
                    <w:rPr>
                      <w:szCs w:val="21"/>
                    </w:rPr>
                  </w:pPr>
                  <w:r>
                    <w:rPr>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3" w:type="dxa"/>
                  <w:noWrap w:val="0"/>
                  <w:vAlign w:val="center"/>
                </w:tcPr>
                <w:p>
                  <w:pPr>
                    <w:jc w:val="center"/>
                    <w:rPr>
                      <w:b/>
                      <w:bCs/>
                      <w:szCs w:val="21"/>
                    </w:rPr>
                  </w:pPr>
                  <w:r>
                    <w:rPr>
                      <w:b/>
                      <w:bCs/>
                      <w:szCs w:val="21"/>
                    </w:rPr>
                    <w:t>声环境</w:t>
                  </w:r>
                </w:p>
              </w:tc>
              <w:tc>
                <w:tcPr>
                  <w:tcW w:w="1170" w:type="dxa"/>
                  <w:noWrap w:val="0"/>
                  <w:vAlign w:val="center"/>
                </w:tcPr>
                <w:p>
                  <w:pPr>
                    <w:jc w:val="center"/>
                    <w:rPr>
                      <w:szCs w:val="21"/>
                    </w:rPr>
                  </w:pPr>
                  <w:r>
                    <w:rPr>
                      <w:szCs w:val="21"/>
                    </w:rPr>
                    <w:t>生产设备噪声</w:t>
                  </w:r>
                </w:p>
              </w:tc>
              <w:tc>
                <w:tcPr>
                  <w:tcW w:w="1155" w:type="dxa"/>
                  <w:noWrap w:val="0"/>
                  <w:vAlign w:val="center"/>
                </w:tcPr>
                <w:p>
                  <w:pPr>
                    <w:jc w:val="center"/>
                    <w:rPr>
                      <w:szCs w:val="21"/>
                    </w:rPr>
                  </w:pPr>
                  <w:r>
                    <w:rPr>
                      <w:szCs w:val="21"/>
                    </w:rPr>
                    <w:t>噪声</w:t>
                  </w:r>
                </w:p>
              </w:tc>
              <w:tc>
                <w:tcPr>
                  <w:tcW w:w="2355" w:type="dxa"/>
                  <w:noWrap w:val="0"/>
                  <w:vAlign w:val="center"/>
                </w:tcPr>
                <w:p>
                  <w:pPr>
                    <w:jc w:val="center"/>
                    <w:rPr>
                      <w:szCs w:val="21"/>
                    </w:rPr>
                  </w:pPr>
                  <w:r>
                    <w:rPr>
                      <w:rFonts w:hint="eastAsia"/>
                    </w:rPr>
                    <w:t>安装减震、距离衰减</w:t>
                  </w:r>
                </w:p>
              </w:tc>
              <w:tc>
                <w:tcPr>
                  <w:tcW w:w="3137" w:type="dxa"/>
                  <w:noWrap w:val="0"/>
                  <w:vAlign w:val="center"/>
                </w:tcPr>
                <w:p>
                  <w:pPr>
                    <w:jc w:val="center"/>
                    <w:rPr>
                      <w:szCs w:val="21"/>
                    </w:rPr>
                  </w:pPr>
                  <w:r>
                    <w:rPr>
                      <w:rFonts w:hint="eastAsia"/>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3" w:type="dxa"/>
                  <w:vMerge w:val="restart"/>
                  <w:noWrap w:val="0"/>
                  <w:vAlign w:val="center"/>
                </w:tcPr>
                <w:p>
                  <w:pPr>
                    <w:jc w:val="center"/>
                    <w:rPr>
                      <w:b/>
                      <w:bCs/>
                      <w:szCs w:val="21"/>
                    </w:rPr>
                  </w:pPr>
                  <w:r>
                    <w:rPr>
                      <w:b/>
                      <w:bCs/>
                      <w:szCs w:val="21"/>
                    </w:rPr>
                    <w:t>电磁辐射</w:t>
                  </w:r>
                </w:p>
              </w:tc>
              <w:tc>
                <w:tcPr>
                  <w:tcW w:w="1170" w:type="dxa"/>
                  <w:noWrap w:val="0"/>
                  <w:vAlign w:val="center"/>
                </w:tcPr>
                <w:p>
                  <w:pPr>
                    <w:jc w:val="center"/>
                    <w:rPr>
                      <w:szCs w:val="21"/>
                    </w:rPr>
                  </w:pPr>
                  <w:r>
                    <w:rPr>
                      <w:szCs w:val="21"/>
                    </w:rPr>
                    <w:t>/</w:t>
                  </w:r>
                </w:p>
              </w:tc>
              <w:tc>
                <w:tcPr>
                  <w:tcW w:w="1155" w:type="dxa"/>
                  <w:noWrap w:val="0"/>
                  <w:vAlign w:val="center"/>
                </w:tcPr>
                <w:p>
                  <w:pPr>
                    <w:jc w:val="center"/>
                    <w:rPr>
                      <w:szCs w:val="21"/>
                    </w:rPr>
                  </w:pPr>
                  <w:r>
                    <w:rPr>
                      <w:szCs w:val="21"/>
                    </w:rPr>
                    <w:t>/</w:t>
                  </w:r>
                </w:p>
              </w:tc>
              <w:tc>
                <w:tcPr>
                  <w:tcW w:w="2355" w:type="dxa"/>
                  <w:noWrap w:val="0"/>
                  <w:vAlign w:val="center"/>
                </w:tcPr>
                <w:p>
                  <w:pPr>
                    <w:jc w:val="center"/>
                    <w:rPr>
                      <w:szCs w:val="21"/>
                    </w:rPr>
                  </w:pPr>
                  <w:r>
                    <w:rPr>
                      <w:szCs w:val="21"/>
                    </w:rPr>
                    <w:t>/</w:t>
                  </w:r>
                </w:p>
              </w:tc>
              <w:tc>
                <w:tcPr>
                  <w:tcW w:w="3137"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3" w:type="dxa"/>
                  <w:vMerge w:val="continue"/>
                  <w:noWrap w:val="0"/>
                  <w:vAlign w:val="center"/>
                </w:tcPr>
                <w:p>
                  <w:pPr>
                    <w:jc w:val="center"/>
                    <w:rPr>
                      <w:b/>
                      <w:bCs/>
                      <w:szCs w:val="21"/>
                    </w:rPr>
                  </w:pPr>
                </w:p>
              </w:tc>
              <w:tc>
                <w:tcPr>
                  <w:tcW w:w="1170" w:type="dxa"/>
                  <w:noWrap w:val="0"/>
                  <w:vAlign w:val="center"/>
                </w:tcPr>
                <w:p>
                  <w:pPr>
                    <w:jc w:val="center"/>
                    <w:rPr>
                      <w:szCs w:val="21"/>
                    </w:rPr>
                  </w:pPr>
                  <w:r>
                    <w:rPr>
                      <w:szCs w:val="21"/>
                    </w:rPr>
                    <w:t>/</w:t>
                  </w:r>
                </w:p>
              </w:tc>
              <w:tc>
                <w:tcPr>
                  <w:tcW w:w="1155" w:type="dxa"/>
                  <w:noWrap w:val="0"/>
                  <w:vAlign w:val="center"/>
                </w:tcPr>
                <w:p>
                  <w:pPr>
                    <w:jc w:val="center"/>
                    <w:rPr>
                      <w:szCs w:val="21"/>
                    </w:rPr>
                  </w:pPr>
                  <w:r>
                    <w:rPr>
                      <w:szCs w:val="21"/>
                    </w:rPr>
                    <w:t>/</w:t>
                  </w:r>
                </w:p>
              </w:tc>
              <w:tc>
                <w:tcPr>
                  <w:tcW w:w="2355" w:type="dxa"/>
                  <w:noWrap w:val="0"/>
                  <w:vAlign w:val="center"/>
                </w:tcPr>
                <w:p>
                  <w:pPr>
                    <w:jc w:val="center"/>
                    <w:rPr>
                      <w:szCs w:val="21"/>
                    </w:rPr>
                  </w:pPr>
                  <w:r>
                    <w:rPr>
                      <w:szCs w:val="21"/>
                    </w:rPr>
                    <w:t>/</w:t>
                  </w:r>
                </w:p>
              </w:tc>
              <w:tc>
                <w:tcPr>
                  <w:tcW w:w="3137"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3" w:type="dxa"/>
                  <w:vMerge w:val="continue"/>
                  <w:noWrap w:val="0"/>
                  <w:vAlign w:val="center"/>
                </w:tcPr>
                <w:p>
                  <w:pPr>
                    <w:jc w:val="center"/>
                    <w:rPr>
                      <w:b/>
                      <w:bCs/>
                      <w:szCs w:val="21"/>
                    </w:rPr>
                  </w:pPr>
                </w:p>
              </w:tc>
              <w:tc>
                <w:tcPr>
                  <w:tcW w:w="1170" w:type="dxa"/>
                  <w:noWrap w:val="0"/>
                  <w:vAlign w:val="center"/>
                </w:tcPr>
                <w:p>
                  <w:pPr>
                    <w:jc w:val="center"/>
                    <w:rPr>
                      <w:szCs w:val="21"/>
                    </w:rPr>
                  </w:pPr>
                  <w:r>
                    <w:rPr>
                      <w:szCs w:val="21"/>
                    </w:rPr>
                    <w:t>/</w:t>
                  </w:r>
                </w:p>
              </w:tc>
              <w:tc>
                <w:tcPr>
                  <w:tcW w:w="1155" w:type="dxa"/>
                  <w:noWrap w:val="0"/>
                  <w:vAlign w:val="center"/>
                </w:tcPr>
                <w:p>
                  <w:pPr>
                    <w:jc w:val="center"/>
                    <w:rPr>
                      <w:szCs w:val="21"/>
                    </w:rPr>
                  </w:pPr>
                  <w:r>
                    <w:rPr>
                      <w:szCs w:val="21"/>
                    </w:rPr>
                    <w:t>/</w:t>
                  </w:r>
                </w:p>
              </w:tc>
              <w:tc>
                <w:tcPr>
                  <w:tcW w:w="2355" w:type="dxa"/>
                  <w:noWrap w:val="0"/>
                  <w:vAlign w:val="center"/>
                </w:tcPr>
                <w:p>
                  <w:pPr>
                    <w:jc w:val="center"/>
                    <w:rPr>
                      <w:szCs w:val="21"/>
                    </w:rPr>
                  </w:pPr>
                  <w:r>
                    <w:rPr>
                      <w:szCs w:val="21"/>
                    </w:rPr>
                    <w:t>/</w:t>
                  </w:r>
                </w:p>
              </w:tc>
              <w:tc>
                <w:tcPr>
                  <w:tcW w:w="3137"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jc w:val="center"/>
              </w:trPr>
              <w:tc>
                <w:tcPr>
                  <w:tcW w:w="983" w:type="dxa"/>
                  <w:noWrap w:val="0"/>
                  <w:vAlign w:val="center"/>
                </w:tcPr>
                <w:p>
                  <w:pPr>
                    <w:jc w:val="center"/>
                    <w:rPr>
                      <w:b/>
                      <w:bCs/>
                      <w:szCs w:val="21"/>
                    </w:rPr>
                  </w:pPr>
                  <w:r>
                    <w:rPr>
                      <w:b/>
                      <w:bCs/>
                      <w:szCs w:val="21"/>
                    </w:rPr>
                    <w:t>固体废物</w:t>
                  </w:r>
                </w:p>
              </w:tc>
              <w:tc>
                <w:tcPr>
                  <w:tcW w:w="7817" w:type="dxa"/>
                  <w:gridSpan w:val="4"/>
                  <w:noWrap w:val="0"/>
                  <w:vAlign w:val="center"/>
                </w:tcPr>
                <w:p>
                  <w:pPr>
                    <w:pStyle w:val="2"/>
                    <w:adjustRightInd w:val="0"/>
                    <w:snapToGrid w:val="0"/>
                    <w:spacing w:after="0"/>
                    <w:ind w:left="0" w:leftChars="0" w:firstLineChars="200"/>
                    <w:jc w:val="left"/>
                    <w:rPr>
                      <w:rFonts w:asciiTheme="minorHAnsi" w:hAnsiTheme="minorHAnsi" w:eastAsiaTheme="minorEastAsia" w:cstheme="minorBidi"/>
                      <w:kern w:val="2"/>
                      <w:sz w:val="21"/>
                      <w:szCs w:val="21"/>
                      <w:lang w:val="en-US" w:eastAsia="zh-CN" w:bidi="ar-SA"/>
                    </w:rPr>
                  </w:pPr>
                  <w:r>
                    <w:rPr>
                      <w:rFonts w:asciiTheme="minorHAnsi" w:hAnsiTheme="minorHAnsi" w:eastAsiaTheme="minorEastAsia" w:cstheme="minorBidi"/>
                      <w:kern w:val="2"/>
                      <w:sz w:val="21"/>
                      <w:szCs w:val="21"/>
                      <w:lang w:val="en-US" w:eastAsia="zh-CN" w:bidi="ar-SA"/>
                    </w:rPr>
                    <w:t>设置一个封闭式</w:t>
                  </w:r>
                  <w:r>
                    <w:rPr>
                      <w:rFonts w:hint="eastAsia" w:asciiTheme="minorHAnsi" w:hAnsiTheme="minorHAnsi" w:eastAsiaTheme="minorEastAsia" w:cstheme="minorBidi"/>
                      <w:kern w:val="2"/>
                      <w:sz w:val="21"/>
                      <w:szCs w:val="21"/>
                      <w:lang w:val="en-US" w:eastAsia="zh-CN" w:bidi="ar-SA"/>
                    </w:rPr>
                    <w:t>废弃边角料</w:t>
                  </w:r>
                  <w:r>
                    <w:rPr>
                      <w:rFonts w:asciiTheme="minorHAnsi" w:hAnsiTheme="minorHAnsi" w:eastAsiaTheme="minorEastAsia" w:cstheme="minorBidi"/>
                      <w:kern w:val="2"/>
                      <w:sz w:val="21"/>
                      <w:szCs w:val="21"/>
                      <w:lang w:val="en-US" w:eastAsia="zh-CN" w:bidi="ar-SA"/>
                    </w:rPr>
                    <w:t>存放间，建筑面积</w:t>
                  </w:r>
                  <w:r>
                    <w:rPr>
                      <w:rFonts w:hint="eastAsia" w:asciiTheme="minorHAnsi" w:hAnsiTheme="minorHAnsi" w:eastAsiaTheme="minorEastAsia" w:cstheme="minorBidi"/>
                      <w:kern w:val="2"/>
                      <w:sz w:val="21"/>
                      <w:szCs w:val="21"/>
                      <w:lang w:val="en-US" w:eastAsia="zh-CN" w:bidi="ar-SA"/>
                    </w:rPr>
                    <w:t>5</w:t>
                  </w:r>
                  <w:r>
                    <w:rPr>
                      <w:rFonts w:asciiTheme="minorHAnsi" w:hAnsiTheme="minorHAnsi" w:eastAsiaTheme="minorEastAsia" w:cstheme="minorBidi"/>
                      <w:kern w:val="2"/>
                      <w:sz w:val="21"/>
                      <w:szCs w:val="21"/>
                      <w:lang w:val="en-US" w:eastAsia="zh-CN" w:bidi="ar-SA"/>
                    </w:rPr>
                    <w:t>0m2</w:t>
                  </w:r>
                  <w:r>
                    <w:rPr>
                      <w:rFonts w:hint="eastAsia" w:asciiTheme="minorHAnsi" w:hAnsiTheme="minorHAnsi" w:eastAsiaTheme="minorEastAsia" w:cstheme="minorBidi"/>
                      <w:kern w:val="2"/>
                      <w:sz w:val="21"/>
                      <w:szCs w:val="21"/>
                      <w:lang w:val="en-US" w:eastAsia="zh-CN" w:bidi="ar-SA"/>
                    </w:rPr>
                    <w:t>，木屑袋装，定期出售；</w:t>
                  </w:r>
                </w:p>
                <w:p>
                  <w:pPr>
                    <w:pStyle w:val="5"/>
                    <w:adjustRightInd w:val="0"/>
                    <w:spacing w:before="0" w:after="0" w:line="240" w:lineRule="auto"/>
                    <w:ind w:firstLineChars="200"/>
                    <w:rPr>
                      <w:rFonts w:asciiTheme="minorHAnsi" w:hAnsiTheme="minorHAnsi" w:eastAsiaTheme="minorEastAsia" w:cstheme="minorBidi"/>
                      <w:kern w:val="2"/>
                      <w:sz w:val="21"/>
                      <w:szCs w:val="21"/>
                      <w:lang w:val="en-US" w:eastAsia="zh-CN" w:bidi="ar-SA"/>
                    </w:rPr>
                  </w:pPr>
                  <w:r>
                    <w:rPr>
                      <w:rFonts w:asciiTheme="minorHAnsi" w:hAnsiTheme="minorHAnsi" w:eastAsiaTheme="minorEastAsia" w:cstheme="minorBidi"/>
                      <w:kern w:val="2"/>
                      <w:sz w:val="21"/>
                      <w:szCs w:val="21"/>
                      <w:lang w:val="en-US" w:eastAsia="zh-CN" w:bidi="ar-SA"/>
                    </w:rPr>
                    <w:t>1个封闭式垃圾收集箱，用于收集生活垃圾。统一收集后运至</w:t>
                  </w:r>
                  <w:r>
                    <w:rPr>
                      <w:rFonts w:hint="eastAsia" w:asciiTheme="minorHAnsi" w:hAnsiTheme="minorHAnsi" w:eastAsiaTheme="minorEastAsia" w:cstheme="minorBidi"/>
                      <w:kern w:val="2"/>
                      <w:sz w:val="21"/>
                      <w:szCs w:val="21"/>
                      <w:lang w:val="en-US" w:eastAsia="zh-CN" w:bidi="ar-SA"/>
                    </w:rPr>
                    <w:t>老寨</w:t>
                  </w:r>
                  <w:r>
                    <w:rPr>
                      <w:rFonts w:asciiTheme="minorHAnsi" w:hAnsiTheme="minorHAnsi" w:eastAsiaTheme="minorEastAsia" w:cstheme="minorBidi"/>
                      <w:kern w:val="2"/>
                      <w:sz w:val="21"/>
                      <w:szCs w:val="21"/>
                      <w:lang w:val="en-US" w:eastAsia="zh-CN" w:bidi="ar-SA"/>
                    </w:rPr>
                    <w:t>村农村生活垃圾收集点处置</w:t>
                  </w:r>
                  <w:r>
                    <w:rPr>
                      <w:rFonts w:hint="eastAsia" w:asciiTheme="minorHAnsi" w:hAnsiTheme="minorHAnsi" w:eastAsiaTheme="minorEastAsia" w:cstheme="minorBidi"/>
                      <w:kern w:val="2"/>
                      <w:sz w:val="21"/>
                      <w:szCs w:val="21"/>
                      <w:lang w:val="en-US" w:eastAsia="zh-CN" w:bidi="ar-SA"/>
                    </w:rPr>
                    <w:t>；</w:t>
                  </w:r>
                </w:p>
                <w:p>
                  <w:pPr>
                    <w:adjustRightInd w:val="0"/>
                    <w:snapToGrid w:val="0"/>
                    <w:ind w:firstLine="420" w:firstLineChars="200"/>
                    <w:rPr>
                      <w:rFonts w:hint="eastAsia"/>
                    </w:rPr>
                  </w:pPr>
                  <w:r>
                    <w:rPr>
                      <w:rFonts w:asciiTheme="minorHAnsi" w:hAnsiTheme="minorHAnsi" w:eastAsiaTheme="minorEastAsia" w:cstheme="minorBidi"/>
                      <w:kern w:val="2"/>
                      <w:sz w:val="21"/>
                      <w:szCs w:val="21"/>
                      <w:lang w:val="en-US" w:eastAsia="zh-CN" w:bidi="ar-SA"/>
                    </w:rPr>
                    <w:t>危险物废物暂存</w:t>
                  </w:r>
                  <w:r>
                    <w:t>间1间，占地面积3m</w:t>
                  </w:r>
                  <w:r>
                    <w:rPr>
                      <w:vertAlign w:val="superscript"/>
                    </w:rPr>
                    <w:t>2</w:t>
                  </w:r>
                  <w:r>
                    <w:t>，委托有资质单位清运处置</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3" w:type="dxa"/>
                  <w:noWrap w:val="0"/>
                  <w:vAlign w:val="center"/>
                </w:tcPr>
                <w:p>
                  <w:pPr>
                    <w:jc w:val="center"/>
                    <w:rPr>
                      <w:b/>
                      <w:bCs/>
                      <w:szCs w:val="21"/>
                    </w:rPr>
                  </w:pPr>
                  <w:r>
                    <w:rPr>
                      <w:b/>
                      <w:bCs/>
                      <w:szCs w:val="21"/>
                    </w:rPr>
                    <w:t>土壤及地下水污染防治措施</w:t>
                  </w:r>
                </w:p>
              </w:tc>
              <w:tc>
                <w:tcPr>
                  <w:tcW w:w="7817" w:type="dxa"/>
                  <w:gridSpan w:val="4"/>
                  <w:noWrap w:val="0"/>
                  <w:vAlign w:val="center"/>
                </w:tcPr>
                <w:p>
                  <w:pPr>
                    <w:ind w:firstLine="420" w:firstLineChars="200"/>
                    <w:jc w:val="left"/>
                    <w:rPr>
                      <w:szCs w:val="21"/>
                    </w:rPr>
                  </w:pPr>
                  <w:r>
                    <w:rPr>
                      <w:szCs w:val="21"/>
                    </w:rPr>
                    <w:t>重点防渗区：危废暂存间</w:t>
                  </w:r>
                  <w:r>
                    <w:rPr>
                      <w:bCs/>
                      <w:szCs w:val="21"/>
                    </w:rPr>
                    <w:t>采用水泥+环氧树脂，渗透系数≤10</w:t>
                  </w:r>
                  <w:r>
                    <w:rPr>
                      <w:bCs/>
                      <w:szCs w:val="21"/>
                      <w:vertAlign w:val="superscript"/>
                    </w:rPr>
                    <w:t>-10</w:t>
                  </w:r>
                  <w:r>
                    <w:rPr>
                      <w:bCs/>
                      <w:szCs w:val="21"/>
                    </w:rPr>
                    <w:t>cm/s（保存影像资料）</w:t>
                  </w:r>
                  <w:r>
                    <w:rPr>
                      <w:szCs w:val="21"/>
                    </w:rPr>
                    <w:t>；</w:t>
                  </w:r>
                </w:p>
                <w:p>
                  <w:pPr>
                    <w:ind w:firstLine="420" w:firstLineChars="200"/>
                    <w:jc w:val="left"/>
                    <w:rPr>
                      <w:rFonts w:hint="eastAsia"/>
                      <w:szCs w:val="21"/>
                    </w:rPr>
                  </w:pPr>
                  <w:r>
                    <w:rPr>
                      <w:szCs w:val="21"/>
                    </w:rPr>
                    <w:t>简单防渗区：</w:t>
                  </w:r>
                  <w:r>
                    <w:rPr>
                      <w:rFonts w:hint="eastAsia"/>
                      <w:szCs w:val="21"/>
                    </w:rPr>
                    <w:t>生产</w:t>
                  </w:r>
                  <w:r>
                    <w:rPr>
                      <w:szCs w:val="21"/>
                    </w:rPr>
                    <w:t>车间</w:t>
                  </w:r>
                  <w:r>
                    <w:rPr>
                      <w:rFonts w:hint="eastAsia"/>
                      <w:szCs w:val="21"/>
                    </w:rPr>
                    <w:t>及其他区域</w:t>
                  </w:r>
                  <w:r>
                    <w:rPr>
                      <w:szCs w:val="21"/>
                    </w:rPr>
                    <w:t>等</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3" w:type="dxa"/>
                  <w:noWrap w:val="0"/>
                  <w:vAlign w:val="center"/>
                </w:tcPr>
                <w:p>
                  <w:pPr>
                    <w:jc w:val="center"/>
                    <w:rPr>
                      <w:b/>
                      <w:bCs/>
                      <w:szCs w:val="21"/>
                    </w:rPr>
                  </w:pPr>
                  <w:r>
                    <w:rPr>
                      <w:b/>
                      <w:bCs/>
                      <w:szCs w:val="21"/>
                    </w:rPr>
                    <w:t>生态保护措施</w:t>
                  </w:r>
                </w:p>
              </w:tc>
              <w:tc>
                <w:tcPr>
                  <w:tcW w:w="7817"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983"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817" w:type="dxa"/>
                  <w:gridSpan w:val="4"/>
                  <w:noWrap w:val="0"/>
                  <w:vAlign w:val="center"/>
                </w:tcPr>
                <w:p>
                  <w:pPr>
                    <w:ind w:firstLine="420" w:firstLineChars="200"/>
                    <w:jc w:val="left"/>
                    <w:rPr>
                      <w:rFonts w:hint="eastAsia"/>
                      <w:szCs w:val="21"/>
                    </w:rPr>
                  </w:pPr>
                  <w:r>
                    <w:rPr>
                      <w:rFonts w:hint="eastAsia"/>
                      <w:szCs w:val="21"/>
                    </w:rPr>
                    <w:t>①机油及维修产生的废机油需有专门的房间储存，全部进行防渗、防漏处理，存放区严禁烟火，电器与设备采用防爆设备。</w:t>
                  </w:r>
                </w:p>
                <w:p>
                  <w:pPr>
                    <w:ind w:firstLine="420" w:firstLineChars="200"/>
                    <w:jc w:val="left"/>
                    <w:rPr>
                      <w:rFonts w:hint="eastAsia"/>
                      <w:szCs w:val="21"/>
                    </w:rPr>
                  </w:pPr>
                  <w:r>
                    <w:rPr>
                      <w:rFonts w:hint="eastAsia"/>
                      <w:szCs w:val="21"/>
                    </w:rPr>
                    <w:t>②针对项目原料、废物，项目采取分区防渗的处理措施进行控制，以此减少项目泄漏对地下水、土壤的影响。</w:t>
                  </w:r>
                </w:p>
                <w:p>
                  <w:pPr>
                    <w:ind w:firstLine="420" w:firstLineChars="200"/>
                    <w:jc w:val="left"/>
                    <w:rPr>
                      <w:rFonts w:hint="eastAsia"/>
                      <w:szCs w:val="21"/>
                    </w:rPr>
                  </w:pPr>
                  <w:r>
                    <w:rPr>
                      <w:rFonts w:hint="eastAsia"/>
                      <w:szCs w:val="21"/>
                    </w:rPr>
                    <w:t>③应急处理：迅速撤离火灾污染区人员至上风处，并立即进行隔离，若发生爆炸事故，撤离距离需加长，并严格限制出入。</w:t>
                  </w:r>
                </w:p>
                <w:p>
                  <w:pPr>
                    <w:ind w:firstLine="420" w:firstLineChars="200"/>
                    <w:jc w:val="left"/>
                    <w:rPr>
                      <w:rFonts w:hint="eastAsia"/>
                      <w:szCs w:val="21"/>
                    </w:rPr>
                  </w:pPr>
                  <w:r>
                    <w:rPr>
                      <w:rFonts w:hint="eastAsia"/>
                      <w:szCs w:val="21"/>
                    </w:rPr>
                    <w:t>④制定操作管理规程，并对相关人员进行培训，配备相关措施。</w:t>
                  </w:r>
                </w:p>
                <w:p>
                  <w:pPr>
                    <w:ind w:firstLine="420" w:firstLineChars="200"/>
                    <w:jc w:val="left"/>
                    <w:rPr>
                      <w:szCs w:val="21"/>
                    </w:rPr>
                  </w:pPr>
                  <w:r>
                    <w:rPr>
                      <w:rFonts w:hint="eastAsia"/>
                      <w:szCs w:val="21"/>
                    </w:rPr>
                    <w:t>⑤严格规范员工操作，做好防护措施，加强职工的安全教育，提高安全素质，严格执行作业规程，严禁无证上岗，严禁违章作业，防止因失误操作造成环境风险事故的发生；</w:t>
                  </w:r>
                </w:p>
                <w:p>
                  <w:pPr>
                    <w:ind w:firstLine="420" w:firstLineChars="200"/>
                    <w:jc w:val="left"/>
                    <w:rPr>
                      <w:rFonts w:hint="eastAsia"/>
                      <w:szCs w:val="21"/>
                    </w:rPr>
                  </w:pPr>
                  <w:r>
                    <w:rPr>
                      <w:rFonts w:hint="eastAsia"/>
                      <w:szCs w:val="21"/>
                    </w:rPr>
                    <w:t>⑥为保证企业及人民生命财产的安全，防止突发性环境事故发生，并在发生事故时，能迅速有序地开展救援工作，尽最大努力减少事故的危害和损失，项目应编制相关的应急预案</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983"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817"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pStyle w:val="12"/>
                    <w:ind w:firstLine="0" w:firstLineChars="0"/>
                    <w:rPr>
                      <w:rFonts w:hint="eastAsia"/>
                    </w:rPr>
                  </w:pPr>
                  <w:r>
                    <w:rPr>
                      <w:rFonts w:hint="eastAsia"/>
                      <w:bCs/>
                      <w:szCs w:val="21"/>
                    </w:rPr>
                    <w:t>参照《建设项目环境影响报告表编制技术指南（污染影响类）（试行》要求，补充大气特征污染物、噪声的环境现状监测。</w:t>
                  </w:r>
                  <w:r>
                    <w:rPr>
                      <w:szCs w:val="21"/>
                    </w:rPr>
                    <w:t>根据该项目的污染特征以及本报告</w:t>
                  </w:r>
                </w:p>
              </w:tc>
            </w:tr>
          </w:tbl>
          <w:p>
            <w:pPr>
              <w:numPr>
                <w:ilvl w:val="0"/>
                <w:numId w:val="0"/>
              </w:numPr>
              <w:adjustRightInd w:val="0"/>
              <w:snapToGrid w:val="0"/>
              <w:ind w:firstLine="420" w:firstLineChars="200"/>
              <w:rPr>
                <w:rFonts w:hint="default" w:ascii="Times New Roman" w:hAnsi="Times New Roman" w:eastAsia="宋体" w:cs="宋体"/>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3D13B63"/>
    <w:rsid w:val="08666437"/>
    <w:rsid w:val="0D75484E"/>
    <w:rsid w:val="0E5863A6"/>
    <w:rsid w:val="10E10AA7"/>
    <w:rsid w:val="11484B39"/>
    <w:rsid w:val="176F7B69"/>
    <w:rsid w:val="1C800DED"/>
    <w:rsid w:val="1D827358"/>
    <w:rsid w:val="1DE51BD3"/>
    <w:rsid w:val="1EC40E63"/>
    <w:rsid w:val="20C62AB1"/>
    <w:rsid w:val="21E66817"/>
    <w:rsid w:val="27783043"/>
    <w:rsid w:val="2C920AEE"/>
    <w:rsid w:val="2F360CFB"/>
    <w:rsid w:val="2F4740AB"/>
    <w:rsid w:val="30E70C73"/>
    <w:rsid w:val="326C0058"/>
    <w:rsid w:val="346C3E79"/>
    <w:rsid w:val="34DB165D"/>
    <w:rsid w:val="36076C9A"/>
    <w:rsid w:val="3B834A7C"/>
    <w:rsid w:val="3BB93FFE"/>
    <w:rsid w:val="3D6C66C8"/>
    <w:rsid w:val="3D81346E"/>
    <w:rsid w:val="43B23412"/>
    <w:rsid w:val="472B1A05"/>
    <w:rsid w:val="48873DB8"/>
    <w:rsid w:val="49EB3C36"/>
    <w:rsid w:val="4FE171BC"/>
    <w:rsid w:val="533073F3"/>
    <w:rsid w:val="57163F93"/>
    <w:rsid w:val="59B35B52"/>
    <w:rsid w:val="59EC129F"/>
    <w:rsid w:val="5BDB227B"/>
    <w:rsid w:val="5C061416"/>
    <w:rsid w:val="647D50D7"/>
    <w:rsid w:val="672E7FAC"/>
    <w:rsid w:val="683B1B4D"/>
    <w:rsid w:val="6ABF7E9B"/>
    <w:rsid w:val="6C5A2033"/>
    <w:rsid w:val="6F64016F"/>
    <w:rsid w:val="71482403"/>
    <w:rsid w:val="71C8684B"/>
    <w:rsid w:val="72197B59"/>
    <w:rsid w:val="751B0909"/>
    <w:rsid w:val="76FE1467"/>
    <w:rsid w:val="789D3247"/>
    <w:rsid w:val="7B4D0851"/>
    <w:rsid w:val="7D10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标准正文"/>
    <w:basedOn w:val="1"/>
    <w:qFormat/>
    <w:uiPriority w:val="0"/>
    <w:pPr>
      <w:spacing w:line="360" w:lineRule="auto"/>
      <w:ind w:firstLine="480" w:firstLineChars="200"/>
    </w:pPr>
    <w:rPr>
      <w:rFonts w:ascii="Times New Roman"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2021-07-09T07:11:24Z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40900520BAF2433BA46D37F9709C0DED</vt:lpwstr>
  </property>
</Properties>
</file>