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shd w:val="clear" w:color="auto" w:fill="FFFFFF"/>
          <w:lang w:eastAsia="zh-CN"/>
        </w:rPr>
      </w:pPr>
      <w:bookmarkStart w:id="0" w:name="_GoBack"/>
      <w:bookmarkEnd w:id="0"/>
      <w:r>
        <w:rPr>
          <w:rFonts w:hint="eastAsia" w:ascii="Times New Roman" w:hAnsi="Times New Roman" w:eastAsia="方正小标宋_GBK" w:cs="Times New Roman"/>
          <w:spacing w:val="-20"/>
          <w:sz w:val="44"/>
          <w:szCs w:val="44"/>
          <w:lang w:eastAsia="zh-CN"/>
        </w:rPr>
        <w:t>西畴县兴街镇小寨冲采石场建设项目环境影响评价</w:t>
      </w:r>
      <w:r>
        <w:rPr>
          <w:rFonts w:hint="eastAsia" w:eastAsia="方正小标宋_GBK" w:cs="Times New Roman"/>
          <w:spacing w:val="-20"/>
          <w:sz w:val="44"/>
          <w:szCs w:val="44"/>
          <w:lang w:eastAsia="zh-CN"/>
        </w:rPr>
        <w:t>拟审批公示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shd w:val="clear" w:color="auto" w:fill="FFFFFF"/>
          <w:lang w:eastAsia="zh-CN"/>
        </w:rPr>
      </w:pPr>
      <w:r>
        <w:rPr>
          <w:rFonts w:hint="eastAsia" w:ascii="仿宋" w:hAnsi="仿宋" w:eastAsia="仿宋" w:cs="方正仿宋简体"/>
          <w:color w:val="000000"/>
          <w:sz w:val="32"/>
          <w:szCs w:val="32"/>
          <w:shd w:val="clear" w:color="auto" w:fill="FFFFFF"/>
          <w:lang w:eastAsia="zh-CN"/>
        </w:rPr>
        <w:t>我局拟对《西畴县兴街镇小寨冲采石场建设项目环</w:t>
      </w:r>
      <w:r>
        <w:rPr>
          <w:rFonts w:hint="default" w:ascii="仿宋" w:hAnsi="仿宋" w:eastAsia="仿宋" w:cs="方正仿宋简体"/>
          <w:color w:val="000000"/>
          <w:sz w:val="32"/>
          <w:szCs w:val="32"/>
          <w:shd w:val="clear" w:color="auto" w:fill="FFFFFF"/>
          <w:lang w:eastAsia="zh-CN"/>
        </w:rPr>
        <w:t>境影响</w:t>
      </w:r>
      <w:r>
        <w:rPr>
          <w:rFonts w:hint="eastAsia" w:ascii="仿宋" w:hAnsi="仿宋" w:eastAsia="仿宋" w:cs="方正仿宋简体"/>
          <w:color w:val="000000"/>
          <w:sz w:val="32"/>
          <w:szCs w:val="32"/>
          <w:shd w:val="clear" w:color="auto" w:fill="FFFFFF"/>
          <w:lang w:eastAsia="zh-CN"/>
        </w:rPr>
        <w:t>报告表》进行审批，现就项目环评相关情况予以公示。如有意见</w:t>
      </w:r>
      <w:r>
        <w:rPr>
          <w:rFonts w:hint="default" w:ascii="Times New Roman" w:hAnsi="Times New Roman" w:eastAsia="仿宋" w:cs="Times New Roman"/>
          <w:color w:val="000000"/>
          <w:sz w:val="32"/>
          <w:szCs w:val="32"/>
          <w:shd w:val="clear" w:color="auto" w:fill="FFFFFF"/>
          <w:lang w:eastAsia="zh-CN"/>
        </w:rPr>
        <w:t>，请在公示期内向我局来信来电进行反映。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公示期：202</w:t>
      </w:r>
      <w:r>
        <w:rPr>
          <w:rFonts w:hint="eastAsia" w:ascii="Times New Roman" w:hAnsi="Times New Roman" w:eastAsia="仿宋" w:cs="Times New Roman"/>
          <w:color w:val="000000"/>
          <w:sz w:val="32"/>
          <w:szCs w:val="32"/>
          <w:shd w:val="clear" w:color="auto" w:fill="FFFFFF"/>
          <w:lang w:val="en-US" w:eastAsia="zh-CN"/>
        </w:rPr>
        <w:t>1</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6</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25</w:t>
      </w:r>
      <w:r>
        <w:rPr>
          <w:rFonts w:hint="default" w:ascii="Times New Roman" w:hAnsi="Times New Roman" w:eastAsia="仿宋" w:cs="Times New Roman"/>
          <w:color w:val="000000"/>
          <w:sz w:val="32"/>
          <w:szCs w:val="32"/>
          <w:shd w:val="clear" w:color="auto" w:fill="FFFFFF"/>
          <w:lang w:eastAsia="zh-CN"/>
        </w:rPr>
        <w:t>日至20</w:t>
      </w:r>
      <w:r>
        <w:rPr>
          <w:rFonts w:hint="eastAsia" w:ascii="Times New Roman" w:hAnsi="Times New Roman" w:eastAsia="仿宋" w:cs="Times New Roman"/>
          <w:color w:val="000000"/>
          <w:sz w:val="32"/>
          <w:szCs w:val="32"/>
          <w:shd w:val="clear" w:color="auto" w:fill="FFFFFF"/>
          <w:lang w:val="en-US" w:eastAsia="zh-CN"/>
        </w:rPr>
        <w:t>21</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7</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1</w:t>
      </w:r>
      <w:r>
        <w:rPr>
          <w:rFonts w:hint="default" w:ascii="Times New Roman" w:hAnsi="Times New Roman" w:eastAsia="仿宋" w:cs="Times New Roman"/>
          <w:color w:val="000000"/>
          <w:sz w:val="32"/>
          <w:szCs w:val="32"/>
          <w:shd w:val="clear" w:color="auto" w:fill="FFFFFF"/>
          <w:lang w:eastAsia="zh-CN"/>
        </w:rPr>
        <w:t>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联系电话：0876-3032248</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21</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6</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25</w:t>
      </w:r>
      <w:r>
        <w:rPr>
          <w:rFonts w:hint="default" w:ascii="Times New Roman" w:hAnsi="Times New Roman" w:eastAsia="方正仿宋_GBK" w:cs="Times New Roman"/>
          <w:bCs/>
          <w:sz w:val="32"/>
          <w:szCs w:val="32"/>
        </w:rPr>
        <w:t>日</w:t>
      </w:r>
      <w:r>
        <w:rPr>
          <w:rFonts w:hint="eastAsia" w:ascii="Times New Roman" w:hAnsi="Times New Roman" w:eastAsia="方正仿宋_GBK" w:cs="Times New Roman"/>
          <w:bCs/>
          <w:sz w:val="32"/>
          <w:szCs w:val="32"/>
          <w:lang w:val="en-US" w:eastAsia="zh-CN"/>
        </w:rPr>
        <w:t xml:space="preserve">   </w:t>
      </w:r>
    </w:p>
    <w:p>
      <w:pPr>
        <w:rPr>
          <w:rFonts w:hint="eastAsia"/>
        </w:rPr>
      </w:pPr>
    </w:p>
    <w:p>
      <w:pP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br w:type="page"/>
      </w: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356"/>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824" w:hRule="atLeast"/>
        </w:trPr>
        <w:tc>
          <w:tcPr>
            <w:tcW w:w="1356"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b/>
                <w:bCs/>
                <w:color w:val="000000"/>
                <w:sz w:val="24"/>
                <w:szCs w:val="24"/>
                <w:shd w:val="clear" w:color="auto" w:fill="FFFFFF"/>
                <w:lang w:eastAsia="zh-CN"/>
              </w:rPr>
            </w:pPr>
            <w:r>
              <w:rPr>
                <w:rFonts w:hint="eastAsia" w:ascii="Times New Roman" w:hAnsi="Times New Roman" w:eastAsia="方正仿宋_GBK" w:cs="Times New Roman"/>
                <w:color w:val="000000"/>
                <w:sz w:val="24"/>
                <w:szCs w:val="24"/>
                <w:shd w:val="clear" w:color="auto" w:fill="FFFFFF"/>
                <w:lang w:val="en-US" w:eastAsia="zh-CN"/>
              </w:rPr>
              <w:t>云南省文山州西畴县兴街镇小寨冲采石场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899" w:hRule="atLeast"/>
        </w:trPr>
        <w:tc>
          <w:tcPr>
            <w:tcW w:w="1356"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eastAsia" w:ascii="Times New Roman" w:hAnsi="Times New Roman" w:eastAsia="方正仿宋_GBK" w:cs="Times New Roman"/>
                <w:color w:val="000000"/>
                <w:sz w:val="24"/>
                <w:szCs w:val="24"/>
                <w:shd w:val="clear" w:color="auto" w:fill="FFFFFF"/>
                <w:lang w:val="en-US" w:eastAsia="zh-CN"/>
              </w:rPr>
              <w:t>西畴县兴街镇小寨冲采石场建设项目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463"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沣达环境科技（昆明）有限公司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865"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8923" w:type="dxa"/>
            <w:shd w:val="clear" w:color="auto" w:fill="FFFFFF"/>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矿区位于西畴县城205°方向，直距约25公里，行政区划隶属于西畴县兴街镇境内。地理极值坐标（国家2000大地坐标系）：东经104°34′02″—104°34′23″，北纬23°13′49″—23°14′07″；矿区至兴街镇2公里，为6m宽的水泥路与S210省道相连，至文山（州、市政府驻地）公路里程56公里，至西畴县城32公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textAlignment w:val="auto"/>
              <w:rPr>
                <w:rFonts w:hint="default"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kern w:val="2"/>
                <w:sz w:val="24"/>
                <w:szCs w:val="24"/>
                <w:lang w:val="en-US" w:eastAsia="zh-CN" w:bidi="ar-SA"/>
              </w:rPr>
              <w:t>本次矿山扩大采矿区面积为141700m2，开采标高由1520m至1260m，采矿权范围内核实保有资源储量122b类矿石量737.70万m3（1851.63万t）。因矿区资源储量较大，根据矿区实际，设计采用分期方式对矿体进行开采，本次评价仅对第一期开采范围进行评价。第一期估算设计利用资源储量为122b类矿石量179.46万m3（450.45万t）。采矿方法：自上而下台阶式分层剥离；开拓运输方案：公路—汽车运输开拓；产品方案：块石（Ф340mm以上）、公分石（Ф5—30mm）、石粉（Ф5mm以下）。第一期预可采资源储量122b类矿石量175.87万m3（441.44万t），开采规模30万t/a，生产服务年限为14.7年。</w:t>
            </w:r>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default"/>
                <w:lang w:val="en-US" w:eastAsia="zh-CN"/>
              </w:rPr>
            </w:pPr>
            <w:r>
              <w:rPr>
                <w:rFonts w:hint="eastAsia" w:ascii="方正仿宋_GBK" w:hAnsi="方正仿宋_GBK" w:eastAsia="方正仿宋_GBK" w:cs="方正仿宋_GBK"/>
                <w:sz w:val="24"/>
                <w:lang w:val="en-US" w:eastAsia="zh-CN"/>
              </w:rPr>
              <w:t>项目扩建完成后，矿区面积由原</w:t>
            </w:r>
            <w:r>
              <w:rPr>
                <w:rFonts w:hint="eastAsia" w:ascii="方正仿宋_GBK" w:hAnsi="方正仿宋_GBK" w:eastAsia="方正仿宋_GBK" w:cs="方正仿宋_GBK"/>
                <w:sz w:val="24"/>
                <w:lang w:eastAsia="zh-CN"/>
              </w:rPr>
              <w:t>0.0234</w:t>
            </w:r>
            <w:r>
              <w:rPr>
                <w:rFonts w:hint="eastAsia" w:ascii="方正仿宋_GBK" w:hAnsi="方正仿宋_GBK" w:eastAsia="方正仿宋_GBK" w:cs="方正仿宋_GBK"/>
                <w:sz w:val="24"/>
                <w:lang w:val="en-US" w:eastAsia="zh-CN"/>
              </w:rPr>
              <w:t>平方公里变更为0.1651平方公里，工业场地位于矿山东北部，主要为办公生活区、破碎站、原料堆场、成品堆场和矿山辅助设施，均为已建场地。新矿区东北侧为已形成的采空区，采空区面积为36338m2。项目现有工业场地可满足矿石破碎加工需求及办公生活，为避免重复建设，本矿山仅规划设置临时表土堆场、新增机械设备，以满足生产要求。</w:t>
            </w:r>
            <w:r>
              <w:rPr>
                <w:rFonts w:hint="eastAsia" w:ascii="方正仿宋_GBK" w:hAnsi="方正仿宋_GBK" w:eastAsia="方正仿宋_GBK" w:cs="方正仿宋_GBK"/>
                <w:sz w:val="24"/>
                <w:lang w:eastAsia="zh-CN"/>
              </w:rPr>
              <w:t>项目建设由主体工程、辅助工程、公用工程和环保工程组成。项目总投资</w:t>
            </w:r>
            <w:r>
              <w:rPr>
                <w:rFonts w:hint="eastAsia" w:ascii="方正仿宋_GBK" w:hAnsi="方正仿宋_GBK" w:eastAsia="方正仿宋_GBK" w:cs="方正仿宋_GBK"/>
                <w:sz w:val="24"/>
                <w:lang w:val="en-US" w:eastAsia="zh-CN"/>
              </w:rPr>
              <w:t>3000万元，环保投资93.5万元，占总投资的3.1</w:t>
            </w:r>
            <w:r>
              <w:rPr>
                <w:rFonts w:hint="eastAsia" w:ascii="宋体" w:hAnsi="宋体" w:eastAsia="宋体" w:cs="宋体"/>
                <w:sz w:val="24"/>
                <w:lang w:val="en-US" w:eastAsia="zh-CN"/>
              </w:rPr>
              <w:t>％。</w:t>
            </w:r>
            <w:r>
              <w:rPr>
                <w:rFonts w:hint="eastAsia" w:ascii="方正仿宋_GBK" w:hAnsi="方正仿宋_GBK" w:eastAsia="方正仿宋_GBK" w:cs="方正仿宋_GBK"/>
                <w:kern w:val="2"/>
                <w:sz w:val="24"/>
                <w:szCs w:val="24"/>
                <w:lang w:val="en-US" w:eastAsia="zh-CN" w:bidi="ar-SA"/>
              </w:rPr>
              <w:t>施工期为2个月。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3513"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360" w:lineRule="auto"/>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8923" w:type="dxa"/>
            <w:shd w:val="clear" w:color="auto" w:fill="FFFFFF"/>
            <w:tcMar>
              <w:top w:w="0" w:type="dxa"/>
              <w:left w:w="108" w:type="dxa"/>
              <w:bottom w:w="0" w:type="dxa"/>
              <w:right w:w="108" w:type="dxa"/>
            </w:tcMar>
          </w:tcPr>
          <w:tbl>
            <w:tblPr>
              <w:tblStyle w:val="10"/>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10"/>
              <w:gridCol w:w="933"/>
              <w:gridCol w:w="629"/>
              <w:gridCol w:w="629"/>
              <w:gridCol w:w="3264"/>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496" w:type="dxa"/>
                  <w:tcBorders>
                    <w:tl2br w:val="single" w:color="auto" w:sz="6" w:space="0"/>
                  </w:tcBorders>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内容          类型</w:t>
                  </w:r>
                </w:p>
              </w:tc>
              <w:tc>
                <w:tcPr>
                  <w:tcW w:w="1743" w:type="dxa"/>
                  <w:gridSpan w:val="2"/>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排放源</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污染物名称</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防治措施</w:t>
                  </w:r>
                </w:p>
              </w:tc>
              <w:tc>
                <w:tcPr>
                  <w:tcW w:w="1876" w:type="dxa"/>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预期治</w:t>
                  </w:r>
                </w:p>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49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大</w:t>
                  </w:r>
                </w:p>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气</w:t>
                  </w:r>
                </w:p>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w:t>
                  </w:r>
                </w:p>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染</w:t>
                  </w:r>
                </w:p>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物</w:t>
                  </w:r>
                </w:p>
              </w:tc>
              <w:tc>
                <w:tcPr>
                  <w:tcW w:w="810"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施工期</w:t>
                  </w: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场地清理</w:t>
                  </w:r>
                  <w:r>
                    <w:rPr>
                      <w:rFonts w:hint="eastAsia" w:asciiTheme="minorEastAsia" w:hAnsiTheme="minorEastAsia" w:cstheme="minorEastAsia"/>
                      <w:sz w:val="21"/>
                      <w:szCs w:val="21"/>
                      <w:highlight w:val="none"/>
                      <w:lang w:val="en-US" w:eastAsia="zh-CN"/>
                    </w:rPr>
                    <w:t>建设</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cstheme="minorEastAsia"/>
                      <w:sz w:val="21"/>
                      <w:szCs w:val="21"/>
                      <w:highlight w:val="none"/>
                      <w:lang w:val="en-US" w:eastAsia="zh-CN"/>
                    </w:rPr>
                    <w:t>公路修筑</w:t>
                  </w:r>
                  <w:r>
                    <w:rPr>
                      <w:rFonts w:hint="eastAsia" w:asciiTheme="minorEastAsia" w:hAnsiTheme="minorEastAsia" w:eastAsiaTheme="minorEastAsia" w:cstheme="minorEastAsia"/>
                      <w:sz w:val="21"/>
                      <w:szCs w:val="21"/>
                      <w:highlight w:val="none"/>
                      <w:lang w:val="en-US" w:eastAsia="zh-CN"/>
                    </w:rPr>
                    <w:t>、设备搬运安装等</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施工扬尘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①严格管理，文明施工；②施工场地实时洒水抑尘，大风天气增加洒水次数；③散料密闭运输，土石方和散料堆放场、裸露地面进行临时覆盖；④规范车辆装载方式，杜绝沿路洒漏现象；⑤合理安排施工期，避开大风天，完工后及时清场，加强管理。</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对环境影响较小</w:t>
                  </w:r>
                </w:p>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运营期</w:t>
                  </w:r>
                </w:p>
              </w:tc>
              <w:tc>
                <w:tcPr>
                  <w:tcW w:w="933"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施工作业</w:t>
                  </w:r>
                </w:p>
              </w:tc>
              <w:tc>
                <w:tcPr>
                  <w:tcW w:w="629"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工业场地粉尘</w:t>
                  </w: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原料堆场</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建棚堆存，设置2套洒水喷淋设施</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629"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破碎及拆分</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破碎车间为密闭厂房，进行有组织收尘处置，粗碎及筛分和细碎及筛分分别设置1套布袋除尘器，经布袋除尘器处理后的废气由引风机引至1根15m高排气筒排放。</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629"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皮带运输</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运输皮带落料口设置溜槽、洒水降尘、输送带进行封闭覆盖</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运输扬尘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洒水车；限速行驶；汽车加盖篷布，运输道路水泥硬化</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采区粉尘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采矿区、运输道路等配置1台洒水车进行洒水抑尘；湿法作业</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58" w:type="dxa"/>
                  <w:gridSpan w:val="2"/>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堆场装卸扬尘</w:t>
                  </w:r>
                </w:p>
              </w:tc>
              <w:tc>
                <w:tcPr>
                  <w:tcW w:w="3264" w:type="dxa"/>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细砂建棚堆存，设置4套喷雾降尘设施，装卸过程开启自动喷雾装置</w:t>
                  </w:r>
                </w:p>
              </w:tc>
              <w:tc>
                <w:tcPr>
                  <w:tcW w:w="1876" w:type="dxa"/>
                  <w:noWrap w:val="0"/>
                  <w:vAlign w:val="center"/>
                </w:tcPr>
                <w:p>
                  <w:pPr>
                    <w:numPr>
                      <w:ilvl w:val="0"/>
                      <w:numId w:val="0"/>
                    </w:numPr>
                    <w:adjustRightInd w:val="0"/>
                    <w:snapToGrid w:val="0"/>
                    <w:ind w:left="0" w:leftChars="0" w:firstLine="0" w:firstLineChars="0"/>
                    <w:jc w:val="both"/>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96" w:type="dxa"/>
                  <w:vMerge w:val="continue"/>
                  <w:noWrap w:val="0"/>
                  <w:vAlign w:val="center"/>
                </w:tcPr>
                <w:p>
                  <w:pPr>
                    <w:adjustRightInd w:val="0"/>
                    <w:snapToGrid w:val="0"/>
                  </w:pPr>
                </w:p>
              </w:tc>
              <w:tc>
                <w:tcPr>
                  <w:tcW w:w="810" w:type="dxa"/>
                  <w:vMerge w:val="continue"/>
                  <w:noWrap w:val="0"/>
                  <w:vAlign w:val="center"/>
                </w:tcPr>
                <w:p>
                  <w:pPr>
                    <w:adjustRightInd w:val="0"/>
                    <w:snapToGrid w:val="0"/>
                    <w:rPr>
                      <w:highlight w:val="none"/>
                    </w:rPr>
                  </w:pPr>
                </w:p>
              </w:tc>
              <w:tc>
                <w:tcPr>
                  <w:tcW w:w="933" w:type="dxa"/>
                  <w:vMerge w:val="continue"/>
                  <w:noWrap w:val="0"/>
                  <w:vAlign w:val="center"/>
                </w:tcPr>
                <w:p>
                  <w:pPr>
                    <w:adjustRightInd w:val="0"/>
                    <w:snapToGrid w:val="0"/>
                    <w:rPr>
                      <w:highlight w:val="none"/>
                    </w:rPr>
                  </w:pPr>
                </w:p>
              </w:tc>
              <w:tc>
                <w:tcPr>
                  <w:tcW w:w="1258" w:type="dxa"/>
                  <w:gridSpan w:val="2"/>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cstheme="minorEastAsia"/>
                      <w:sz w:val="21"/>
                      <w:szCs w:val="21"/>
                      <w:highlight w:val="none"/>
                      <w:lang w:val="en-US" w:eastAsia="zh-CN"/>
                    </w:rPr>
                    <w:t>临时表土</w:t>
                  </w:r>
                  <w:r>
                    <w:rPr>
                      <w:rFonts w:hint="eastAsia" w:asciiTheme="minorEastAsia" w:hAnsiTheme="minorEastAsia" w:eastAsiaTheme="minorEastAsia" w:cstheme="minorEastAsia"/>
                      <w:sz w:val="21"/>
                      <w:szCs w:val="21"/>
                      <w:highlight w:val="none"/>
                      <w:lang w:val="en-US" w:eastAsia="zh-CN"/>
                    </w:rPr>
                    <w:t>堆场</w:t>
                  </w:r>
                  <w:r>
                    <w:rPr>
                      <w:rFonts w:hint="eastAsia" w:asciiTheme="minorEastAsia" w:hAnsiTheme="minorEastAsia" w:cstheme="minorEastAsia"/>
                      <w:sz w:val="21"/>
                      <w:szCs w:val="21"/>
                      <w:highlight w:val="none"/>
                      <w:lang w:val="en-US" w:eastAsia="zh-CN"/>
                    </w:rPr>
                    <w:t>粉尘</w:t>
                  </w:r>
                </w:p>
              </w:tc>
              <w:tc>
                <w:tcPr>
                  <w:tcW w:w="3264" w:type="dxa"/>
                  <w:noWrap w:val="0"/>
                  <w:vAlign w:val="center"/>
                </w:tcPr>
                <w:p>
                  <w:pPr>
                    <w:adjustRightInd w:val="0"/>
                    <w:snapToGrid w:val="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cstheme="minorEastAsia"/>
                      <w:sz w:val="21"/>
                      <w:szCs w:val="21"/>
                      <w:highlight w:val="none"/>
                      <w:lang w:val="en-US" w:eastAsia="zh-CN"/>
                    </w:rPr>
                    <w:t>毡布覆盖，设置喷雾洒水措施。</w:t>
                  </w:r>
                </w:p>
              </w:tc>
              <w:tc>
                <w:tcPr>
                  <w:tcW w:w="1876" w:type="dxa"/>
                  <w:noWrap w:val="0"/>
                  <w:vAlign w:val="center"/>
                </w:tcPr>
                <w:p>
                  <w:pPr>
                    <w:numPr>
                      <w:ilvl w:val="0"/>
                      <w:numId w:val="0"/>
                    </w:numPr>
                    <w:adjustRightInd w:val="0"/>
                    <w:snapToGrid w:val="0"/>
                    <w:ind w:left="0" w:leftChars="0" w:firstLine="0" w:firstLineChars="0"/>
                    <w:jc w:val="both"/>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49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水</w:t>
                  </w:r>
                </w:p>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w:t>
                  </w:r>
                </w:p>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染</w:t>
                  </w:r>
                </w:p>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物</w:t>
                  </w:r>
                </w:p>
              </w:tc>
              <w:tc>
                <w:tcPr>
                  <w:tcW w:w="810"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施工期</w:t>
                  </w: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施工废水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SS、水泥等</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设置初期雨水收集池池，施工废水沉淀后用于施工场地洒水降尘等，不外排</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生活污水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COD、SS、氨氮</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粪便等生活污水排入粪池处理，定期清掏用作周边旱地农肥，废水不外排</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运营期</w:t>
                  </w: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生活污水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COD、BOD5、氨氮、SS、TP、粪大肠菌群</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粪便等生活污水排入粪池处理，定期清掏用作周边旱地农肥，废水不外排</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场地废水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初期雨水</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经初期雨水收集池收集沉淀</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49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噪</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声</w:t>
                  </w:r>
                </w:p>
              </w:tc>
              <w:tc>
                <w:tcPr>
                  <w:tcW w:w="810"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施工期</w:t>
                  </w:r>
                </w:p>
              </w:tc>
              <w:tc>
                <w:tcPr>
                  <w:tcW w:w="933" w:type="dxa"/>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机械噪声</w:t>
                  </w:r>
                </w:p>
              </w:tc>
              <w:tc>
                <w:tcPr>
                  <w:tcW w:w="1258" w:type="dxa"/>
                  <w:gridSpan w:val="2"/>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破碎机、潜孔钻机等</w:t>
                  </w:r>
                </w:p>
              </w:tc>
              <w:tc>
                <w:tcPr>
                  <w:tcW w:w="3264"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①</w:t>
                  </w:r>
                  <w:r>
                    <w:rPr>
                      <w:rFonts w:hint="eastAsia" w:asciiTheme="minorEastAsia" w:hAnsiTheme="minorEastAsia" w:eastAsiaTheme="minorEastAsia" w:cstheme="minorEastAsia"/>
                      <w:sz w:val="21"/>
                      <w:szCs w:val="21"/>
                      <w:highlight w:val="none"/>
                      <w:lang w:val="en-US" w:eastAsia="zh-CN"/>
                    </w:rPr>
                    <w:t>施工区内禁止鸣笛，减小交通噪声对周围环境的影响；</w:t>
                  </w:r>
                  <w:r>
                    <w:rPr>
                      <w:rFonts w:hint="eastAsia" w:asciiTheme="minorEastAsia" w:hAnsiTheme="minorEastAsia" w:cstheme="minorEastAsia"/>
                      <w:sz w:val="21"/>
                      <w:szCs w:val="21"/>
                      <w:highlight w:val="none"/>
                      <w:lang w:val="en-US" w:eastAsia="zh-CN"/>
                    </w:rPr>
                    <w:t>②</w:t>
                  </w:r>
                  <w:r>
                    <w:rPr>
                      <w:rFonts w:hint="eastAsia" w:asciiTheme="minorEastAsia" w:hAnsiTheme="minorEastAsia" w:eastAsiaTheme="minorEastAsia" w:cstheme="minorEastAsia"/>
                      <w:sz w:val="21"/>
                      <w:szCs w:val="21"/>
                      <w:highlight w:val="none"/>
                      <w:lang w:val="en-US" w:eastAsia="zh-CN"/>
                    </w:rPr>
                    <w:t>合理布局施工设备避免设备噪声叠加；</w:t>
                  </w:r>
                  <w:r>
                    <w:rPr>
                      <w:rFonts w:hint="eastAsia" w:asciiTheme="minorEastAsia" w:hAnsiTheme="minorEastAsia" w:cstheme="minorEastAsia"/>
                      <w:sz w:val="21"/>
                      <w:szCs w:val="21"/>
                      <w:highlight w:val="none"/>
                      <w:lang w:val="en-US" w:eastAsia="zh-CN"/>
                    </w:rPr>
                    <w:t>③</w:t>
                  </w:r>
                  <w:r>
                    <w:rPr>
                      <w:rFonts w:hint="eastAsia" w:asciiTheme="minorEastAsia" w:hAnsiTheme="minorEastAsia" w:eastAsiaTheme="minorEastAsia" w:cstheme="minorEastAsia"/>
                      <w:sz w:val="21"/>
                      <w:szCs w:val="21"/>
                      <w:highlight w:val="none"/>
                      <w:lang w:val="en-US" w:eastAsia="zh-CN"/>
                    </w:rPr>
                    <w:t>禁止夜间（晚22点至次日早晨6点之间）进行产生环境噪声污染的施工作业；</w:t>
                  </w:r>
                  <w:r>
                    <w:rPr>
                      <w:rFonts w:hint="eastAsia" w:asciiTheme="minorEastAsia" w:hAnsiTheme="minorEastAsia" w:cstheme="minorEastAsia"/>
                      <w:sz w:val="21"/>
                      <w:szCs w:val="21"/>
                      <w:highlight w:val="none"/>
                      <w:lang w:val="en-US" w:eastAsia="zh-CN"/>
                    </w:rPr>
                    <w:t>④</w:t>
                  </w:r>
                  <w:r>
                    <w:rPr>
                      <w:rFonts w:hint="eastAsia" w:asciiTheme="minorEastAsia" w:hAnsiTheme="minorEastAsia" w:eastAsiaTheme="minorEastAsia" w:cstheme="minorEastAsia"/>
                      <w:sz w:val="21"/>
                      <w:szCs w:val="21"/>
                      <w:highlight w:val="none"/>
                      <w:lang w:val="en-US" w:eastAsia="zh-CN"/>
                    </w:rPr>
                    <w:t>加强对施工人员的管理，做到文明施工，避免认为噪声的产生；</w:t>
                  </w:r>
                  <w:r>
                    <w:rPr>
                      <w:rFonts w:hint="eastAsia" w:asciiTheme="minorEastAsia" w:hAnsiTheme="minorEastAsia" w:cstheme="minorEastAsia"/>
                      <w:sz w:val="21"/>
                      <w:szCs w:val="21"/>
                      <w:highlight w:val="none"/>
                      <w:lang w:val="en-US" w:eastAsia="zh-CN"/>
                    </w:rPr>
                    <w:t>⑤</w:t>
                  </w:r>
                  <w:r>
                    <w:rPr>
                      <w:rFonts w:hint="eastAsia" w:asciiTheme="minorEastAsia" w:hAnsiTheme="minorEastAsia" w:eastAsiaTheme="minorEastAsia" w:cstheme="minorEastAsia"/>
                      <w:sz w:val="21"/>
                      <w:szCs w:val="21"/>
                      <w:highlight w:val="none"/>
                      <w:lang w:val="en-US" w:eastAsia="zh-CN"/>
                    </w:rPr>
                    <w:t>合理安排施工步骤，优化施工方式，同时合理安排运输时间。</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施工车辆</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交通噪声</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社会生活</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生活噪声</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810"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运营期</w:t>
                  </w: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设备运行</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采石场设备运行噪声</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①对强噪声设备安装橡胶减震设施，以减少振动，降低噪声；②对于传输设备的旋转和传动部分以及接近地面的连轴节，传动轴，皮带轮等均装设防护装置；</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496" w:type="dxa"/>
                  <w:vMerge w:val="continue"/>
                  <w:noWrap w:val="0"/>
                  <w:vAlign w:val="center"/>
                </w:tcPr>
                <w:p>
                  <w:pPr>
                    <w:adjustRightInd w:val="0"/>
                    <w:snapToGrid w:val="0"/>
                    <w:rPr>
                      <w:highlight w:val="none"/>
                    </w:rPr>
                  </w:pPr>
                </w:p>
              </w:tc>
              <w:tc>
                <w:tcPr>
                  <w:tcW w:w="810" w:type="dxa"/>
                  <w:vMerge w:val="continue"/>
                  <w:noWrap w:val="0"/>
                  <w:vAlign w:val="center"/>
                </w:tcPr>
                <w:p>
                  <w:pPr>
                    <w:adjustRightInd w:val="0"/>
                    <w:snapToGrid w:val="0"/>
                    <w:rPr>
                      <w:highlight w:val="none"/>
                    </w:rPr>
                  </w:pPr>
                </w:p>
              </w:tc>
              <w:tc>
                <w:tcPr>
                  <w:tcW w:w="933" w:type="dxa"/>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作业噪声</w:t>
                  </w:r>
                </w:p>
              </w:tc>
              <w:tc>
                <w:tcPr>
                  <w:tcW w:w="1258" w:type="dxa"/>
                  <w:gridSpan w:val="2"/>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爆破噪声</w:t>
                  </w:r>
                </w:p>
              </w:tc>
              <w:tc>
                <w:tcPr>
                  <w:tcW w:w="3264" w:type="dxa"/>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①固定爆破时段，合理设置爆破次数，禁止夜间放炮；②合理设置炮眼，采用水封爆破，放炮前提前告知村民，在各个路口设置岗哨</w:t>
                  </w:r>
                </w:p>
              </w:tc>
              <w:tc>
                <w:tcPr>
                  <w:tcW w:w="1876" w:type="dxa"/>
                  <w:vMerge w:val="continue"/>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员工日常</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社会噪声</w:t>
                  </w:r>
                </w:p>
              </w:tc>
              <w:tc>
                <w:tcPr>
                  <w:tcW w:w="3264"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①合理安排工作时间，对高噪声设备的运行，应避免在人群休息时进行，与敏感点工作时间错开进行，以减少噪声的影响，禁止夜间进行生产，仅白天生产；</w:t>
                  </w:r>
                  <w:r>
                    <w:rPr>
                      <w:rFonts w:hint="eastAsia" w:asciiTheme="minorEastAsia" w:hAnsiTheme="minorEastAsia" w:eastAsiaTheme="minorEastAsia" w:cstheme="minorEastAsia"/>
                      <w:sz w:val="21"/>
                      <w:szCs w:val="21"/>
                      <w:highlight w:val="none"/>
                      <w:lang w:val="en-GB" w:eastAsia="zh-CN"/>
                    </w:rPr>
                    <w:t xml:space="preserve"> ②</w:t>
                  </w:r>
                  <w:r>
                    <w:rPr>
                      <w:rFonts w:hint="eastAsia" w:asciiTheme="minorEastAsia" w:hAnsiTheme="minorEastAsia" w:eastAsiaTheme="minorEastAsia" w:cstheme="minorEastAsia"/>
                      <w:sz w:val="21"/>
                      <w:szCs w:val="21"/>
                      <w:highlight w:val="none"/>
                      <w:lang w:val="en-US" w:eastAsia="zh-CN"/>
                    </w:rPr>
                    <w:t>派专人定期对机械设备进行维修管理，保证正常运行，避免故障情况下产生高噪声影响；③若出现扰民现场，必须停止高噪声设备的运行，积极配合解决好纠纷问题。</w:t>
                  </w:r>
                  <w:r>
                    <w:rPr>
                      <w:rFonts w:hint="eastAsia" w:asciiTheme="minorEastAsia" w:hAnsiTheme="minorEastAsia" w:cstheme="minorEastAsia"/>
                      <w:sz w:val="21"/>
                      <w:szCs w:val="21"/>
                      <w:highlight w:val="none"/>
                      <w:lang w:val="en-US" w:eastAsia="zh-CN"/>
                    </w:rPr>
                    <w:t>④运输车辆在途经敏感路段时限速行驶</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运输车辆</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交通噪声</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9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固</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体</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废</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物</w:t>
                  </w:r>
                </w:p>
              </w:tc>
              <w:tc>
                <w:tcPr>
                  <w:tcW w:w="810"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施工期</w:t>
                  </w:r>
                </w:p>
              </w:tc>
              <w:tc>
                <w:tcPr>
                  <w:tcW w:w="933"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一般工业固体废物</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建筑垃圾</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①可回收利用的进行回收利用，不能利用的按照市政管理部门要求进行处置</w:t>
                  </w:r>
                  <w:r>
                    <w:rPr>
                      <w:rFonts w:hint="eastAsia" w:asciiTheme="minorEastAsia" w:hAnsiTheme="minorEastAsia" w:cstheme="minorEastAsia"/>
                      <w:sz w:val="21"/>
                      <w:szCs w:val="21"/>
                      <w:highlight w:val="none"/>
                      <w:lang w:val="en-US" w:eastAsia="zh-CN"/>
                    </w:rPr>
                    <w:t>。</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496" w:type="dxa"/>
                  <w:vMerge w:val="continue"/>
                  <w:noWrap w:val="0"/>
                  <w:vAlign w:val="center"/>
                </w:tcPr>
                <w:p>
                  <w:pPr>
                    <w:adjustRightInd w:val="0"/>
                    <w:snapToGrid w:val="0"/>
                    <w:rPr>
                      <w:highlight w:val="none"/>
                    </w:rPr>
                  </w:pPr>
                </w:p>
              </w:tc>
              <w:tc>
                <w:tcPr>
                  <w:tcW w:w="810" w:type="dxa"/>
                  <w:vMerge w:val="continue"/>
                  <w:noWrap w:val="0"/>
                  <w:vAlign w:val="center"/>
                </w:tcPr>
                <w:p>
                  <w:pPr>
                    <w:adjustRightInd w:val="0"/>
                    <w:snapToGrid w:val="0"/>
                    <w:rPr>
                      <w:highlight w:val="none"/>
                    </w:rPr>
                  </w:pPr>
                </w:p>
              </w:tc>
              <w:tc>
                <w:tcPr>
                  <w:tcW w:w="933" w:type="dxa"/>
                  <w:vMerge w:val="continue"/>
                  <w:noWrap w:val="0"/>
                  <w:vAlign w:val="center"/>
                </w:tcPr>
                <w:p>
                  <w:pPr>
                    <w:adjustRightInd w:val="0"/>
                    <w:snapToGrid w:val="0"/>
                    <w:rPr>
                      <w:highlight w:val="none"/>
                    </w:rPr>
                  </w:pPr>
                </w:p>
              </w:tc>
              <w:tc>
                <w:tcPr>
                  <w:tcW w:w="1258" w:type="dxa"/>
                  <w:gridSpan w:val="2"/>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生活垃圾</w:t>
                  </w:r>
                </w:p>
              </w:tc>
              <w:tc>
                <w:tcPr>
                  <w:tcW w:w="3264" w:type="dxa"/>
                  <w:noWrap w:val="0"/>
                  <w:vAlign w:val="center"/>
                </w:tcPr>
                <w:p>
                  <w:pPr>
                    <w:numPr>
                      <w:ilvl w:val="0"/>
                      <w:numId w:val="0"/>
                    </w:numPr>
                    <w:adjustRightInd w:val="0"/>
                    <w:snapToGrid w:val="0"/>
                    <w:ind w:left="0" w:leftChars="0" w:firstLine="0" w:firstLineChars="0"/>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生活垃圾集中收集后，定期运至</w:t>
                  </w:r>
                  <w:r>
                    <w:rPr>
                      <w:rFonts w:hint="eastAsia" w:asciiTheme="minorEastAsia" w:hAnsiTheme="minorEastAsia" w:cstheme="minorEastAsia"/>
                      <w:sz w:val="21"/>
                      <w:szCs w:val="21"/>
                      <w:highlight w:val="none"/>
                      <w:lang w:val="en-US" w:eastAsia="zh-CN"/>
                    </w:rPr>
                    <w:t>兴街镇</w:t>
                  </w:r>
                  <w:r>
                    <w:rPr>
                      <w:rFonts w:hint="eastAsia" w:asciiTheme="minorEastAsia" w:hAnsiTheme="minorEastAsia" w:eastAsiaTheme="minorEastAsia" w:cstheme="minorEastAsia"/>
                      <w:sz w:val="21"/>
                      <w:szCs w:val="21"/>
                      <w:highlight w:val="none"/>
                      <w:lang w:val="en-US" w:eastAsia="zh-CN"/>
                    </w:rPr>
                    <w:t>指定垃圾堆放点，由环卫部门清运处理。</w:t>
                  </w:r>
                </w:p>
              </w:tc>
              <w:tc>
                <w:tcPr>
                  <w:tcW w:w="1876" w:type="dxa"/>
                  <w:vMerge w:val="continue"/>
                  <w:noWrap w:val="0"/>
                  <w:vAlign w:val="center"/>
                </w:tcPr>
                <w:p>
                  <w:pPr>
                    <w:adjustRightInd w:val="0"/>
                    <w:snapToGrid w:val="0"/>
                    <w:rPr>
                      <w:rFonts w:hint="eastAsia" w:asciiTheme="minorEastAsia" w:hAnsi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危险废物</w:t>
                  </w:r>
                </w:p>
              </w:tc>
              <w:tc>
                <w:tcPr>
                  <w:tcW w:w="1258" w:type="dxa"/>
                  <w:gridSpan w:val="2"/>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废机油</w:t>
                  </w:r>
                </w:p>
              </w:tc>
              <w:tc>
                <w:tcPr>
                  <w:tcW w:w="3264"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项目收集的危险废物必须单独收集、单独存储，委托有资质的单位处理，严格执行危险废物转移联单制度，设置台账。</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933" w:type="dxa"/>
                  <w:vMerge w:val="continue"/>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p>
              </w:tc>
              <w:tc>
                <w:tcPr>
                  <w:tcW w:w="1258" w:type="dxa"/>
                  <w:gridSpan w:val="2"/>
                  <w:vMerge w:val="continue"/>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p>
              </w:tc>
              <w:tc>
                <w:tcPr>
                  <w:tcW w:w="3264" w:type="dxa"/>
                  <w:vMerge w:val="continue"/>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810"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运营期</w:t>
                  </w:r>
                </w:p>
              </w:tc>
              <w:tc>
                <w:tcPr>
                  <w:tcW w:w="933"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一般固体废物</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生活垃圾</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生活垃圾集中收集后，定期运至</w:t>
                  </w:r>
                  <w:r>
                    <w:rPr>
                      <w:rFonts w:hint="eastAsia" w:asciiTheme="minorEastAsia" w:hAnsiTheme="minorEastAsia" w:cstheme="minorEastAsia"/>
                      <w:sz w:val="21"/>
                      <w:szCs w:val="21"/>
                      <w:highlight w:val="none"/>
                      <w:lang w:val="en-US" w:eastAsia="zh-CN"/>
                    </w:rPr>
                    <w:t>兴街镇</w:t>
                  </w:r>
                  <w:r>
                    <w:rPr>
                      <w:rFonts w:hint="eastAsia" w:asciiTheme="minorEastAsia" w:hAnsiTheme="minorEastAsia" w:eastAsiaTheme="minorEastAsia" w:cstheme="minorEastAsia"/>
                      <w:sz w:val="21"/>
                      <w:szCs w:val="21"/>
                      <w:highlight w:val="none"/>
                      <w:lang w:val="en-US" w:eastAsia="zh-CN"/>
                    </w:rPr>
                    <w:t>指定垃圾堆放点，由环卫部门清运处理。</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933"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表土堆场</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表土堆场周围根据地势设置210m的截排水沟，表土堆场下游设置（长30m、宽2m、高5m）的挡石墙，其中挡石墙的高度根据堆存进度逐步建设，采用M7.5浆砌石砌筑，减小水土流失</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496" w:type="dxa"/>
                  <w:vMerge w:val="continue"/>
                  <w:noWrap w:val="0"/>
                  <w:vAlign w:val="center"/>
                </w:tcPr>
                <w:p>
                  <w:pPr>
                    <w:adjustRightInd w:val="0"/>
                    <w:snapToGrid w:val="0"/>
                  </w:pPr>
                </w:p>
              </w:tc>
              <w:tc>
                <w:tcPr>
                  <w:tcW w:w="810" w:type="dxa"/>
                  <w:vMerge w:val="continue"/>
                  <w:noWrap w:val="0"/>
                  <w:vAlign w:val="center"/>
                </w:tcPr>
                <w:p>
                  <w:pPr>
                    <w:adjustRightInd w:val="0"/>
                    <w:snapToGrid w:val="0"/>
                  </w:pPr>
                </w:p>
              </w:tc>
              <w:tc>
                <w:tcPr>
                  <w:tcW w:w="933" w:type="dxa"/>
                  <w:vMerge w:val="continue"/>
                  <w:noWrap w:val="0"/>
                  <w:vAlign w:val="center"/>
                </w:tcPr>
                <w:p>
                  <w:pPr>
                    <w:adjustRightInd w:val="0"/>
                    <w:snapToGrid w:val="0"/>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沉淀池污泥</w:t>
                  </w:r>
                </w:p>
              </w:tc>
              <w:tc>
                <w:tcPr>
                  <w:tcW w:w="3264" w:type="dxa"/>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沉淀池污泥定期清理至表土堆场，用于后期复垦</w:t>
                  </w:r>
                </w:p>
              </w:tc>
              <w:tc>
                <w:tcPr>
                  <w:tcW w:w="1876" w:type="dxa"/>
                  <w:vMerge w:val="continue"/>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496" w:type="dxa"/>
                  <w:vMerge w:val="continue"/>
                  <w:noWrap w:val="0"/>
                  <w:vAlign w:val="center"/>
                </w:tcPr>
                <w:p>
                  <w:pPr>
                    <w:adjustRightInd w:val="0"/>
                    <w:snapToGrid w:val="0"/>
                    <w:rPr>
                      <w:rFonts w:hint="eastAsia" w:asciiTheme="minorEastAsia" w:hAnsiTheme="minorEastAsia" w:eastAsiaTheme="minorEastAsia" w:cstheme="minorEastAsia"/>
                      <w:sz w:val="21"/>
                      <w:szCs w:val="21"/>
                      <w:highlight w:val="yellow"/>
                      <w:lang w:val="en-US" w:eastAsia="zh-CN"/>
                    </w:rPr>
                  </w:pPr>
                </w:p>
              </w:tc>
              <w:tc>
                <w:tcPr>
                  <w:tcW w:w="810" w:type="dxa"/>
                  <w:vMerge w:val="continue"/>
                  <w:noWrap w:val="0"/>
                  <w:vAlign w:val="center"/>
                </w:tcPr>
                <w:p>
                  <w:pPr>
                    <w:adjustRightInd w:val="0"/>
                    <w:snapToGrid w:val="0"/>
                    <w:rPr>
                      <w:rFonts w:hint="eastAsia" w:asciiTheme="minorEastAsia" w:hAnsiTheme="minorEastAsia" w:eastAsiaTheme="minorEastAsia" w:cstheme="minorEastAsia"/>
                      <w:sz w:val="21"/>
                      <w:szCs w:val="21"/>
                      <w:highlight w:val="yellow"/>
                      <w:lang w:val="en-US" w:eastAsia="zh-CN"/>
                    </w:rPr>
                  </w:pPr>
                </w:p>
              </w:tc>
              <w:tc>
                <w:tcPr>
                  <w:tcW w:w="933" w:type="dxa"/>
                  <w:vMerge w:val="continue"/>
                  <w:noWrap w:val="0"/>
                  <w:vAlign w:val="center"/>
                </w:tcPr>
                <w:p>
                  <w:pPr>
                    <w:adjustRightInd w:val="0"/>
                    <w:snapToGrid w:val="0"/>
                    <w:rPr>
                      <w:rFonts w:hint="eastAsia" w:asciiTheme="minorEastAsia" w:hAnsiTheme="minorEastAsia" w:eastAsiaTheme="minorEastAsia" w:cstheme="minorEastAsia"/>
                      <w:sz w:val="21"/>
                      <w:szCs w:val="21"/>
                      <w:highlight w:val="yellow"/>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除尘器收集灰尘</w:t>
                  </w:r>
                </w:p>
              </w:tc>
              <w:tc>
                <w:tcPr>
                  <w:tcW w:w="3264" w:type="dxa"/>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矿石破碎粉尘经收集后作为石粉外售</w:t>
                  </w:r>
                </w:p>
              </w:tc>
              <w:tc>
                <w:tcPr>
                  <w:tcW w:w="1876" w:type="dxa"/>
                  <w:vMerge w:val="continue"/>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49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810"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p>
              </w:tc>
              <w:tc>
                <w:tcPr>
                  <w:tcW w:w="933" w:type="dxa"/>
                  <w:noWrap w:val="0"/>
                  <w:vAlign w:val="center"/>
                </w:tcPr>
                <w:p>
                  <w:pPr>
                    <w:numPr>
                      <w:ilvl w:val="0"/>
                      <w:numId w:val="0"/>
                    </w:numPr>
                    <w:adjustRightInd w:val="0"/>
                    <w:snapToGrid w:val="0"/>
                    <w:rPr>
                      <w:rFonts w:hint="eastAsia"/>
                      <w:szCs w:val="21"/>
                      <w:highlight w:val="yellow"/>
                      <w:lang w:val="en-US" w:eastAsia="zh-CN"/>
                    </w:rPr>
                  </w:pPr>
                  <w:r>
                    <w:rPr>
                      <w:rFonts w:hint="eastAsia"/>
                      <w:szCs w:val="21"/>
                      <w:highlight w:val="none"/>
                      <w:lang w:val="en-US" w:eastAsia="zh-CN"/>
                    </w:rPr>
                    <w:t>危险废物</w:t>
                  </w:r>
                </w:p>
              </w:tc>
              <w:tc>
                <w:tcPr>
                  <w:tcW w:w="1258" w:type="dxa"/>
                  <w:gridSpan w:val="2"/>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废机油</w:t>
                  </w:r>
                </w:p>
              </w:tc>
              <w:tc>
                <w:tcPr>
                  <w:tcW w:w="3264"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危废暂存间（设置一间10m2危险废物暂存间，防渗措施：围堰底部及周围采用抗渗水泥浇底，内表面涂刷环氧树脂漆防水材料。危废暂存间地面及墙面（高300mm）设置环氧树脂漆防腐防渗（等效黏土防渗层Mb≥6.0m，K≤1×10-10cm/s））委托有资质的单位处理。</w:t>
                  </w:r>
                </w:p>
              </w:tc>
              <w:tc>
                <w:tcPr>
                  <w:tcW w:w="1876" w:type="dxa"/>
                  <w:noWrap w:val="0"/>
                  <w:vAlign w:val="center"/>
                </w:tcPr>
                <w:p>
                  <w:pPr>
                    <w:numPr>
                      <w:ilvl w:val="0"/>
                      <w:numId w:val="0"/>
                    </w:numPr>
                    <w:adjustRightInd w:val="0"/>
                    <w:snapToGrid w:val="0"/>
                    <w:jc w:val="both"/>
                    <w:rPr>
                      <w:rFonts w:hint="eastAsia"/>
                      <w:szCs w:val="21"/>
                      <w:highlight w:val="none"/>
                      <w:lang w:val="en-US" w:eastAsia="zh-CN"/>
                    </w:rPr>
                  </w:pPr>
                  <w:r>
                    <w:rPr>
                      <w:rFonts w:hint="eastAsia"/>
                      <w:szCs w:val="21"/>
                      <w:highlight w:val="none"/>
                      <w:lang w:val="en-US" w:eastAsia="zh-CN"/>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306"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其它</w:t>
                  </w:r>
                </w:p>
              </w:tc>
              <w:tc>
                <w:tcPr>
                  <w:tcW w:w="933"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无</w:t>
                  </w:r>
                </w:p>
              </w:tc>
              <w:tc>
                <w:tcPr>
                  <w:tcW w:w="6398" w:type="dxa"/>
                  <w:gridSpan w:val="4"/>
                  <w:noWrap w:val="0"/>
                  <w:vAlign w:val="center"/>
                </w:tcPr>
                <w:p>
                  <w:pPr>
                    <w:numPr>
                      <w:ilvl w:val="0"/>
                      <w:numId w:val="0"/>
                    </w:numPr>
                    <w:adjustRightInd w:val="0"/>
                    <w:snapToGrid w:val="0"/>
                    <w:jc w:val="both"/>
                    <w:rPr>
                      <w:rFonts w:hint="eastAsia"/>
                      <w:szCs w:val="21"/>
                      <w:highlight w:val="none"/>
                      <w:lang w:val="en-US" w:eastAsia="zh-CN"/>
                    </w:rPr>
                  </w:pPr>
                  <w:r>
                    <w:rPr>
                      <w:rFonts w:hint="eastAsia"/>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4" w:hRule="atLeast"/>
                <w:jc w:val="center"/>
              </w:trPr>
              <w:tc>
                <w:tcPr>
                  <w:tcW w:w="8637" w:type="dxa"/>
                  <w:gridSpan w:val="7"/>
                  <w:noWrap w:val="0"/>
                  <w:vAlign w:val="top"/>
                </w:tcPr>
                <w:p>
                  <w:pPr>
                    <w:spacing w:line="300" w:lineRule="atLeast"/>
                    <w:jc w:val="both"/>
                    <w:rPr>
                      <w:rFonts w:hint="eastAsia"/>
                      <w:szCs w:val="21"/>
                      <w:highlight w:val="none"/>
                      <w:lang w:eastAsia="zh-CN"/>
                    </w:rPr>
                  </w:pPr>
                  <w:r>
                    <w:rPr>
                      <w:rFonts w:hint="eastAsia"/>
                      <w:szCs w:val="21"/>
                      <w:highlight w:val="none"/>
                      <w:lang w:val="en-US" w:eastAsia="zh-CN"/>
                    </w:rPr>
                    <w:t>生态保护措施及预期效果：</w:t>
                  </w:r>
                </w:p>
                <w:p>
                  <w:pPr>
                    <w:spacing w:line="300" w:lineRule="atLeast"/>
                    <w:jc w:val="both"/>
                    <w:rPr>
                      <w:rFonts w:hint="eastAsia"/>
                      <w:szCs w:val="21"/>
                      <w:highlight w:val="none"/>
                      <w:lang w:val="en-US" w:eastAsia="zh-CN"/>
                    </w:rPr>
                  </w:pPr>
                  <w:r>
                    <w:rPr>
                      <w:rFonts w:hint="eastAsia"/>
                      <w:szCs w:val="21"/>
                      <w:highlight w:val="none"/>
                      <w:lang w:val="en-US" w:eastAsia="zh-CN"/>
                    </w:rPr>
                    <w:t>1、植被植物保护措施</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①施工期加强管理，须严格控制施工红线，严禁超计划占地，严禁施工人员砍伐、破坏工程占地区外的植被，严禁在征地范围外堆渣。</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②加强占地区周边植物的保护，对施工表土进行集中堆存后期用于生态恢复；植被绿化宜就地采集当地植物种子、幼苗进行种植，不能采用入境物种；植被恢复力求创造多样性的生态环境条件，避免单一化和人工化，注意乔、灌、草的结合，植被恢复尽可能利用自然条件。</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③在开采过程中应加强矿区日常管理，确保水保措施完好运行，减少水土流失。</w:t>
                  </w:r>
                </w:p>
                <w:p>
                  <w:pPr>
                    <w:pStyle w:val="2"/>
                    <w:ind w:firstLine="210" w:firstLineChars="100"/>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④加强管理及对工作人员进行环保宣传，严禁相关人员随意砍伐项目区周边植被。</w:t>
                  </w:r>
                </w:p>
                <w:p>
                  <w:pPr>
                    <w:ind w:firstLine="210" w:firstLineChars="100"/>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⑤建议矿山开采中对采空区采取边开采边治理的措施，对停止使用的采矿区尽快覆盖土层进行植被恢复，避免采空区长期裸露。</w:t>
                  </w:r>
                </w:p>
                <w:p>
                  <w:pPr>
                    <w:pStyle w:val="2"/>
                    <w:ind w:firstLine="210" w:firstLineChars="100"/>
                    <w:rPr>
                      <w:rFonts w:hint="default"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⑥矿山服务期满后应尽快进行覆土绿化工作，恢复采空区的生态环境。</w:t>
                  </w:r>
                </w:p>
                <w:p>
                  <w:pPr>
                    <w:spacing w:line="300" w:lineRule="atLeast"/>
                    <w:jc w:val="left"/>
                    <w:rPr>
                      <w:rFonts w:hint="eastAsia"/>
                      <w:szCs w:val="21"/>
                      <w:highlight w:val="none"/>
                      <w:lang w:val="en-US" w:eastAsia="zh-CN"/>
                    </w:rPr>
                  </w:pPr>
                  <w:r>
                    <w:rPr>
                      <w:rFonts w:hint="eastAsia"/>
                      <w:szCs w:val="21"/>
                      <w:highlight w:val="none"/>
                      <w:lang w:val="en-US" w:eastAsia="zh-CN"/>
                    </w:rPr>
                    <w:t>2、陆栖脊椎动物保护措施</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①施工中尽可能降低噪声，以减少对动物的直接伤害。</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②严格落实水土保持方案，禁止废土方等污染水体，以保证两栖动物的栖息地尽量少受影响；水保中植物的措施配置方面尽量采用混交林，避免树种单一。</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③矿山服务期满后对采矿区以及其他相关区域迹地进行及时绿化恢复，并在运输、施工中注意保护野生动物。</w:t>
                  </w:r>
                </w:p>
                <w:p>
                  <w:pPr>
                    <w:spacing w:line="300" w:lineRule="atLeast"/>
                    <w:ind w:firstLine="210" w:firstLineChars="100"/>
                    <w:jc w:val="left"/>
                    <w:rPr>
                      <w:rFonts w:hint="eastAsia"/>
                      <w:szCs w:val="21"/>
                      <w:highlight w:val="none"/>
                      <w:lang w:val="en-US" w:eastAsia="zh-CN"/>
                    </w:rPr>
                  </w:pPr>
                  <w:r>
                    <w:rPr>
                      <w:rFonts w:hint="eastAsia"/>
                      <w:szCs w:val="21"/>
                      <w:highlight w:val="none"/>
                      <w:lang w:val="en-US" w:eastAsia="zh-CN"/>
                    </w:rPr>
                    <w:t>④对施工人员明确规定严禁猎杀野生动物，建立与环境保护有关的奖励惩罚制度，对积极举报违法活动人员给以奖励和隐私保护，对于证据确凿的违法活动者给以严厉惩罚。</w:t>
                  </w:r>
                </w:p>
                <w:p>
                  <w:pPr>
                    <w:jc w:val="both"/>
                    <w:rPr>
                      <w:rFonts w:hint="eastAsia" w:asciiTheme="minorEastAsia" w:hAnsiTheme="minorEastAsia" w:eastAsiaTheme="minorEastAsia" w:cstheme="minorEastAsia"/>
                      <w:sz w:val="21"/>
                      <w:szCs w:val="21"/>
                      <w:lang w:val="en-US" w:eastAsia="zh-CN"/>
                    </w:rPr>
                  </w:pPr>
                </w:p>
              </w:tc>
            </w:tr>
          </w:tbl>
          <w:p>
            <w:pPr>
              <w:numPr>
                <w:ilvl w:val="0"/>
                <w:numId w:val="0"/>
              </w:numPr>
              <w:adjustRightInd w:val="0"/>
              <w:snapToGrid w:val="0"/>
              <w:ind w:firstLine="420" w:firstLineChars="200"/>
              <w:rPr>
                <w:rFonts w:hint="default" w:ascii="Times New Roman" w:hAnsi="Times New Roman" w:eastAsia="宋体" w:cs="宋体"/>
                <w:szCs w:val="21"/>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D8FB"/>
    <w:multiLevelType w:val="singleLevel"/>
    <w:tmpl w:val="1FFED8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3D13B63"/>
    <w:rsid w:val="08666437"/>
    <w:rsid w:val="0D75484E"/>
    <w:rsid w:val="0E5863A6"/>
    <w:rsid w:val="10E10AA7"/>
    <w:rsid w:val="11484B39"/>
    <w:rsid w:val="176F7B69"/>
    <w:rsid w:val="1C800DED"/>
    <w:rsid w:val="1D827358"/>
    <w:rsid w:val="1DE51BD3"/>
    <w:rsid w:val="1EC40E63"/>
    <w:rsid w:val="20C62AB1"/>
    <w:rsid w:val="27783043"/>
    <w:rsid w:val="2C920AEE"/>
    <w:rsid w:val="2F360CFB"/>
    <w:rsid w:val="2F4740AB"/>
    <w:rsid w:val="30E70C73"/>
    <w:rsid w:val="326C0058"/>
    <w:rsid w:val="346C3E79"/>
    <w:rsid w:val="34DB165D"/>
    <w:rsid w:val="36076C9A"/>
    <w:rsid w:val="3B834A7C"/>
    <w:rsid w:val="3BB93FFE"/>
    <w:rsid w:val="3D6C66C8"/>
    <w:rsid w:val="3D81346E"/>
    <w:rsid w:val="43B23412"/>
    <w:rsid w:val="472B1A05"/>
    <w:rsid w:val="48873DB8"/>
    <w:rsid w:val="4FE171BC"/>
    <w:rsid w:val="533073F3"/>
    <w:rsid w:val="59B35B52"/>
    <w:rsid w:val="59EC129F"/>
    <w:rsid w:val="5C061416"/>
    <w:rsid w:val="672E7FAC"/>
    <w:rsid w:val="683B1B4D"/>
    <w:rsid w:val="6ABF7E9B"/>
    <w:rsid w:val="6C5A2033"/>
    <w:rsid w:val="6CA6240F"/>
    <w:rsid w:val="6F64016F"/>
    <w:rsid w:val="71482403"/>
    <w:rsid w:val="71C8684B"/>
    <w:rsid w:val="72197B59"/>
    <w:rsid w:val="751B0909"/>
    <w:rsid w:val="76FE1467"/>
    <w:rsid w:val="789D3247"/>
    <w:rsid w:val="7B4D0851"/>
    <w:rsid w:val="7D10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next w:val="1"/>
    <w:qFormat/>
    <w:uiPriority w:val="0"/>
    <w:pPr>
      <w:spacing w:line="460" w:lineRule="exact"/>
      <w:jc w:val="center"/>
    </w:pPr>
    <w:rPr>
      <w:color w:val="000000"/>
      <w:w w:val="90"/>
      <w:sz w:val="24"/>
      <w:szCs w:val="20"/>
    </w:rPr>
  </w:style>
  <w:style w:type="paragraph" w:styleId="4">
    <w:name w:val="Body Text Indent"/>
    <w:basedOn w:val="1"/>
    <w:next w:val="5"/>
    <w:qFormat/>
    <w:uiPriority w:val="0"/>
    <w:pPr>
      <w:tabs>
        <w:tab w:val="left" w:pos="8607"/>
      </w:tabs>
      <w:spacing w:line="400" w:lineRule="exact"/>
      <w:ind w:firstLine="556"/>
    </w:pPr>
    <w:rPr>
      <w:sz w:val="28"/>
    </w:rPr>
  </w:style>
  <w:style w:type="paragraph" w:customStyle="1" w:styleId="5">
    <w:name w:val="样式 正文文本缩进 + 行距: 1.5 倍行距"/>
    <w:basedOn w:val="4"/>
    <w:qFormat/>
    <w:uiPriority w:val="0"/>
    <w:pPr>
      <w:spacing w:line="360" w:lineRule="auto"/>
      <w:ind w:left="0" w:leftChars="0" w:firstLine="560" w:firstLineChars="200"/>
    </w:pPr>
    <w:rPr>
      <w:rFonts w:cs="宋体"/>
      <w:b/>
      <w:bCs/>
      <w:sz w:val="28"/>
      <w:szCs w:val="20"/>
    </w:rPr>
  </w:style>
  <w:style w:type="paragraph" w:styleId="6">
    <w:name w:val="List Bullet 5"/>
    <w:basedOn w:val="1"/>
    <w:qFormat/>
    <w:uiPriority w:val="0"/>
    <w:pPr>
      <w:numPr>
        <w:ilvl w:val="0"/>
        <w:numId w:val="1"/>
      </w:numPr>
    </w:pPr>
  </w:style>
  <w:style w:type="paragraph" w:styleId="7">
    <w:name w:val="Normal (Web)"/>
    <w:basedOn w:val="1"/>
    <w:qFormat/>
    <w:uiPriority w:val="0"/>
    <w:rPr>
      <w:sz w:val="24"/>
    </w:rPr>
  </w:style>
  <w:style w:type="paragraph" w:styleId="8">
    <w:name w:val="Body Text First Indent"/>
    <w:basedOn w:val="3"/>
    <w:next w:val="1"/>
    <w:qFormat/>
    <w:uiPriority w:val="0"/>
    <w:pPr>
      <w:spacing w:after="120" w:line="240" w:lineRule="auto"/>
      <w:ind w:firstLine="420" w:firstLineChars="100"/>
      <w:jc w:val="both"/>
    </w:pPr>
  </w:style>
  <w:style w:type="paragraph" w:styleId="9">
    <w:name w:val="Body Text First Indent 2"/>
    <w:basedOn w:val="4"/>
    <w:next w:val="8"/>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2021-06-28T00:19:39Z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40900520BAF2433BA46D37F9709C0DED</vt:lpwstr>
  </property>
</Properties>
</file>