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西畴县文化广电体育局2018年部门整体支出绩效自评报告</w:t>
      </w: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一、部门基本情况</w:t>
      </w:r>
    </w:p>
    <w:p>
      <w:pPr>
        <w:spacing w:line="600" w:lineRule="exact"/>
        <w:ind w:firstLine="416" w:firstLineChars="139"/>
        <w:rPr>
          <w:rFonts w:ascii="楷体" w:hAnsi="楷体" w:eastAsia="楷体" w:cs="楷体"/>
          <w:sz w:val="30"/>
          <w:szCs w:val="30"/>
        </w:rPr>
      </w:pPr>
      <w:r>
        <w:rPr>
          <w:rFonts w:hint="eastAsia" w:ascii="楷体" w:hAnsi="楷体" w:eastAsia="楷体" w:cs="楷体"/>
          <w:sz w:val="30"/>
          <w:szCs w:val="30"/>
        </w:rPr>
        <w:t>（一）部门概况</w:t>
      </w:r>
    </w:p>
    <w:p>
      <w:pPr>
        <w:spacing w:line="60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1.主要职能</w:t>
      </w:r>
    </w:p>
    <w:p>
      <w:pPr>
        <w:spacing w:line="560" w:lineRule="exact"/>
        <w:ind w:firstLine="562"/>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（一）贯彻执行国家、省、州有关文广体旅工作的法律法规和政策，制订实施文广体旅产业发展规划；拟订文广体旅行业管理的具体办法，并组织实施。</w:t>
      </w:r>
    </w:p>
    <w:p>
      <w:pPr>
        <w:spacing w:line="560" w:lineRule="exact"/>
        <w:ind w:firstLine="562"/>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（二）组织全县文广体旅行业资源的调查、保护与开发；指导文广体旅行业的社会投资和外资引进；负责全县文广体旅行业的统计和经济运行分析工作。</w:t>
      </w:r>
    </w:p>
    <w:p>
      <w:pPr>
        <w:spacing w:line="560" w:lineRule="exact"/>
        <w:ind w:firstLine="467" w:firstLineChars="146"/>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（三）负责文化、广播电影电视、体育、旅游、文物、新闻出版（版权）市场的监管工作；组织文广体旅行业管理人员及工作人员的法律法规和业务技能培训。</w:t>
      </w:r>
    </w:p>
    <w:p>
      <w:pPr>
        <w:spacing w:line="560" w:lineRule="exact"/>
        <w:ind w:firstLine="470" w:firstLineChars="147"/>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（四）负责指导、管理全县对外文化（新闻出版版权）、广电、体育、旅游、文物的交流与合作，组织实施大型对外文化、广播电视、体育、旅游交流活动。</w:t>
      </w:r>
    </w:p>
    <w:p>
      <w:pPr>
        <w:spacing w:line="560" w:lineRule="exact"/>
        <w:ind w:firstLine="470" w:firstLineChars="147"/>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五）负责规范和监督文广体旅行业秩序和服务质量；受理文广体旅行业的举报投诉，维护经营者和消费者的合法权益；制定乡（镇）文化广播电视事业发展规划，实施全县重点和基层文化设施建设；指导文广体旅行业精神文明建设工作。</w:t>
      </w:r>
    </w:p>
    <w:p>
      <w:pPr>
        <w:spacing w:line="560" w:lineRule="exact"/>
        <w:ind w:firstLine="470" w:firstLineChars="147"/>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（六）组织开展全县文化艺术研究、文艺创作、大型文艺演出工作和艺术人才的培养教育；拟订非物质文化遗产保护规划，承担非物质文化遗产的保护工作。</w:t>
      </w:r>
    </w:p>
    <w:p>
      <w:pPr>
        <w:spacing w:line="560" w:lineRule="exact"/>
        <w:ind w:firstLine="470" w:firstLineChars="147"/>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（七）负责文物的保护管理工作，协调开展抢救性发掘考古工作，依法进行文物市场管理；负责全县图书文献资源的建设和开发利用；组织推动图书馆标准化、现代化建设。</w:t>
      </w:r>
    </w:p>
    <w:p>
      <w:pPr>
        <w:spacing w:line="560" w:lineRule="exact"/>
        <w:ind w:firstLine="470" w:firstLineChars="147"/>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八）负责管理全县广播电影电视事业；负责全县广播电视领域的公共服务体系及重大工程建设；指导县广播电视台及云南广电网络有限集团公司西畴支公司实施行业管理和工作；监督全县接收卫星传送的境内外广播电视节目；负责监管全县各类载体的视听节目，指导广播电视和信息网络视听节目服务的科技工作；负责广播电视节目的安全传输和播出；承担电影发行放映及农村电影放映工作。</w:t>
      </w:r>
    </w:p>
    <w:p>
      <w:pPr>
        <w:spacing w:line="560" w:lineRule="exact"/>
        <w:ind w:firstLine="470" w:firstLineChars="147"/>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九）负责管理全县的体育事业；贯彻实施《全民健身条例》，组织开展和指导群众性体育活动；监督实施国家体质健康标准；开展国民体质监测；负责全县体育设施的规划和建设；统筹规划全县竞技体育发展，管理全县体育竞技运动项目和业余训练工作；组织各类综合运动会；组织开展反兴奋剂工作；负责全县体育社团、等级裁判的资格审查及有关管理工作；组织开展体育领域科技研究和技术推广；负责全县体育彩票监督管理工作。</w:t>
      </w:r>
    </w:p>
    <w:p>
      <w:pPr>
        <w:spacing w:line="560" w:lineRule="exact"/>
        <w:ind w:firstLine="470" w:firstLineChars="147"/>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十）负责管理全县的旅游事业；拟订全县旅游业管理的实施意见、规章制度并督促实施；承担旅行社的审核、审批、登记、备案工作；负责全县旅游业相关配套设施的创建及旅游安全管理工作；拟订境内外旅游市场开发战略并组织相关宣传促销活动；组织全县旅游资源的调查、开发与保护，负责全县旅游项目的规划开发建设；负责全县旅游开发项目的宏观调控和管理，积极组织旅游项目储备和申报；负责实施旅游行政执法。</w:t>
      </w:r>
    </w:p>
    <w:p>
      <w:pPr>
        <w:spacing w:line="560" w:lineRule="exact"/>
        <w:ind w:firstLine="470" w:firstLineChars="147"/>
        <w:rPr>
          <w:rFonts w:ascii="方正仿宋_GBK" w:hAnsi="宋体" w:eastAsia="方正仿宋_GBK" w:cs="宋体"/>
          <w:bCs/>
          <w:color w:val="000000"/>
          <w:sz w:val="32"/>
          <w:szCs w:val="32"/>
        </w:rPr>
      </w:pPr>
      <w:r>
        <w:rPr>
          <w:rFonts w:hint="eastAsia" w:ascii="方正仿宋_GBK" w:hAnsi="宋体" w:eastAsia="方正仿宋_GBK" w:cs="宋体"/>
          <w:bCs/>
          <w:color w:val="000000"/>
          <w:sz w:val="32"/>
          <w:szCs w:val="32"/>
        </w:rPr>
        <w:t>（十一）承办县委、县人民政府和上级机关交办的其它事项。</w:t>
      </w:r>
    </w:p>
    <w:p>
      <w:pPr>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2.部门人员和车辆的编制及实有情况 </w:t>
      </w:r>
    </w:p>
    <w:p>
      <w:pPr>
        <w:spacing w:line="600" w:lineRule="exact"/>
        <w:ind w:firstLine="600" w:firstLineChars="200"/>
        <w:rPr>
          <w:rFonts w:ascii="方正仿宋_GBK" w:hAnsi="方正仿宋_GBK" w:eastAsia="方正仿宋_GBK" w:cs="方正仿宋_GBK"/>
          <w:kern w:val="0"/>
          <w:sz w:val="30"/>
          <w:szCs w:val="30"/>
        </w:rPr>
      </w:pPr>
      <w:r>
        <w:rPr>
          <w:rFonts w:hint="eastAsia" w:ascii="方正仿宋_GBK" w:hAnsi="方正仿宋_GBK" w:eastAsia="方正仿宋_GBK" w:cs="方正仿宋_GBK"/>
          <w:sz w:val="30"/>
          <w:szCs w:val="30"/>
        </w:rPr>
        <w:t>西畴县文化广电体育局部门2018年末实有人员编制</w:t>
      </w:r>
      <w:r>
        <w:rPr>
          <w:rFonts w:hint="eastAsia" w:ascii="方正仿宋_GBK" w:hAnsi="方正仿宋_GBK" w:eastAsia="方正仿宋_GBK" w:cs="方正仿宋_GBK"/>
          <w:sz w:val="30"/>
          <w:szCs w:val="30"/>
          <w:lang w:val="en-US" w:eastAsia="zh-CN"/>
        </w:rPr>
        <w:t>91</w:t>
      </w:r>
      <w:r>
        <w:rPr>
          <w:rFonts w:hint="eastAsia" w:ascii="方正仿宋_GBK" w:hAnsi="方正仿宋_GBK" w:eastAsia="方正仿宋_GBK" w:cs="方正仿宋_GBK"/>
          <w:kern w:val="0"/>
          <w:sz w:val="30"/>
          <w:szCs w:val="30"/>
        </w:rPr>
        <w:t>人。其中：行政编制</w:t>
      </w:r>
      <w:r>
        <w:rPr>
          <w:rFonts w:hint="eastAsia" w:ascii="方正仿宋_GBK" w:hAnsi="方正仿宋_GBK" w:eastAsia="方正仿宋_GBK" w:cs="方正仿宋_GBK"/>
          <w:sz w:val="30"/>
          <w:szCs w:val="30"/>
          <w:lang w:val="en-US" w:eastAsia="zh-CN"/>
        </w:rPr>
        <w:t>2</w:t>
      </w:r>
      <w:r>
        <w:rPr>
          <w:rFonts w:hint="eastAsia" w:ascii="方正仿宋_GBK" w:hAnsi="方正仿宋_GBK" w:eastAsia="方正仿宋_GBK" w:cs="方正仿宋_GBK"/>
          <w:kern w:val="0"/>
          <w:sz w:val="30"/>
          <w:szCs w:val="30"/>
        </w:rPr>
        <w:t>人（含行政工勤编制</w:t>
      </w: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kern w:val="0"/>
          <w:sz w:val="30"/>
          <w:szCs w:val="30"/>
        </w:rPr>
        <w:t>人），事业编制</w:t>
      </w:r>
      <w:r>
        <w:rPr>
          <w:rFonts w:hint="eastAsia" w:ascii="方正仿宋_GBK" w:hAnsi="方正仿宋_GBK" w:eastAsia="方正仿宋_GBK" w:cs="方正仿宋_GBK"/>
          <w:sz w:val="30"/>
          <w:szCs w:val="30"/>
          <w:lang w:val="en-US" w:eastAsia="zh-CN"/>
        </w:rPr>
        <w:t>89</w:t>
      </w:r>
      <w:r>
        <w:rPr>
          <w:rFonts w:hint="eastAsia" w:ascii="方正仿宋_GBK" w:hAnsi="方正仿宋_GBK" w:eastAsia="方正仿宋_GBK" w:cs="方正仿宋_GBK"/>
          <w:kern w:val="0"/>
          <w:sz w:val="30"/>
          <w:szCs w:val="30"/>
        </w:rPr>
        <w:t>人（含参公管理事业编制</w:t>
      </w:r>
      <w:r>
        <w:rPr>
          <w:rFonts w:hint="eastAsia" w:ascii="方正仿宋_GBK" w:hAnsi="方正仿宋_GBK" w:eastAsia="方正仿宋_GBK" w:cs="方正仿宋_GBK"/>
          <w:sz w:val="30"/>
          <w:szCs w:val="30"/>
          <w:lang w:val="en-US" w:eastAsia="zh-CN"/>
        </w:rPr>
        <w:t>10</w:t>
      </w:r>
      <w:r>
        <w:rPr>
          <w:rFonts w:hint="eastAsia" w:ascii="方正仿宋_GBK" w:hAnsi="方正仿宋_GBK" w:eastAsia="方正仿宋_GBK" w:cs="方正仿宋_GBK"/>
          <w:kern w:val="0"/>
          <w:sz w:val="30"/>
          <w:szCs w:val="30"/>
        </w:rPr>
        <w:t>人）；在职在编实有行政人员12人（含行政工勤人员</w:t>
      </w: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kern w:val="0"/>
          <w:sz w:val="30"/>
          <w:szCs w:val="30"/>
        </w:rPr>
        <w:t>人），事业人员</w:t>
      </w:r>
      <w:r>
        <w:rPr>
          <w:rFonts w:hint="eastAsia" w:ascii="方正仿宋_GBK" w:hAnsi="方正仿宋_GBK" w:eastAsia="方正仿宋_GBK" w:cs="方正仿宋_GBK"/>
          <w:sz w:val="30"/>
          <w:szCs w:val="30"/>
          <w:lang w:val="en-US" w:eastAsia="zh-CN"/>
        </w:rPr>
        <w:t>76</w:t>
      </w:r>
      <w:r>
        <w:rPr>
          <w:rFonts w:hint="eastAsia" w:ascii="方正仿宋_GBK" w:hAnsi="方正仿宋_GBK" w:eastAsia="方正仿宋_GBK" w:cs="方正仿宋_GBK"/>
          <w:kern w:val="0"/>
          <w:sz w:val="30"/>
          <w:szCs w:val="30"/>
        </w:rPr>
        <w:t>人（含参公管理事业人员</w:t>
      </w: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kern w:val="0"/>
          <w:sz w:val="30"/>
          <w:szCs w:val="30"/>
        </w:rPr>
        <w:t>人）。</w:t>
      </w:r>
    </w:p>
    <w:p>
      <w:pPr>
        <w:pStyle w:val="9"/>
        <w:spacing w:line="600" w:lineRule="exact"/>
        <w:ind w:left="420" w:firstLine="150" w:firstLineChars="50"/>
        <w:rPr>
          <w:rFonts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离退休人员</w:t>
      </w:r>
      <w:r>
        <w:rPr>
          <w:rFonts w:hint="eastAsia" w:ascii="方正仿宋_GBK" w:hAnsi="方正仿宋_GBK" w:eastAsia="方正仿宋_GBK" w:cs="方正仿宋_GBK"/>
          <w:sz w:val="30"/>
          <w:szCs w:val="30"/>
          <w:lang w:val="en-US" w:eastAsia="zh-CN"/>
        </w:rPr>
        <w:t>56</w:t>
      </w:r>
      <w:r>
        <w:rPr>
          <w:rFonts w:hint="eastAsia" w:ascii="方正仿宋_GBK" w:hAnsi="方正仿宋_GBK" w:eastAsia="方正仿宋_GBK" w:cs="方正仿宋_GBK"/>
          <w:kern w:val="0"/>
          <w:sz w:val="30"/>
          <w:szCs w:val="30"/>
        </w:rPr>
        <w:t>人。其中：退休</w:t>
      </w:r>
      <w:r>
        <w:rPr>
          <w:rFonts w:hint="eastAsia" w:ascii="方正仿宋_GBK" w:hAnsi="方正仿宋_GBK" w:eastAsia="方正仿宋_GBK" w:cs="方正仿宋_GBK"/>
          <w:sz w:val="30"/>
          <w:szCs w:val="30"/>
          <w:lang w:val="en-US" w:eastAsia="zh-CN"/>
        </w:rPr>
        <w:t>56</w:t>
      </w:r>
      <w:r>
        <w:rPr>
          <w:rFonts w:hint="eastAsia" w:ascii="方正仿宋_GBK" w:hAnsi="方正仿宋_GBK" w:eastAsia="方正仿宋_GBK" w:cs="方正仿宋_GBK"/>
          <w:kern w:val="0"/>
          <w:sz w:val="30"/>
          <w:szCs w:val="30"/>
        </w:rPr>
        <w:t>人。</w:t>
      </w:r>
    </w:p>
    <w:p>
      <w:pPr>
        <w:pStyle w:val="9"/>
        <w:spacing w:line="600" w:lineRule="exact"/>
        <w:ind w:left="420" w:firstLine="150" w:firstLineChars="50"/>
        <w:rPr>
          <w:rFonts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实有车辆编制</w:t>
      </w:r>
      <w:r>
        <w:rPr>
          <w:rFonts w:hint="eastAsia" w:ascii="方正仿宋_GBK" w:hAnsi="方正仿宋_GBK" w:eastAsia="方正仿宋_GBK" w:cs="方正仿宋_GBK"/>
          <w:sz w:val="30"/>
          <w:szCs w:val="30"/>
          <w:lang w:val="en-US" w:eastAsia="zh-CN"/>
        </w:rPr>
        <w:t>6</w:t>
      </w:r>
      <w:r>
        <w:rPr>
          <w:rFonts w:hint="eastAsia" w:ascii="方正仿宋_GBK" w:hAnsi="方正仿宋_GBK" w:eastAsia="方正仿宋_GBK" w:cs="方正仿宋_GBK"/>
          <w:kern w:val="0"/>
          <w:sz w:val="30"/>
          <w:szCs w:val="30"/>
        </w:rPr>
        <w:t>辆，在编实有车辆</w:t>
      </w:r>
      <w:r>
        <w:rPr>
          <w:rFonts w:hint="eastAsia" w:ascii="方正仿宋_GBK" w:hAnsi="方正仿宋_GBK" w:eastAsia="方正仿宋_GBK" w:cs="方正仿宋_GBK"/>
          <w:sz w:val="30"/>
          <w:szCs w:val="30"/>
          <w:lang w:val="en-US" w:eastAsia="zh-CN"/>
        </w:rPr>
        <w:t>6</w:t>
      </w:r>
      <w:r>
        <w:rPr>
          <w:rFonts w:hint="eastAsia" w:ascii="方正仿宋_GBK" w:hAnsi="方正仿宋_GBK" w:eastAsia="方正仿宋_GBK" w:cs="方正仿宋_GBK"/>
          <w:kern w:val="0"/>
          <w:sz w:val="30"/>
          <w:szCs w:val="30"/>
        </w:rPr>
        <w:t>辆。</w:t>
      </w:r>
    </w:p>
    <w:p>
      <w:pPr>
        <w:numPr>
          <w:ilvl w:val="0"/>
          <w:numId w:val="1"/>
        </w:numPr>
        <w:ind w:firstLine="300" w:firstLineChars="100"/>
        <w:rPr>
          <w:rFonts w:ascii="楷体" w:hAnsi="楷体" w:eastAsia="楷体" w:cs="楷体"/>
          <w:sz w:val="30"/>
          <w:szCs w:val="30"/>
        </w:rPr>
      </w:pPr>
      <w:r>
        <w:rPr>
          <w:rFonts w:hint="eastAsia" w:ascii="楷体" w:hAnsi="楷体" w:eastAsia="楷体" w:cs="楷体"/>
          <w:sz w:val="30"/>
          <w:szCs w:val="30"/>
        </w:rPr>
        <w:t>部门绩效目标的设立情况</w:t>
      </w:r>
    </w:p>
    <w:p>
      <w:pPr>
        <w:ind w:firstLine="600" w:firstLineChars="200"/>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根据我局主要工作职责，2018年分别设置绩效总目标和绩效具体目标：1.绩效总目标：按照国家政策、法规规定和中心实际情况，建立健全财务基础管理制度和约束机制，依法、有效地使用财政资金，提高财政资金使用效率，在完成职能目标中合理分配人、财、物，使之达到较高的工作效率和水平。2.绩效具体目标：下乡流动电影放映场数、影院放映影片收入、少数</w:t>
      </w:r>
      <w:r>
        <w:rPr>
          <w:rFonts w:hint="eastAsia" w:ascii="方正仿宋_GBK" w:hAnsi="方正仿宋_GBK" w:eastAsia="方正仿宋_GBK" w:cs="方正仿宋_GBK"/>
          <w:color w:val="333333"/>
          <w:sz w:val="30"/>
          <w:szCs w:val="30"/>
          <w:shd w:val="clear" w:color="auto" w:fill="FFFFFF"/>
          <w:lang w:val="en-US" w:eastAsia="zh-CN"/>
        </w:rPr>
        <w:t>民</w:t>
      </w:r>
      <w:r>
        <w:rPr>
          <w:rFonts w:hint="eastAsia" w:ascii="方正仿宋_GBK" w:hAnsi="方正仿宋_GBK" w:eastAsia="方正仿宋_GBK" w:cs="方正仿宋_GBK"/>
          <w:color w:val="333333"/>
          <w:sz w:val="30"/>
          <w:szCs w:val="30"/>
          <w:shd w:val="clear" w:color="auto" w:fill="FFFFFF"/>
        </w:rPr>
        <w:t>族影片译制合格率、电影放映覆盖率、全民电影观看人数、影片观影人次增长率、群众综合观看率、可持续影响指标、群众对影片放映内容满意度、群众对国家公共文化服务满意率。</w:t>
      </w:r>
    </w:p>
    <w:p>
      <w:pPr>
        <w:spacing w:line="360" w:lineRule="auto"/>
        <w:ind w:firstLine="450" w:firstLineChars="150"/>
        <w:rPr>
          <w:rFonts w:ascii="楷体" w:hAnsi="楷体" w:eastAsia="楷体" w:cs="楷体"/>
          <w:sz w:val="30"/>
          <w:szCs w:val="30"/>
        </w:rPr>
      </w:pPr>
      <w:r>
        <w:rPr>
          <w:rFonts w:hint="eastAsia" w:ascii="楷体" w:hAnsi="楷体" w:eastAsia="楷体" w:cs="楷体"/>
          <w:sz w:val="30"/>
          <w:szCs w:val="30"/>
        </w:rPr>
        <w:t>（三）部门整体收支情况</w:t>
      </w:r>
    </w:p>
    <w:p>
      <w:pPr>
        <w:widowControl/>
        <w:snapToGrid w:val="0"/>
        <w:spacing w:before="100" w:after="100" w:line="600" w:lineRule="exact"/>
        <w:ind w:firstLine="538"/>
        <w:jc w:val="left"/>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西畴文化广电体育局部门2018年度收入合计1586.77万元。其中：财政拨款收入1586.77万元，占总收入的100%；上级补助收入0万元，占总收入的0%；事业收入0万元，占总收入的0%；经营收入0万元，占总收入的0%；附属单位缴款收入0万元，占总收入的0%；其他收入0万元，占总收入的0%。与上年对比,收入减少8274.27万元，主要原因是项目</w:t>
      </w:r>
      <w:r>
        <w:rPr>
          <w:rFonts w:hint="eastAsia" w:ascii="方正仿宋_GBK" w:hAnsi="方正仿宋_GBK" w:eastAsia="方正仿宋_GBK" w:cs="方正仿宋_GBK"/>
          <w:sz w:val="30"/>
          <w:szCs w:val="30"/>
          <w:lang w:val="en-US" w:eastAsia="zh-CN"/>
        </w:rPr>
        <w:t>资金</w:t>
      </w:r>
      <w:r>
        <w:rPr>
          <w:rFonts w:hint="eastAsia" w:ascii="方正仿宋_GBK" w:hAnsi="方正仿宋_GBK" w:eastAsia="方正仿宋_GBK" w:cs="方正仿宋_GBK"/>
          <w:sz w:val="30"/>
          <w:szCs w:val="30"/>
        </w:rPr>
        <w:t>收入减少。</w:t>
      </w:r>
    </w:p>
    <w:p>
      <w:pPr>
        <w:spacing w:line="600" w:lineRule="exact"/>
        <w:ind w:firstLine="600" w:firstLineChars="200"/>
        <w:rPr>
          <w:rFonts w:ascii="方正仿宋_GBK" w:hAnsi="方正仿宋_GBK" w:eastAsia="方正仿宋_GBK" w:cs="方正仿宋_GBK"/>
          <w:kern w:val="0"/>
          <w:sz w:val="30"/>
          <w:szCs w:val="30"/>
        </w:rPr>
      </w:pPr>
      <w:r>
        <w:rPr>
          <w:rFonts w:hint="eastAsia" w:ascii="方正仿宋_GBK" w:hAnsi="方正仿宋_GBK" w:eastAsia="方正仿宋_GBK" w:cs="方正仿宋_GBK"/>
          <w:sz w:val="30"/>
          <w:szCs w:val="30"/>
        </w:rPr>
        <w:t>西畴县文化广电体育局部门2018年度支出合计5643.72万元。其中：</w:t>
      </w:r>
      <w:r>
        <w:rPr>
          <w:rFonts w:hint="eastAsia" w:ascii="方正仿宋_GBK" w:hAnsi="方正仿宋_GBK" w:eastAsia="方正仿宋_GBK" w:cs="方正仿宋_GBK"/>
          <w:kern w:val="0"/>
          <w:sz w:val="30"/>
          <w:szCs w:val="30"/>
        </w:rPr>
        <w:t>基本支出</w:t>
      </w:r>
      <w:r>
        <w:rPr>
          <w:rFonts w:hint="eastAsia" w:ascii="方正仿宋_GBK" w:hAnsi="方正仿宋_GBK" w:eastAsia="方正仿宋_GBK" w:cs="方正仿宋_GBK"/>
          <w:sz w:val="30"/>
          <w:szCs w:val="30"/>
        </w:rPr>
        <w:t>5496.60</w:t>
      </w:r>
      <w:r>
        <w:rPr>
          <w:rFonts w:hint="eastAsia" w:ascii="方正仿宋_GBK" w:hAnsi="方正仿宋_GBK" w:eastAsia="方正仿宋_GBK" w:cs="方正仿宋_GBK"/>
          <w:kern w:val="0"/>
          <w:sz w:val="30"/>
          <w:szCs w:val="30"/>
        </w:rPr>
        <w:t>万元，占总支出的</w:t>
      </w:r>
      <w:r>
        <w:rPr>
          <w:rFonts w:hint="eastAsia" w:ascii="方正仿宋_GBK" w:hAnsi="方正仿宋_GBK" w:eastAsia="方正仿宋_GBK" w:cs="方正仿宋_GBK"/>
          <w:sz w:val="30"/>
          <w:szCs w:val="30"/>
        </w:rPr>
        <w:t>97.4</w:t>
      </w:r>
      <w:r>
        <w:rPr>
          <w:rFonts w:hint="eastAsia" w:ascii="方正仿宋_GBK" w:hAnsi="方正仿宋_GBK" w:eastAsia="方正仿宋_GBK" w:cs="方正仿宋_GBK"/>
          <w:kern w:val="0"/>
          <w:sz w:val="30"/>
          <w:szCs w:val="30"/>
        </w:rPr>
        <w:t>％；项目支出</w:t>
      </w:r>
      <w:r>
        <w:rPr>
          <w:rFonts w:hint="eastAsia" w:ascii="方正仿宋_GBK" w:hAnsi="方正仿宋_GBK" w:eastAsia="方正仿宋_GBK" w:cs="方正仿宋_GBK"/>
          <w:sz w:val="30"/>
          <w:szCs w:val="30"/>
        </w:rPr>
        <w:t>147.12</w:t>
      </w:r>
      <w:r>
        <w:rPr>
          <w:rFonts w:hint="eastAsia" w:ascii="方正仿宋_GBK" w:hAnsi="方正仿宋_GBK" w:eastAsia="方正仿宋_GBK" w:cs="方正仿宋_GBK"/>
          <w:kern w:val="0"/>
          <w:sz w:val="30"/>
          <w:szCs w:val="30"/>
        </w:rPr>
        <w:t>万元，占总支出的</w:t>
      </w:r>
      <w:r>
        <w:rPr>
          <w:rFonts w:hint="eastAsia" w:ascii="方正仿宋_GBK" w:hAnsi="方正仿宋_GBK" w:eastAsia="方正仿宋_GBK" w:cs="方正仿宋_GBK"/>
          <w:sz w:val="30"/>
          <w:szCs w:val="30"/>
        </w:rPr>
        <w:t>2.6</w:t>
      </w:r>
      <w:r>
        <w:rPr>
          <w:rFonts w:hint="eastAsia" w:ascii="方正仿宋_GBK" w:hAnsi="方正仿宋_GBK" w:eastAsia="方正仿宋_GBK" w:cs="方正仿宋_GBK"/>
          <w:kern w:val="0"/>
          <w:sz w:val="30"/>
          <w:szCs w:val="30"/>
        </w:rPr>
        <w:t>％；上缴上级支出、经营支出、对附属单位补助支出共</w:t>
      </w:r>
      <w:r>
        <w:rPr>
          <w:rFonts w:hint="eastAsia" w:ascii="方正仿宋_GBK" w:hAnsi="方正仿宋_GBK" w:eastAsia="方正仿宋_GBK" w:cs="方正仿宋_GBK"/>
          <w:sz w:val="30"/>
          <w:szCs w:val="30"/>
        </w:rPr>
        <w:t>0</w:t>
      </w:r>
      <w:r>
        <w:rPr>
          <w:rFonts w:hint="eastAsia" w:ascii="方正仿宋_GBK" w:hAnsi="方正仿宋_GBK" w:eastAsia="方正仿宋_GBK" w:cs="方正仿宋_GBK"/>
          <w:kern w:val="0"/>
          <w:sz w:val="30"/>
          <w:szCs w:val="30"/>
        </w:rPr>
        <w:t>万元，占总支出的</w:t>
      </w:r>
      <w:r>
        <w:rPr>
          <w:rFonts w:hint="eastAsia" w:ascii="方正仿宋_GBK" w:hAnsi="方正仿宋_GBK" w:eastAsia="方正仿宋_GBK" w:cs="方正仿宋_GBK"/>
          <w:sz w:val="30"/>
          <w:szCs w:val="30"/>
        </w:rPr>
        <w:t>0</w:t>
      </w:r>
      <w:r>
        <w:rPr>
          <w:rFonts w:hint="eastAsia" w:ascii="方正仿宋_GBK" w:hAnsi="方正仿宋_GBK" w:eastAsia="方正仿宋_GBK" w:cs="方正仿宋_GBK"/>
          <w:kern w:val="0"/>
          <w:sz w:val="30"/>
          <w:szCs w:val="30"/>
        </w:rPr>
        <w:t>％。</w:t>
      </w:r>
      <w:r>
        <w:rPr>
          <w:rFonts w:hint="eastAsia" w:ascii="方正仿宋_GBK" w:hAnsi="方正仿宋_GBK" w:eastAsia="方正仿宋_GBK" w:cs="方正仿宋_GBK"/>
          <w:sz w:val="30"/>
          <w:szCs w:val="30"/>
        </w:rPr>
        <w:t>与上年对比，支出增加247.04万元,主要原因是随着项目进度加快需支付资金的增加。</w:t>
      </w:r>
    </w:p>
    <w:p>
      <w:pPr>
        <w:spacing w:line="360" w:lineRule="auto"/>
        <w:ind w:firstLine="450" w:firstLineChars="150"/>
        <w:rPr>
          <w:rFonts w:ascii="楷体" w:hAnsi="楷体" w:eastAsia="楷体" w:cs="楷体"/>
          <w:sz w:val="30"/>
          <w:szCs w:val="30"/>
        </w:rPr>
      </w:pPr>
      <w:r>
        <w:rPr>
          <w:rFonts w:hint="eastAsia" w:ascii="楷体" w:hAnsi="楷体" w:eastAsia="楷体" w:cs="楷体"/>
          <w:sz w:val="30"/>
          <w:szCs w:val="30"/>
        </w:rPr>
        <w:t>（四）部门预算管理制度建设情况</w:t>
      </w:r>
    </w:p>
    <w:p>
      <w:pPr>
        <w:spacing w:line="360" w:lineRule="auto"/>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color w:val="333333"/>
          <w:sz w:val="30"/>
          <w:szCs w:val="30"/>
          <w:shd w:val="clear" w:color="auto" w:fill="FFFFFF"/>
        </w:rPr>
        <w:t>遵守《中华人民共和国会计法》、《中华人民共和国预算法》、《事业单位财务规则》等国家法律法规外，还结合财务具体工作实际情况，进一步完善《西畴县文化广电体育局财务报销制度及流程》等内部管理制度，部门预算管理制度健全并有效执行。推行部门预算是建立规范科学的预算管理制度，保证财政资金分配和使用合理的基础。我局按照规定编制年度部门预算，报同级财政部门按法定程序审核、报批。部门预算由收入预算、支出预算组成。加强对本级财政预算安排的项目资金和上级补助资金的管理，建立健全项目的申报、论证、实施、评审及验收制度，保证项目的顺利实施。专项资金应实行项目管理，专款专用并建立专项资金绩效考核评价制度，提高资金使用效益。</w:t>
      </w:r>
    </w:p>
    <w:p>
      <w:pPr>
        <w:pStyle w:val="9"/>
        <w:autoSpaceDE w:val="0"/>
        <w:autoSpaceDN w:val="0"/>
        <w:spacing w:line="600" w:lineRule="exact"/>
        <w:ind w:left="420" w:firstLine="0" w:firstLineChars="0"/>
        <w:rPr>
          <w:rFonts w:ascii="黑体" w:hAnsi="黑体" w:eastAsia="黑体" w:cs="黑体"/>
          <w:sz w:val="30"/>
          <w:szCs w:val="30"/>
        </w:rPr>
      </w:pPr>
      <w:r>
        <w:rPr>
          <w:rFonts w:hint="eastAsia" w:ascii="黑体" w:hAnsi="黑体" w:eastAsia="黑体" w:cs="黑体"/>
          <w:sz w:val="30"/>
          <w:szCs w:val="30"/>
        </w:rPr>
        <w:t xml:space="preserve"> 二、绩效自评工作情况</w:t>
      </w:r>
    </w:p>
    <w:p>
      <w:pPr>
        <w:pStyle w:val="9"/>
        <w:autoSpaceDE w:val="0"/>
        <w:autoSpaceDN w:val="0"/>
        <w:spacing w:line="600" w:lineRule="exact"/>
        <w:ind w:left="420" w:firstLine="0" w:firstLineChars="0"/>
        <w:rPr>
          <w:rFonts w:ascii="楷体" w:hAnsi="楷体" w:eastAsia="楷体" w:cs="楷体"/>
          <w:sz w:val="30"/>
          <w:szCs w:val="30"/>
        </w:rPr>
      </w:pPr>
      <w:r>
        <w:rPr>
          <w:rFonts w:hint="eastAsia" w:ascii="楷体" w:hAnsi="楷体" w:eastAsia="楷体" w:cs="楷体"/>
          <w:sz w:val="30"/>
          <w:szCs w:val="30"/>
        </w:rPr>
        <w:t>（一）绩效自评的目的</w:t>
      </w:r>
    </w:p>
    <w:p>
      <w:pPr>
        <w:pStyle w:val="9"/>
        <w:autoSpaceDE w:val="0"/>
        <w:autoSpaceDN w:val="0"/>
        <w:spacing w:line="600" w:lineRule="exact"/>
        <w:ind w:left="420" w:firstLine="600"/>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通过项目绩效自评，掌握资金使用情况与预期目标，资金管理规范程度，资金使用成效，检验经费支出效率和效果，分析存在问题及原因，及时总结经验，改进管理措施，有效提高资金管理水平和使用效益。</w:t>
      </w:r>
    </w:p>
    <w:p>
      <w:pPr>
        <w:pStyle w:val="9"/>
        <w:autoSpaceDE w:val="0"/>
        <w:autoSpaceDN w:val="0"/>
        <w:spacing w:line="600" w:lineRule="exact"/>
        <w:ind w:left="420" w:firstLine="0" w:firstLineChars="0"/>
        <w:rPr>
          <w:rFonts w:ascii="楷体" w:hAnsi="楷体" w:eastAsia="楷体" w:cs="楷体"/>
          <w:color w:val="333333"/>
          <w:sz w:val="30"/>
          <w:szCs w:val="30"/>
          <w:shd w:val="clear" w:color="auto" w:fill="FFFFFF"/>
        </w:rPr>
      </w:pPr>
      <w:r>
        <w:rPr>
          <w:rFonts w:hint="eastAsia" w:ascii="楷体" w:hAnsi="楷体" w:eastAsia="楷体" w:cs="楷体"/>
          <w:color w:val="333333"/>
          <w:sz w:val="30"/>
          <w:szCs w:val="30"/>
          <w:shd w:val="clear" w:color="auto" w:fill="FFFFFF"/>
        </w:rPr>
        <w:t>（二）绩效自评指标</w:t>
      </w:r>
      <w:bookmarkStart w:id="0" w:name="_GoBack"/>
      <w:bookmarkEnd w:id="0"/>
    </w:p>
    <w:tbl>
      <w:tblPr>
        <w:tblStyle w:val="5"/>
        <w:tblpPr w:leftFromText="180" w:rightFromText="180" w:vertAnchor="text" w:horzAnchor="page" w:tblpX="1087" w:tblpY="1209"/>
        <w:tblOverlap w:val="never"/>
        <w:tblW w:w="14976" w:type="dxa"/>
        <w:tblInd w:w="0" w:type="dxa"/>
        <w:tblLayout w:type="fixed"/>
        <w:tblCellMar>
          <w:top w:w="0" w:type="dxa"/>
          <w:left w:w="0" w:type="dxa"/>
          <w:bottom w:w="0" w:type="dxa"/>
          <w:right w:w="0" w:type="dxa"/>
        </w:tblCellMar>
      </w:tblPr>
      <w:tblGrid>
        <w:gridCol w:w="14976"/>
      </w:tblGrid>
      <w:tr>
        <w:tblPrEx>
          <w:tblLayout w:type="fixed"/>
          <w:tblCellMar>
            <w:top w:w="0" w:type="dxa"/>
            <w:left w:w="0" w:type="dxa"/>
            <w:bottom w:w="0" w:type="dxa"/>
            <w:right w:w="0" w:type="dxa"/>
          </w:tblCellMar>
        </w:tblPrEx>
        <w:trPr>
          <w:trHeight w:val="1059" w:hRule="atLeast"/>
        </w:trPr>
        <w:tc>
          <w:tcPr>
            <w:tcW w:w="14976" w:type="dxa"/>
            <w:tcBorders>
              <w:top w:val="nil"/>
              <w:left w:val="nil"/>
              <w:bottom w:val="nil"/>
              <w:right w:val="nil"/>
            </w:tcBorders>
            <w:shd w:val="clear" w:color="auto" w:fill="auto"/>
            <w:tcMar>
              <w:top w:w="15" w:type="dxa"/>
              <w:left w:w="15" w:type="dxa"/>
              <w:right w:w="15" w:type="dxa"/>
            </w:tcMar>
            <w:vAlign w:val="center"/>
          </w:tcPr>
          <w:p>
            <w:pPr>
              <w:widowControl/>
              <w:ind w:firstLine="5436" w:firstLineChars="1504"/>
              <w:textAlignment w:val="center"/>
              <w:rPr>
                <w:rFonts w:ascii="宋体" w:hAnsi="宋体" w:eastAsia="宋体" w:cs="宋体"/>
                <w:b/>
                <w:color w:val="000000"/>
                <w:kern w:val="0"/>
                <w:sz w:val="36"/>
                <w:szCs w:val="36"/>
              </w:rPr>
            </w:pPr>
            <w:r>
              <w:rPr>
                <w:rFonts w:hint="eastAsia" w:ascii="宋体" w:hAnsi="宋体" w:eastAsia="宋体" w:cs="宋体"/>
                <w:b/>
                <w:color w:val="000000"/>
                <w:kern w:val="0"/>
                <w:sz w:val="36"/>
                <w:szCs w:val="36"/>
              </w:rPr>
              <w:t xml:space="preserve">项目支出绩效自评 </w:t>
            </w:r>
          </w:p>
          <w:tbl>
            <w:tblPr>
              <w:tblStyle w:val="5"/>
              <w:tblW w:w="13116" w:type="dxa"/>
              <w:tblInd w:w="0" w:type="dxa"/>
              <w:tblLayout w:type="fixed"/>
              <w:tblCellMar>
                <w:top w:w="0" w:type="dxa"/>
                <w:left w:w="108" w:type="dxa"/>
                <w:bottom w:w="0" w:type="dxa"/>
                <w:right w:w="108" w:type="dxa"/>
              </w:tblCellMar>
            </w:tblPr>
            <w:tblGrid>
              <w:gridCol w:w="988"/>
              <w:gridCol w:w="1701"/>
              <w:gridCol w:w="1417"/>
              <w:gridCol w:w="1454"/>
              <w:gridCol w:w="1239"/>
              <w:gridCol w:w="1134"/>
              <w:gridCol w:w="851"/>
              <w:gridCol w:w="2693"/>
              <w:gridCol w:w="1639"/>
            </w:tblGrid>
            <w:tr>
              <w:tblPrEx>
                <w:tblLayout w:type="fixed"/>
                <w:tblCellMar>
                  <w:top w:w="0" w:type="dxa"/>
                  <w:left w:w="108" w:type="dxa"/>
                  <w:bottom w:w="0" w:type="dxa"/>
                  <w:right w:w="108" w:type="dxa"/>
                </w:tblCellMar>
              </w:tblPrEx>
              <w:trPr>
                <w:trHeight w:val="499" w:hRule="atLeast"/>
              </w:trPr>
              <w:tc>
                <w:tcPr>
                  <w:tcW w:w="9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一级指标</w:t>
                  </w:r>
                </w:p>
              </w:tc>
              <w:tc>
                <w:tcPr>
                  <w:tcW w:w="1701"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二级指标</w:t>
                  </w:r>
                </w:p>
              </w:tc>
              <w:tc>
                <w:tcPr>
                  <w:tcW w:w="1417"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三级级指标</w:t>
                  </w:r>
                </w:p>
              </w:tc>
              <w:tc>
                <w:tcPr>
                  <w:tcW w:w="14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指标值（项目绩效目标预计完成情况）</w:t>
                  </w:r>
                </w:p>
              </w:tc>
              <w:tc>
                <w:tcPr>
                  <w:tcW w:w="12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执行完毕绩效指标</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上年绩效指标完成情况</w:t>
                  </w:r>
                </w:p>
              </w:tc>
              <w:tc>
                <w:tcPr>
                  <w:tcW w:w="35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绩效指标完成情况分析</w:t>
                  </w:r>
                </w:p>
              </w:tc>
              <w:tc>
                <w:tcPr>
                  <w:tcW w:w="16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情况说明</w:t>
                  </w:r>
                </w:p>
              </w:tc>
            </w:tr>
            <w:tr>
              <w:tblPrEx>
                <w:tblLayout w:type="fixed"/>
                <w:tblCellMar>
                  <w:top w:w="0" w:type="dxa"/>
                  <w:left w:w="108" w:type="dxa"/>
                  <w:bottom w:w="0" w:type="dxa"/>
                  <w:right w:w="108" w:type="dxa"/>
                </w:tblCellMar>
              </w:tblPrEx>
              <w:trPr>
                <w:trHeight w:val="499" w:hRule="atLeast"/>
              </w:trPr>
              <w:tc>
                <w:tcPr>
                  <w:tcW w:w="9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701" w:type="dxa"/>
                  <w:vMerge w:val="continue"/>
                  <w:tcBorders>
                    <w:top w:val="single" w:color="auto" w:sz="4" w:space="0"/>
                    <w:left w:val="single" w:color="auto" w:sz="4" w:space="0"/>
                    <w:bottom w:val="nil"/>
                    <w:right w:val="single" w:color="auto" w:sz="4" w:space="0"/>
                  </w:tcBorders>
                  <w:vAlign w:val="center"/>
                </w:tcPr>
                <w:p>
                  <w:pPr>
                    <w:widowControl/>
                    <w:jc w:val="left"/>
                    <w:rPr>
                      <w:rFonts w:cs="Arial" w:asciiTheme="minorEastAsia" w:hAnsiTheme="minorEastAsia"/>
                      <w:color w:val="000000"/>
                      <w:kern w:val="0"/>
                      <w:sz w:val="22"/>
                    </w:rPr>
                  </w:pPr>
                </w:p>
              </w:tc>
              <w:tc>
                <w:tcPr>
                  <w:tcW w:w="1417" w:type="dxa"/>
                  <w:vMerge w:val="continue"/>
                  <w:tcBorders>
                    <w:top w:val="single" w:color="auto" w:sz="4" w:space="0"/>
                    <w:left w:val="single" w:color="auto" w:sz="4" w:space="0"/>
                    <w:bottom w:val="nil"/>
                    <w:right w:val="single" w:color="auto" w:sz="4" w:space="0"/>
                  </w:tcBorders>
                  <w:vAlign w:val="center"/>
                </w:tcPr>
                <w:p>
                  <w:pPr>
                    <w:widowControl/>
                    <w:jc w:val="left"/>
                    <w:rPr>
                      <w:rFonts w:cs="Arial" w:asciiTheme="minorEastAsia" w:hAnsiTheme="minorEastAsia"/>
                      <w:color w:val="000000"/>
                      <w:kern w:val="0"/>
                      <w:sz w:val="22"/>
                    </w:rPr>
                  </w:pPr>
                </w:p>
              </w:tc>
              <w:tc>
                <w:tcPr>
                  <w:tcW w:w="14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 w:val="22"/>
                    </w:rPr>
                  </w:pPr>
                </w:p>
              </w:tc>
              <w:tc>
                <w:tcPr>
                  <w:tcW w:w="12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完成率</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完成质量</w:t>
                  </w:r>
                </w:p>
              </w:tc>
              <w:tc>
                <w:tcPr>
                  <w:tcW w:w="163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540" w:hRule="atLeast"/>
              </w:trPr>
              <w:tc>
                <w:tcPr>
                  <w:tcW w:w="9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产出指标</w:t>
                  </w:r>
                </w:p>
              </w:tc>
              <w:tc>
                <w:tcPr>
                  <w:tcW w:w="1701" w:type="dxa"/>
                  <w:tcBorders>
                    <w:top w:val="single" w:color="auto" w:sz="4" w:space="0"/>
                    <w:left w:val="nil"/>
                    <w:bottom w:val="nil"/>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数量指标</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下乡流动电影放映场数</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≥828场</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≥828场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≥828场</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540"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70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质量指标</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影院放映影片收入</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92%</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92%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92%</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92%</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636"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少数</w:t>
                  </w:r>
                  <w:r>
                    <w:rPr>
                      <w:rFonts w:hint="eastAsia" w:cs="Arial" w:asciiTheme="minorEastAsia" w:hAnsiTheme="minorEastAsia"/>
                      <w:color w:val="000000"/>
                      <w:kern w:val="0"/>
                      <w:sz w:val="22"/>
                      <w:lang w:val="en-US" w:eastAsia="zh-CN"/>
                    </w:rPr>
                    <w:t>民</w:t>
                  </w:r>
                  <w:r>
                    <w:rPr>
                      <w:rFonts w:hint="eastAsia" w:cs="Arial" w:asciiTheme="minorEastAsia" w:hAnsiTheme="minorEastAsia"/>
                      <w:color w:val="000000"/>
                      <w:kern w:val="0"/>
                      <w:sz w:val="22"/>
                    </w:rPr>
                    <w:t>族影片译制合格率</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540"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电影放映覆盖率</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540" w:hRule="atLeast"/>
              </w:trPr>
              <w:tc>
                <w:tcPr>
                  <w:tcW w:w="9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效益指标</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社会效益指标</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全民电影观看人数</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≥107640人</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≥107640人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≥107640人</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95%</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540"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影片观影人次增长</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540"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群众综合观看率</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≥80%</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≥80%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≥80%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540"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可持续影响指标</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有效改善</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有效改善</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有效改善</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810"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群众对影片放映内容满意度</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逐年提升</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逐年提升</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逐年提升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795"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满意度指标</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服务对象满意度指标</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群众对国家公共文化服务满意度</w:t>
                  </w:r>
                </w:p>
              </w:tc>
              <w:tc>
                <w:tcPr>
                  <w:tcW w:w="145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≥90%</w:t>
                  </w:r>
                </w:p>
              </w:tc>
              <w:tc>
                <w:tcPr>
                  <w:tcW w:w="12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≥90%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≥90%</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100%</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较好</w:t>
                  </w:r>
                </w:p>
              </w:tc>
              <w:tc>
                <w:tcPr>
                  <w:tcW w:w="1639"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Layout w:type="fixed"/>
                <w:tblCellMar>
                  <w:top w:w="0" w:type="dxa"/>
                  <w:left w:w="108" w:type="dxa"/>
                  <w:bottom w:w="0" w:type="dxa"/>
                  <w:right w:w="108" w:type="dxa"/>
                </w:tblCellMar>
              </w:tblPrEx>
              <w:trPr>
                <w:trHeight w:val="900" w:hRule="atLeast"/>
              </w:trPr>
              <w:tc>
                <w:tcPr>
                  <w:tcW w:w="9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1.项目成本性分析</w:t>
                  </w:r>
                </w:p>
              </w:tc>
              <w:tc>
                <w:tcPr>
                  <w:tcW w:w="311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项目是否有节支增效的改进措施</w:t>
                  </w:r>
                </w:p>
              </w:tc>
              <w:tc>
                <w:tcPr>
                  <w:tcW w:w="90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根据年终考核结果，对项目实施进行绩效评价，将结果运用到下一度年资金安排过程</w:t>
                  </w:r>
                </w:p>
              </w:tc>
            </w:tr>
            <w:tr>
              <w:tblPrEx>
                <w:tblLayout w:type="fixed"/>
                <w:tblCellMar>
                  <w:top w:w="0" w:type="dxa"/>
                  <w:left w:w="108" w:type="dxa"/>
                  <w:bottom w:w="0" w:type="dxa"/>
                  <w:right w:w="108" w:type="dxa"/>
                </w:tblCellMar>
              </w:tblPrEx>
              <w:trPr>
                <w:trHeight w:val="859"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311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项目是否有规范的内控机制</w:t>
                  </w:r>
                </w:p>
              </w:tc>
              <w:tc>
                <w:tcPr>
                  <w:tcW w:w="90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按照相关规定，不断完善我局财务制度以及专项资金管理办法。</w:t>
                  </w:r>
                </w:p>
              </w:tc>
            </w:tr>
            <w:tr>
              <w:tblPrEx>
                <w:tblLayout w:type="fixed"/>
                <w:tblCellMar>
                  <w:top w:w="0" w:type="dxa"/>
                  <w:left w:w="108" w:type="dxa"/>
                  <w:bottom w:w="0" w:type="dxa"/>
                  <w:right w:w="108" w:type="dxa"/>
                </w:tblCellMar>
              </w:tblPrEx>
              <w:trPr>
                <w:trHeight w:val="937"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311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项目是否达到标准的质量管理管理水平</w:t>
                  </w:r>
                </w:p>
              </w:tc>
              <w:tc>
                <w:tcPr>
                  <w:tcW w:w="90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达到标准质量管理水平</w:t>
                  </w:r>
                </w:p>
              </w:tc>
            </w:tr>
            <w:tr>
              <w:tblPrEx>
                <w:tblLayout w:type="fixed"/>
                <w:tblCellMar>
                  <w:top w:w="0" w:type="dxa"/>
                  <w:left w:w="108" w:type="dxa"/>
                  <w:bottom w:w="0" w:type="dxa"/>
                  <w:right w:w="108" w:type="dxa"/>
                </w:tblCellMar>
              </w:tblPrEx>
              <w:trPr>
                <w:trHeight w:val="720" w:hRule="atLeast"/>
              </w:trPr>
              <w:tc>
                <w:tcPr>
                  <w:tcW w:w="9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2.项目效率性分析</w:t>
                  </w:r>
                </w:p>
              </w:tc>
              <w:tc>
                <w:tcPr>
                  <w:tcW w:w="3118" w:type="dxa"/>
                  <w:gridSpan w:val="2"/>
                  <w:tcBorders>
                    <w:top w:val="single" w:color="auto" w:sz="4" w:space="0"/>
                    <w:left w:val="nil"/>
                    <w:bottom w:val="nil"/>
                    <w:right w:val="single" w:color="000000"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完成的及时性</w:t>
                  </w:r>
                </w:p>
              </w:tc>
              <w:tc>
                <w:tcPr>
                  <w:tcW w:w="90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按时完成</w:t>
                  </w:r>
                </w:p>
              </w:tc>
            </w:tr>
            <w:tr>
              <w:tblPrEx>
                <w:tblLayout w:type="fixed"/>
                <w:tblCellMar>
                  <w:top w:w="0" w:type="dxa"/>
                  <w:left w:w="108" w:type="dxa"/>
                  <w:bottom w:w="0" w:type="dxa"/>
                  <w:right w:w="108" w:type="dxa"/>
                </w:tblCellMar>
              </w:tblPrEx>
              <w:trPr>
                <w:trHeight w:val="522" w:hRule="atLeast"/>
              </w:trPr>
              <w:tc>
                <w:tcPr>
                  <w:tcW w:w="988" w:type="dxa"/>
                  <w:vMerge w:val="continue"/>
                  <w:tcBorders>
                    <w:top w:val="nil"/>
                    <w:left w:val="single" w:color="auto" w:sz="4" w:space="0"/>
                    <w:bottom w:val="single" w:color="000000" w:sz="4" w:space="0"/>
                    <w:right w:val="single" w:color="auto" w:sz="4" w:space="0"/>
                  </w:tcBorders>
                  <w:vAlign w:val="center"/>
                </w:tcPr>
                <w:p>
                  <w:pPr>
                    <w:widowControl/>
                    <w:jc w:val="left"/>
                    <w:rPr>
                      <w:rFonts w:cs="Arial" w:asciiTheme="minorEastAsia" w:hAnsiTheme="minorEastAsia"/>
                      <w:color w:val="000000"/>
                      <w:kern w:val="0"/>
                      <w:sz w:val="22"/>
                    </w:rPr>
                  </w:pPr>
                </w:p>
              </w:tc>
              <w:tc>
                <w:tcPr>
                  <w:tcW w:w="3118" w:type="dxa"/>
                  <w:gridSpan w:val="2"/>
                  <w:tcBorders>
                    <w:top w:val="nil"/>
                    <w:left w:val="nil"/>
                    <w:bottom w:val="single" w:color="auto" w:sz="4" w:space="0"/>
                    <w:right w:val="single" w:color="000000"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验收的有效性</w:t>
                  </w:r>
                </w:p>
              </w:tc>
              <w:tc>
                <w:tcPr>
                  <w:tcW w:w="90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2019年2月完成项目的验收及绩效自评</w:t>
                  </w:r>
                </w:p>
              </w:tc>
            </w:tr>
            <w:tr>
              <w:tblPrEx>
                <w:tblLayout w:type="fixed"/>
                <w:tblCellMar>
                  <w:top w:w="0" w:type="dxa"/>
                  <w:left w:w="108" w:type="dxa"/>
                  <w:bottom w:w="0" w:type="dxa"/>
                  <w:right w:w="108" w:type="dxa"/>
                </w:tblCellMar>
              </w:tblPrEx>
              <w:trPr>
                <w:trHeight w:val="688" w:hRule="atLeast"/>
              </w:trPr>
              <w:tc>
                <w:tcPr>
                  <w:tcW w:w="410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自评结论</w:t>
                  </w:r>
                </w:p>
              </w:tc>
              <w:tc>
                <w:tcPr>
                  <w:tcW w:w="901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bl>
          <w:p>
            <w:pPr>
              <w:widowControl/>
              <w:textAlignment w:val="center"/>
              <w:rPr>
                <w:rFonts w:ascii="宋体" w:hAnsi="宋体" w:eastAsia="宋体" w:cs="宋体"/>
                <w:b/>
                <w:color w:val="000000"/>
                <w:sz w:val="36"/>
                <w:szCs w:val="36"/>
              </w:rPr>
            </w:pPr>
          </w:p>
        </w:tc>
      </w:tr>
    </w:tbl>
    <w:p>
      <w:pPr>
        <w:pStyle w:val="9"/>
        <w:autoSpaceDE w:val="0"/>
        <w:autoSpaceDN w:val="0"/>
        <w:spacing w:line="600" w:lineRule="exact"/>
        <w:ind w:firstLine="600"/>
        <w:rPr>
          <w:rFonts w:ascii="楷体" w:hAnsi="楷体" w:eastAsia="楷体" w:cs="楷体"/>
          <w:sz w:val="30"/>
          <w:szCs w:val="30"/>
        </w:rPr>
      </w:pPr>
      <w:r>
        <w:rPr>
          <w:rFonts w:hint="eastAsia" w:ascii="楷体" w:hAnsi="楷体" w:eastAsia="楷体" w:cs="楷体"/>
          <w:sz w:val="30"/>
          <w:szCs w:val="30"/>
        </w:rPr>
        <w:t>（三）自评组织过程</w:t>
      </w:r>
    </w:p>
    <w:p>
      <w:pPr>
        <w:autoSpaceDE w:val="0"/>
        <w:autoSpaceDN w:val="0"/>
        <w:spacing w:line="600" w:lineRule="exact"/>
        <w:ind w:left="64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1.前期准备</w:t>
      </w:r>
    </w:p>
    <w:p>
      <w:pPr>
        <w:autoSpaceDE w:val="0"/>
        <w:autoSpaceDN w:val="0"/>
        <w:spacing w:line="60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color w:val="333333"/>
          <w:sz w:val="30"/>
          <w:szCs w:val="30"/>
          <w:shd w:val="clear" w:color="auto" w:fill="FFFFFF"/>
        </w:rPr>
        <w:t>召开绩效自评工作专题会议，明确分工，把握绩效自评标准和要求，对列入自评的项目进行梳理确定绩效自评项目，开展绩效自评工作并编写项目支出绩效自评报告。</w:t>
      </w:r>
    </w:p>
    <w:p>
      <w:pPr>
        <w:autoSpaceDE w:val="0"/>
        <w:autoSpaceDN w:val="0"/>
        <w:spacing w:line="60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2.组织实施</w:t>
      </w:r>
    </w:p>
    <w:p>
      <w:pPr>
        <w:autoSpaceDE w:val="0"/>
        <w:autoSpaceDN w:val="0"/>
        <w:spacing w:line="600" w:lineRule="exact"/>
        <w:ind w:firstLine="600" w:firstLineChars="200"/>
        <w:rPr>
          <w:rFonts w:ascii="方正仿宋_GBK" w:hAnsi="方正仿宋_GBK" w:eastAsia="方正仿宋_GBK" w:cs="方正仿宋_GBK"/>
          <w:color w:val="333333"/>
          <w:sz w:val="30"/>
          <w:szCs w:val="30"/>
        </w:rPr>
      </w:pPr>
      <w:r>
        <w:rPr>
          <w:rFonts w:hint="eastAsia" w:ascii="方正仿宋_GBK" w:hAnsi="方正仿宋_GBK" w:eastAsia="方正仿宋_GBK" w:cs="方正仿宋_GBK"/>
          <w:color w:val="333333"/>
          <w:sz w:val="30"/>
          <w:szCs w:val="30"/>
          <w:shd w:val="clear" w:color="auto" w:fill="FFFFFF"/>
        </w:rPr>
        <w:t>明确任务分工，加强督促指导，确保项目绩效自评严格按照工作方案有序进行。认真准备相关资料，深入客观进行分析评价，在各项目分工自评的基础上统一分类汇总，高质量地完成项目绩效自评工作。</w:t>
      </w:r>
    </w:p>
    <w:p>
      <w:pPr>
        <w:pStyle w:val="4"/>
        <w:widowControl/>
        <w:numPr>
          <w:ilvl w:val="0"/>
          <w:numId w:val="2"/>
        </w:numPr>
        <w:spacing w:after="0" w:line="600" w:lineRule="exact"/>
        <w:ind w:firstLine="600" w:firstLineChars="200"/>
        <w:jc w:val="both"/>
        <w:rPr>
          <w:rFonts w:ascii="黑体" w:hAnsi="黑体" w:eastAsia="黑体" w:cs="黑体"/>
          <w:kern w:val="2"/>
          <w:sz w:val="30"/>
          <w:szCs w:val="30"/>
        </w:rPr>
      </w:pPr>
      <w:r>
        <w:rPr>
          <w:rFonts w:hint="eastAsia" w:ascii="黑体" w:hAnsi="黑体" w:eastAsia="黑体" w:cs="黑体"/>
          <w:kern w:val="2"/>
          <w:sz w:val="30"/>
          <w:szCs w:val="30"/>
        </w:rPr>
        <w:t>评价情况分析及综合评价结论</w:t>
      </w:r>
    </w:p>
    <w:p>
      <w:pPr>
        <w:pStyle w:val="4"/>
        <w:widowControl/>
        <w:spacing w:after="0" w:line="600" w:lineRule="exact"/>
        <w:ind w:firstLine="600" w:firstLineChars="200"/>
        <w:jc w:val="both"/>
        <w:rPr>
          <w:rFonts w:ascii="楷体" w:hAnsi="楷体" w:eastAsia="楷体" w:cs="楷体"/>
          <w:color w:val="333333"/>
          <w:sz w:val="30"/>
          <w:szCs w:val="30"/>
          <w:shd w:val="clear" w:color="auto" w:fill="FFFFFF"/>
        </w:rPr>
      </w:pPr>
      <w:r>
        <w:rPr>
          <w:rFonts w:hint="eastAsia" w:ascii="楷体" w:hAnsi="楷体" w:eastAsia="楷体" w:cs="楷体"/>
          <w:color w:val="333333"/>
          <w:sz w:val="30"/>
          <w:szCs w:val="30"/>
          <w:shd w:val="clear" w:color="auto" w:fill="FFFFFF"/>
        </w:rPr>
        <w:t>（一）项目投入情况分析</w:t>
      </w:r>
    </w:p>
    <w:p>
      <w:pPr>
        <w:pStyle w:val="4"/>
        <w:widowControl/>
        <w:spacing w:after="0" w:line="600" w:lineRule="exac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我局2018年项目投入共计147.12万元，资助城市影院、电影事业发展专项资金、体育事业彩票公益金3个项目，通过项目的实施，保障了群众基本公共文化服务，确保能够正常观看电影下乡播放，逐年增强群众文化意识。</w:t>
      </w:r>
    </w:p>
    <w:p>
      <w:pPr>
        <w:pStyle w:val="4"/>
        <w:widowControl/>
        <w:spacing w:after="0" w:line="600" w:lineRule="exact"/>
        <w:ind w:left="210" w:leftChars="100" w:firstLine="300" w:firstLineChars="100"/>
        <w:jc w:val="both"/>
        <w:rPr>
          <w:rFonts w:ascii="楷体" w:hAnsi="楷体" w:eastAsia="楷体" w:cs="楷体"/>
          <w:color w:val="333333"/>
          <w:sz w:val="30"/>
          <w:szCs w:val="30"/>
          <w:shd w:val="clear" w:color="auto" w:fill="FFFFFF"/>
        </w:rPr>
      </w:pPr>
      <w:r>
        <w:rPr>
          <w:rFonts w:hint="eastAsia" w:ascii="楷体" w:hAnsi="楷体" w:eastAsia="楷体" w:cs="楷体"/>
          <w:color w:val="333333"/>
          <w:sz w:val="30"/>
          <w:szCs w:val="30"/>
          <w:shd w:val="clear" w:color="auto" w:fill="FFFFFF"/>
        </w:rPr>
        <w:t>（二）预算过程情况分析</w:t>
      </w:r>
    </w:p>
    <w:p>
      <w:pPr>
        <w:pStyle w:val="4"/>
        <w:widowControl/>
        <w:spacing w:after="0" w:line="600" w:lineRule="exact"/>
        <w:ind w:left="510" w:firstLine="300" w:firstLineChars="1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1.预算配置</w:t>
      </w:r>
    </w:p>
    <w:p>
      <w:pPr>
        <w:pStyle w:val="4"/>
        <w:widowControl/>
        <w:shd w:val="clear" w:color="auto" w:fill="FFFFFF"/>
        <w:spacing w:before="330" w:after="0" w:line="360" w:lineRule="atLeas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（1）分配依据：2018年度部门预算依据以前年度项目支出情况以及本部门职能职责编制，做到有依有据。</w:t>
      </w:r>
    </w:p>
    <w:p>
      <w:pPr>
        <w:pStyle w:val="4"/>
        <w:widowControl/>
        <w:shd w:val="clear" w:color="auto" w:fill="FFFFFF"/>
        <w:spacing w:before="330" w:after="0" w:line="360" w:lineRule="atLeas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（2）重点支出保障：2018年度部门预算根据单位职能职责，对重点工作重点保障，做到资金使用主次分明，实现效益最大化。</w:t>
      </w:r>
    </w:p>
    <w:p>
      <w:pPr>
        <w:pStyle w:val="4"/>
        <w:widowControl/>
        <w:shd w:val="clear" w:color="auto" w:fill="FFFFFF"/>
        <w:spacing w:before="330" w:after="0" w:line="360" w:lineRule="atLeas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（3）基本支出保障：2018年度部门预算根据单位实际情况，对基本支出足额保障，保证单位的工作正常运转。</w:t>
      </w:r>
    </w:p>
    <w:p>
      <w:pPr>
        <w:pStyle w:val="4"/>
        <w:widowControl/>
        <w:shd w:val="clear" w:color="auto" w:fill="FFFFFF"/>
        <w:spacing w:before="330" w:after="0" w:line="360" w:lineRule="atLeas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2.预算执行</w:t>
      </w:r>
    </w:p>
    <w:p>
      <w:pPr>
        <w:pStyle w:val="4"/>
        <w:widowControl/>
        <w:shd w:val="clear" w:color="auto" w:fill="FFFFFF"/>
        <w:spacing w:before="330" w:after="0" w:line="360" w:lineRule="atLeas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2018年部门预算涉及3个项目，总额为147.12万元，支出147.12万元。2018年前三季度支出进度率为60%。截止2018年12月31日，项目资金已支付完毕。</w:t>
      </w:r>
    </w:p>
    <w:p>
      <w:pPr>
        <w:pStyle w:val="4"/>
        <w:widowControl/>
        <w:shd w:val="clear" w:color="auto" w:fill="FFFFFF"/>
        <w:spacing w:before="330" w:after="0" w:line="360" w:lineRule="atLeast"/>
        <w:ind w:left="51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3.预算管理</w:t>
      </w:r>
    </w:p>
    <w:p>
      <w:pPr>
        <w:pStyle w:val="4"/>
        <w:widowControl/>
        <w:shd w:val="clear" w:color="auto" w:fill="FFFFFF"/>
        <w:spacing w:before="330" w:after="0" w:line="360" w:lineRule="atLeas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（1）预决算信息公开情况：2018年度严格按照相关要求及时完整的统一在文山州财政局门户网站上公开预决算信息。</w:t>
      </w:r>
    </w:p>
    <w:p>
      <w:pPr>
        <w:pStyle w:val="4"/>
        <w:widowControl/>
        <w:shd w:val="clear" w:color="auto" w:fill="FFFFFF"/>
        <w:spacing w:before="330" w:after="0" w:line="360" w:lineRule="atLeas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（2）资金使用合规性：专项资金管理严格执行相关资金管理制度。根据单位实际情况制定并完善了相关内部管理制度。资金的使用符合部门预算批复的用途，不存在截留、挤占、挪用、虚列支出等情况。</w:t>
      </w:r>
    </w:p>
    <w:p>
      <w:pPr>
        <w:pStyle w:val="4"/>
        <w:widowControl/>
        <w:shd w:val="clear" w:color="auto" w:fill="FFFFFF"/>
        <w:spacing w:before="330" w:after="0" w:line="360" w:lineRule="atLeast"/>
        <w:ind w:firstLine="600" w:firstLineChars="200"/>
        <w:jc w:val="both"/>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（3）资产管理规范性：在资产管理方面，严格按照规定程序审批，做到购置有预算，实物有专人管理，处置按流程。对报废办公设备及时报批，及时核销。固定资产在用比率为100%。</w:t>
      </w:r>
    </w:p>
    <w:p>
      <w:pPr>
        <w:pStyle w:val="9"/>
        <w:autoSpaceDE w:val="0"/>
        <w:autoSpaceDN w:val="0"/>
        <w:spacing w:line="600" w:lineRule="exact"/>
        <w:ind w:firstLine="600"/>
        <w:rPr>
          <w:rFonts w:ascii="黑体" w:hAnsi="黑体" w:eastAsia="黑体" w:cs="黑体"/>
          <w:sz w:val="30"/>
          <w:szCs w:val="30"/>
        </w:rPr>
      </w:pPr>
      <w:r>
        <w:rPr>
          <w:rFonts w:hint="eastAsia" w:ascii="黑体" w:hAnsi="黑体" w:eastAsia="黑体" w:cs="黑体"/>
          <w:sz w:val="30"/>
          <w:szCs w:val="30"/>
        </w:rPr>
        <w:t>四、存在的问题和整改情况</w:t>
      </w:r>
    </w:p>
    <w:p>
      <w:pPr>
        <w:pStyle w:val="9"/>
        <w:autoSpaceDE w:val="0"/>
        <w:autoSpaceDN w:val="0"/>
        <w:spacing w:line="600" w:lineRule="exact"/>
        <w:ind w:firstLine="600"/>
        <w:rPr>
          <w:rFonts w:ascii="方正仿宋_GBK" w:hAnsi="方正仿宋_GBK" w:eastAsia="方正仿宋_GBK" w:cs="方正仿宋_GBK"/>
          <w:sz w:val="30"/>
          <w:szCs w:val="30"/>
        </w:rPr>
      </w:pPr>
      <w:r>
        <w:rPr>
          <w:rFonts w:hint="eastAsia" w:ascii="方正仿宋_GBK" w:hAnsi="方正仿宋_GBK" w:eastAsia="方正仿宋_GBK" w:cs="方正仿宋_GBK"/>
          <w:color w:val="333333"/>
          <w:sz w:val="30"/>
          <w:szCs w:val="30"/>
          <w:shd w:val="clear" w:color="auto" w:fill="FFFFFF"/>
        </w:rPr>
        <w:t>根据本次绩效评价情况，存在预算绩效申报时，编制的项目自评指标体系不够精细，绩效目标不具体，绩效目标未完全细化，分解工作任务不够具体，部分绩效指标不清晰，在经费支出过程中经济功能精确度有待提高。针对上述问题，在今后的预算绩效申报时，需相关业务科室将全年工作任务细化分解为具体的工作目标，并尽量采取定量的方式制定清晰、可衡量的绩效指标，提高项目使用经济功能精确度。</w:t>
      </w:r>
    </w:p>
    <w:p>
      <w:pPr>
        <w:numPr>
          <w:ilvl w:val="0"/>
          <w:numId w:val="3"/>
        </w:numPr>
        <w:autoSpaceDE w:val="0"/>
        <w:autoSpaceDN w:val="0"/>
        <w:spacing w:line="600" w:lineRule="exact"/>
        <w:rPr>
          <w:rFonts w:ascii="黑体" w:hAnsi="黑体" w:eastAsia="黑体" w:cs="黑体"/>
          <w:sz w:val="30"/>
          <w:szCs w:val="30"/>
        </w:rPr>
      </w:pPr>
      <w:r>
        <w:rPr>
          <w:rFonts w:hint="eastAsia" w:ascii="黑体" w:hAnsi="黑体" w:eastAsia="黑体" w:cs="黑体"/>
          <w:sz w:val="30"/>
          <w:szCs w:val="30"/>
        </w:rPr>
        <w:t>绩效自评结果应用</w:t>
      </w:r>
    </w:p>
    <w:p>
      <w:pPr>
        <w:autoSpaceDE w:val="0"/>
        <w:autoSpaceDN w:val="0"/>
        <w:spacing w:line="600" w:lineRule="exact"/>
        <w:ind w:firstLine="639" w:firstLineChars="213"/>
        <w:rPr>
          <w:rFonts w:ascii="方正仿宋_GBK" w:hAnsi="方正仿宋_GBK" w:eastAsia="方正仿宋_GBK" w:cs="方正仿宋_GBK"/>
          <w:sz w:val="30"/>
          <w:szCs w:val="30"/>
        </w:rPr>
      </w:pPr>
      <w:r>
        <w:rPr>
          <w:rFonts w:hint="eastAsia" w:ascii="方正仿宋_GBK" w:hAnsi="方正仿宋_GBK" w:eastAsia="方正仿宋_GBK" w:cs="方正仿宋_GBK"/>
          <w:color w:val="333333"/>
          <w:sz w:val="30"/>
          <w:szCs w:val="30"/>
          <w:shd w:val="clear" w:color="auto" w:fill="FFFFFF"/>
        </w:rPr>
        <w:t>我局2018年部门预算绩效的指导思想是：以习近平新时代中国特色社会主义思想为指导，按县委县政府有关要求，不断推进预算管理体制改革，进一步调整支出结构，统筹安排预算资金，确保工资性支出和机构运转的基本需要，尽量压缩非生产性支出。各项工作推进有序、落实有力、行动有效，管理制度规范完善，具体措施可行，较好地完成了各项绩效指标，促进了部门履职绩效目标的实现，具有较强的可持续性。努力展现新时代工作新作为，保障广大群众享受基本文化权益，推动国家文化广电体育持续发展。争取总体评价等级为优。</w:t>
      </w:r>
    </w:p>
    <w:p>
      <w:pPr>
        <w:numPr>
          <w:ilvl w:val="0"/>
          <w:numId w:val="3"/>
        </w:numPr>
        <w:autoSpaceDE w:val="0"/>
        <w:autoSpaceDN w:val="0"/>
        <w:spacing w:line="600" w:lineRule="exact"/>
        <w:rPr>
          <w:rFonts w:ascii="黑体" w:hAnsi="黑体" w:eastAsia="黑体" w:cs="黑体"/>
          <w:sz w:val="30"/>
          <w:szCs w:val="30"/>
        </w:rPr>
      </w:pPr>
      <w:r>
        <w:rPr>
          <w:rFonts w:hint="eastAsia" w:ascii="黑体" w:hAnsi="黑体" w:eastAsia="黑体" w:cs="黑体"/>
          <w:sz w:val="30"/>
          <w:szCs w:val="30"/>
        </w:rPr>
        <w:t xml:space="preserve">主要经验及做法 </w:t>
      </w:r>
    </w:p>
    <w:p>
      <w:pPr>
        <w:autoSpaceDE w:val="0"/>
        <w:autoSpaceDN w:val="0"/>
        <w:spacing w:line="600" w:lineRule="exact"/>
        <w:ind w:firstLine="639" w:firstLineChars="213"/>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一是领导高度重视，主要领导负总责，分管领导具体负责，安排专人具体办理，形成一级抓一级，层层抓落实；</w:t>
      </w:r>
    </w:p>
    <w:p>
      <w:pPr>
        <w:autoSpaceDE w:val="0"/>
        <w:autoSpaceDN w:val="0"/>
        <w:spacing w:line="600" w:lineRule="exact"/>
        <w:ind w:firstLine="639" w:firstLineChars="213"/>
        <w:rPr>
          <w:rFonts w:ascii="方正仿宋_GBK" w:hAnsi="方正仿宋_GBK" w:eastAsia="方正仿宋_GBK" w:cs="方正仿宋_GBK"/>
          <w:color w:val="333333"/>
          <w:sz w:val="30"/>
          <w:szCs w:val="30"/>
          <w:shd w:val="clear" w:color="auto" w:fill="FFFFFF"/>
        </w:rPr>
      </w:pPr>
      <w:r>
        <w:rPr>
          <w:rFonts w:hint="eastAsia" w:ascii="方正仿宋_GBK" w:hAnsi="方正仿宋_GBK" w:eastAsia="方正仿宋_GBK" w:cs="方正仿宋_GBK"/>
          <w:color w:val="333333"/>
          <w:sz w:val="30"/>
          <w:szCs w:val="30"/>
          <w:shd w:val="clear" w:color="auto" w:fill="FFFFFF"/>
        </w:rPr>
        <w:t>二是严格执行相关财经法律法规，项目经费专款专用，抓好项目实施和绩效评价；</w:t>
      </w:r>
    </w:p>
    <w:p>
      <w:pPr>
        <w:autoSpaceDE w:val="0"/>
        <w:autoSpaceDN w:val="0"/>
        <w:spacing w:line="600" w:lineRule="exact"/>
        <w:ind w:firstLine="639" w:firstLineChars="213"/>
        <w:rPr>
          <w:rFonts w:ascii="方正仿宋_GBK" w:hAnsi="方正仿宋_GBK" w:eastAsia="方正仿宋_GBK" w:cs="方正仿宋_GBK"/>
          <w:sz w:val="30"/>
          <w:szCs w:val="30"/>
        </w:rPr>
      </w:pPr>
      <w:r>
        <w:rPr>
          <w:rFonts w:hint="eastAsia" w:ascii="方正仿宋_GBK" w:hAnsi="方正仿宋_GBK" w:eastAsia="方正仿宋_GBK" w:cs="方正仿宋_GBK"/>
          <w:color w:val="333333"/>
          <w:sz w:val="30"/>
          <w:szCs w:val="30"/>
          <w:shd w:val="clear" w:color="auto" w:fill="FFFFFF"/>
        </w:rPr>
        <w:t>三是业务人员工作积极、认真负责，抓好项目实施的绩效评价。</w:t>
      </w:r>
    </w:p>
    <w:p>
      <w:pPr>
        <w:numPr>
          <w:ilvl w:val="0"/>
          <w:numId w:val="3"/>
        </w:numPr>
        <w:autoSpaceDE w:val="0"/>
        <w:autoSpaceDN w:val="0"/>
        <w:spacing w:line="600" w:lineRule="exact"/>
        <w:rPr>
          <w:rFonts w:ascii="黑体" w:hAnsi="黑体" w:eastAsia="黑体" w:cs="黑体"/>
          <w:sz w:val="30"/>
          <w:szCs w:val="30"/>
        </w:rPr>
      </w:pPr>
      <w:r>
        <w:rPr>
          <w:rFonts w:hint="eastAsia" w:ascii="黑体" w:hAnsi="黑体" w:eastAsia="黑体" w:cs="黑体"/>
          <w:sz w:val="30"/>
          <w:szCs w:val="30"/>
        </w:rPr>
        <w:t>其他需说明的情况</w:t>
      </w:r>
    </w:p>
    <w:p>
      <w:pPr>
        <w:autoSpaceDE w:val="0"/>
        <w:autoSpaceDN w:val="0"/>
        <w:spacing w:line="600" w:lineRule="exact"/>
        <w:ind w:left="64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无其他情况需要说明。</w:t>
      </w:r>
    </w:p>
    <w:p>
      <w:pPr>
        <w:rPr>
          <w:rFonts w:ascii="方正仿宋_GBK" w:eastAsia="方正仿宋_GBK"/>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9D2F6"/>
    <w:multiLevelType w:val="singleLevel"/>
    <w:tmpl w:val="AE39D2F6"/>
    <w:lvl w:ilvl="0" w:tentative="0">
      <w:start w:val="5"/>
      <w:numFmt w:val="chineseCounting"/>
      <w:suff w:val="nothing"/>
      <w:lvlText w:val="%1、"/>
      <w:lvlJc w:val="left"/>
      <w:pPr>
        <w:ind w:left="640" w:firstLine="0"/>
      </w:pPr>
      <w:rPr>
        <w:rFonts w:hint="eastAsia"/>
      </w:rPr>
    </w:lvl>
  </w:abstractNum>
  <w:abstractNum w:abstractNumId="1">
    <w:nsid w:val="FDBC4BDD"/>
    <w:multiLevelType w:val="singleLevel"/>
    <w:tmpl w:val="FDBC4BDD"/>
    <w:lvl w:ilvl="0" w:tentative="0">
      <w:start w:val="3"/>
      <w:numFmt w:val="chineseCounting"/>
      <w:suff w:val="nothing"/>
      <w:lvlText w:val="%1、"/>
      <w:lvlJc w:val="left"/>
      <w:rPr>
        <w:rFonts w:hint="eastAsia"/>
      </w:rPr>
    </w:lvl>
  </w:abstractNum>
  <w:abstractNum w:abstractNumId="2">
    <w:nsid w:val="4DE7D986"/>
    <w:multiLevelType w:val="singleLevel"/>
    <w:tmpl w:val="4DE7D986"/>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F0"/>
    <w:rsid w:val="0005537B"/>
    <w:rsid w:val="000B1F7D"/>
    <w:rsid w:val="00167570"/>
    <w:rsid w:val="003769C0"/>
    <w:rsid w:val="005A2EF0"/>
    <w:rsid w:val="005E0594"/>
    <w:rsid w:val="00801897"/>
    <w:rsid w:val="00B60D80"/>
    <w:rsid w:val="00CA5CEB"/>
    <w:rsid w:val="00D0080F"/>
    <w:rsid w:val="00D44A22"/>
    <w:rsid w:val="00D876FD"/>
    <w:rsid w:val="05CD64B3"/>
    <w:rsid w:val="0DB3652A"/>
    <w:rsid w:val="0F5F00F6"/>
    <w:rsid w:val="15781F52"/>
    <w:rsid w:val="235C4D0F"/>
    <w:rsid w:val="2D477B47"/>
    <w:rsid w:val="38954BDD"/>
    <w:rsid w:val="42AF0C6A"/>
    <w:rsid w:val="4C243C91"/>
    <w:rsid w:val="5DFE3398"/>
    <w:rsid w:val="5F9336CE"/>
    <w:rsid w:val="7D750AE4"/>
    <w:rsid w:val="7E40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after="150" w:line="315" w:lineRule="atLeast"/>
      <w:jc w:val="left"/>
    </w:pPr>
    <w:rPr>
      <w:rFonts w:ascii="Calibri" w:hAnsi="Calibri" w:eastAsia="宋体" w:cs="Times New Roman"/>
      <w:kern w:val="0"/>
      <w:szCs w:val="21"/>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676</Words>
  <Characters>3855</Characters>
  <Lines>32</Lines>
  <Paragraphs>9</Paragraphs>
  <TotalTime>7</TotalTime>
  <ScaleCrop>false</ScaleCrop>
  <LinksUpToDate>false</LinksUpToDate>
  <CharactersWithSpaces>4522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2019-11-20T06:41:00Z</dcterms:created>
  <dc:creator>dell</dc:creator>
  <cp:lastModifiedBy>dell</cp:lastModifiedBy>
  <dcterms:modified xsi:type="dcterms:W3CDTF">2021-06-16T02:27:47Z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