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bookmarkStart w:id="0" w:name="_GoBack"/>
      <w:bookmarkEnd w:id="0"/>
      <w:r>
        <w:rPr>
          <w:rFonts w:hint="eastAsia" w:eastAsia="方正小标宋_GBK" w:cs="Times New Roman"/>
          <w:spacing w:val="-20"/>
          <w:sz w:val="44"/>
          <w:szCs w:val="44"/>
          <w:lang w:eastAsia="zh-CN"/>
        </w:rPr>
        <w:t>西畴县新马街大坪坝石灰石矿采石场扩建</w:t>
      </w:r>
      <w:r>
        <w:rPr>
          <w:rFonts w:hint="eastAsia" w:ascii="Times New Roman" w:hAnsi="Times New Roman" w:eastAsia="方正小标宋_GBK" w:cs="Times New Roman"/>
          <w:spacing w:val="-20"/>
          <w:sz w:val="44"/>
          <w:szCs w:val="44"/>
          <w:lang w:eastAsia="zh-CN"/>
        </w:rPr>
        <w:t>项目环境影响评价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我局拟对《西畴县新马街大坪坝石灰石矿采石场扩建项目环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6</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11</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6</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18</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11</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356"/>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24"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b/>
                <w:bCs/>
                <w:color w:val="000000"/>
                <w:sz w:val="24"/>
                <w:szCs w:val="24"/>
                <w:shd w:val="clear" w:color="auto" w:fill="FFFFFF"/>
                <w:lang w:eastAsia="zh-CN"/>
              </w:rPr>
            </w:pPr>
            <w:r>
              <w:rPr>
                <w:rFonts w:hint="eastAsia" w:ascii="Times New Roman" w:hAnsi="Times New Roman" w:eastAsia="方正仿宋_GBK" w:cs="Times New Roman"/>
                <w:color w:val="000000"/>
                <w:kern w:val="2"/>
                <w:sz w:val="24"/>
                <w:szCs w:val="24"/>
                <w:shd w:val="clear" w:color="auto" w:fill="FFFFFF"/>
                <w:lang w:val="en-US" w:eastAsia="zh-CN" w:bidi="ar-SA"/>
              </w:rPr>
              <w:t>云南省文山州西畴县新马街乡大坪坝村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99"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eastAsia" w:ascii="Times New Roman" w:hAnsi="Times New Roman" w:eastAsia="方正仿宋_GBK" w:cs="Times New Roman"/>
                <w:color w:val="000000"/>
                <w:kern w:val="2"/>
                <w:sz w:val="24"/>
                <w:szCs w:val="24"/>
                <w:shd w:val="clear" w:color="auto" w:fill="FFFFFF"/>
                <w:lang w:val="en-US" w:eastAsia="zh-CN" w:bidi="ar-SA"/>
              </w:rPr>
              <w:t>西畴县新马街大坪坝石灰石矿采石场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46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沣达环境科技（昆明）有限公司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865"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8923" w:type="dxa"/>
            <w:shd w:val="clear" w:color="auto" w:fill="FFFFFF"/>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矿区位于西畴县城210°方向，直距29公里，行政区划属西畴县新马街乡境内，地理极值坐标（国家2000大地坐标系）：东经104°31′29″～104°31′42″，北纬23°12′27″～23°12′41″。矿区至新马街乡公路里程2公里，至文山（州政府驻地）公路里程67公里，至西畴县城45公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default"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本次矿山扩大采矿区面积为105000m2，开采标高由1580米至1420米变更为1570米至1430米，采矿权范围内核实保有资源储量122b类矿石量305.01万m3（829.61万t）。估算设计利用资源储量为122b类矿石量164.02万m3（446.12万t），预计可采储量160.74万m3（437.2万t）。采矿方法：自上而下台阶式分层剥离；开拓运输方案：公路—汽车运输开拓；产品方案：块石（Ф340mm以上）、公分石（Ф5—30mm）、石粉（Ф5mm以下），矿山预可采资源储量122b类矿石量160.74万m3（437.2万t），开采规模30万t/a，生产服务年限为14.6年。</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pPr>
            <w:r>
              <w:rPr>
                <w:rFonts w:hint="eastAsia" w:ascii="方正仿宋_GBK" w:hAnsi="方正仿宋_GBK" w:eastAsia="方正仿宋_GBK" w:cs="方正仿宋_GBK"/>
                <w:kern w:val="2"/>
                <w:sz w:val="24"/>
                <w:szCs w:val="24"/>
                <w:lang w:val="en-US" w:eastAsia="zh-CN" w:bidi="ar-SA"/>
              </w:rPr>
              <w:t>项目扩建完成后，矿区面积由原0.0583平方公里变更为0.1005平方公里，拆除已有工业破碎场地，搬建至矿区现有采空区，工业破碎场地占地面积9000m2，主要设置原料堆场、破碎站、皮带输送系统、成品堆场及配套检修房。办公生活区设置于矿山东面，占地面积280m2。规划设置临时表土堆场位于矿区拐点矿4北侧，占地面积2809m2。项目建设由主体工程、辅助工程、公用工程和环保工程组成。</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eastAsia="zh-CN"/>
              </w:rPr>
              <w:t>项目总投资</w:t>
            </w:r>
            <w:r>
              <w:rPr>
                <w:rFonts w:hint="eastAsia" w:ascii="方正仿宋_GBK" w:hAnsi="方正仿宋_GBK" w:eastAsia="方正仿宋_GBK" w:cs="方正仿宋_GBK"/>
                <w:sz w:val="24"/>
                <w:lang w:val="en-US" w:eastAsia="zh-CN"/>
              </w:rPr>
              <w:t>1000万元，环保投资103.5万元，占总投资的10.35</w:t>
            </w:r>
            <w:r>
              <w:rPr>
                <w:rFonts w:hint="eastAsia" w:ascii="宋体" w:hAnsi="宋体" w:eastAsia="宋体" w:cs="宋体"/>
                <w:sz w:val="24"/>
                <w:lang w:val="en-US" w:eastAsia="zh-CN"/>
              </w:rPr>
              <w:t>％。</w:t>
            </w:r>
            <w:r>
              <w:rPr>
                <w:rFonts w:hint="eastAsia" w:ascii="方正仿宋_GBK" w:hAnsi="方正仿宋_GBK" w:eastAsia="方正仿宋_GBK" w:cs="方正仿宋_GBK"/>
                <w:kern w:val="2"/>
                <w:sz w:val="24"/>
                <w:szCs w:val="24"/>
                <w:lang w:val="en-US" w:eastAsia="zh-CN" w:bidi="ar-SA"/>
              </w:rPr>
              <w:t>施工期为12个月</w:t>
            </w:r>
          </w:p>
          <w:p>
            <w:pPr>
              <w:pStyle w:val="9"/>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8923" w:type="dxa"/>
            <w:shd w:val="clear" w:color="auto" w:fill="FFFFFF"/>
            <w:tcMar>
              <w:top w:w="0" w:type="dxa"/>
              <w:left w:w="108" w:type="dxa"/>
              <w:bottom w:w="0" w:type="dxa"/>
              <w:right w:w="108" w:type="dxa"/>
            </w:tcMar>
          </w:tcPr>
          <w:tbl>
            <w:tblPr>
              <w:tblStyle w:val="10"/>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466"/>
              <w:gridCol w:w="1265"/>
              <w:gridCol w:w="629"/>
              <w:gridCol w:w="629"/>
              <w:gridCol w:w="326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508" w:type="dxa"/>
                  <w:tcBorders>
                    <w:tl2br w:val="single" w:color="auto" w:sz="6" w:space="0"/>
                  </w:tcBorders>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内容          类型</w:t>
                  </w:r>
                </w:p>
              </w:tc>
              <w:tc>
                <w:tcPr>
                  <w:tcW w:w="1731" w:type="dxa"/>
                  <w:gridSpan w:val="2"/>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排放源</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污染物名称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防治措施</w:t>
                  </w:r>
                </w:p>
              </w:tc>
              <w:tc>
                <w:tcPr>
                  <w:tcW w:w="1876" w:type="dxa"/>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预期治</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508"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大</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染</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物</w:t>
                  </w:r>
                </w:p>
              </w:tc>
              <w:tc>
                <w:tcPr>
                  <w:tcW w:w="466" w:type="dxa"/>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场地清理、重铺地砖、设备搬运安装等</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①严格管理，文明施工；②施工场地实时洒水抑尘，大风天气增加洒水次数；③散料密闭运输，土石方和散料堆放场、裸露地面进行临时覆盖；④规范车辆装载方式，杜绝沿路洒漏现象；⑤合理安排施工期，避开大风天，完工后及时清场，加强管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对环境影响较小</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运营期</w:t>
                  </w:r>
                </w:p>
              </w:tc>
              <w:tc>
                <w:tcPr>
                  <w:tcW w:w="1265"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施工作业</w:t>
                  </w:r>
                </w:p>
              </w:tc>
              <w:tc>
                <w:tcPr>
                  <w:tcW w:w="629"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工业场地粉尘</w:t>
                  </w: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原料堆场</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建棚堆存，设置2套洒水喷淋设施</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破碎及拆分</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破碎车间为密闭厂房，进行有组织收尘处置，粗碎及筛分和细碎及筛分分别设置1套布袋除尘器，经布袋除尘器处理后的废气由引风机引至1根15m高排气筒排放。</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皮带运输</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运输皮带落料口设置溜槽、洒水降尘、输送带进行封闭覆盖</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运输扬尘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洒水车；限速行驶；汽车加盖篷布，运输道路水泥硬化</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采区粉尘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采矿区、运输道路等配置1台洒水车进行洒水抑尘；湿法作业</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堆场装卸扬尘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细砂建棚堆存，设置4套喷雾降尘设施，装卸过程开启自动喷雾装置</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08"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染</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物</w:t>
                  </w: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施工废水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SS、水泥等</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设置初期雨水收集池池，施工废水沉淀后用于施工场地洒水降尘等，不外排</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生活污水</w:t>
                  </w:r>
                </w:p>
              </w:tc>
              <w:tc>
                <w:tcPr>
                  <w:tcW w:w="1258" w:type="dxa"/>
                  <w:gridSpan w:val="2"/>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COD、SS、氨氮</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粪便等生活污水排入粪池处理，定期清掏用作周边旱地农肥，废水不外排</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运营期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生活污水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COD、BOD5、氨氮、SS、TP、粪大肠菌群</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粪便等生活污水排入粪池处理，定期清掏用作周边旱地农肥，废水不外排</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场地废水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初期雨水</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经初期雨水收集池收集沉淀</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508"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噪</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声</w:t>
                  </w: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作业噪声</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爆破噪声</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①固定爆破时段，合理设置爆破次数，禁止夜间放炮；②合理设置炮眼，采用水封爆破，放炮前提前告知村民，在各个路口设置岗哨；③施工区内禁止鸣笛，减小交通噪声对周围环境的影响；④合理布局施工设备避免设备噪声叠加；⑤禁止夜间（晚22点至次日早晨6点之间）进行产生环境噪声污染的施工作业；⑥加强对施工人员的管理，做到文明施工，避免认为噪声的产生；⑦合理安排施工步骤，优化施工方式，同时合理安排运输时间。</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机械噪声</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破碎机、潜孔钻机等</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交通噪声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社会生活</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设备运行</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采石场设备运行噪声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①对强噪声设备安装橡胶减震设施，以减少振动，降低噪声；②对于传输设备的旋转和传动部分以及接近地面的连轴节，传动轴，皮带轮等均装设防护装置；</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员工日常</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社会噪声</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①合理安排工作时间，对高噪声设备的运行，应避免在人群休息时进行，与敏感点工作时间错开进行，以减少噪声的影响，禁止夜间进行生产，仅白天生产；</w:t>
                  </w:r>
                  <w:r>
                    <w:rPr>
                      <w:rFonts w:hint="eastAsia" w:asciiTheme="minorEastAsia" w:hAnsiTheme="minorEastAsia" w:eastAsiaTheme="minorEastAsia" w:cstheme="minorEastAsia"/>
                      <w:sz w:val="21"/>
                      <w:szCs w:val="21"/>
                      <w:lang w:val="en-GB" w:eastAsia="zh-CN"/>
                    </w:rPr>
                    <w:t xml:space="preserve"> ②</w:t>
                  </w:r>
                  <w:r>
                    <w:rPr>
                      <w:rFonts w:hint="eastAsia" w:asciiTheme="minorEastAsia" w:hAnsiTheme="minorEastAsia" w:eastAsiaTheme="minorEastAsia" w:cstheme="minorEastAsia"/>
                      <w:sz w:val="21"/>
                      <w:szCs w:val="21"/>
                      <w:lang w:val="en-US" w:eastAsia="zh-CN"/>
                    </w:rPr>
                    <w:t>派专人定期对机械设备进行维修管理，保证正常运行，避免故障情况下产生高噪声影响；③若出现扰民现场，必须停止高噪声设备的运行，积极配合解决好纠纷问题。</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运输车辆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交通噪声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08"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固</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体</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废</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物</w:t>
                  </w: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一般工业固体废物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表土方、沉淀池污泥、除尘器收尘灰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①可回收利用的进行回收利用，不能利用的按照市政管理部门要求进行处置；②沉淀池污泥定期清理至表土堆场，用于后期复垦；③矿石破碎粉尘经收集后作为石粉外售</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危险废物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废机油</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项目收集的危险废物必须单独收集、单独存储，委托有资质的单位处理，严格执行危险废物转移联单制度，设置台账。</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工人生活</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生活垃圾</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生活垃圾集中收集后，定期运至大坪坝村指定垃圾堆放点，由环卫部门清运处理。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运营期</w:t>
                  </w:r>
                </w:p>
              </w:tc>
              <w:tc>
                <w:tcPr>
                  <w:tcW w:w="1265"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一般固体废物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生活垃圾</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生活垃圾集中收集后，定期运至大坪坝村指定垃圾堆放点，由环卫部门清运处理。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临时表土堆场</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表土堆场周围根据地势设置210m的截排水沟，表土堆场下游设置（长30m、宽2m、高5m）的挡石墙，其中挡石墙的高度根据堆存进度逐步建设，采用M7.5浆砌石砌筑，减小水土流失</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65"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危险废物</w:t>
                  </w:r>
                </w:p>
              </w:tc>
              <w:tc>
                <w:tcPr>
                  <w:tcW w:w="1258" w:type="dxa"/>
                  <w:gridSpan w:val="2"/>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废机油</w:t>
                  </w:r>
                </w:p>
              </w:tc>
              <w:tc>
                <w:tcPr>
                  <w:tcW w:w="3264"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危废暂存间（设置一间10m2危险废物暂存间，防渗措施：围堰底部及周围采用抗渗水泥浇底，内表面涂刷环氧树脂漆防水材料。危废暂存间地面及墙面（高300mm）设置环氧树脂漆防腐防渗（等效黏土防渗层Mb≥6.0m，K≤1×10-10cm/s））委托有资质的单位处理。</w:t>
                  </w:r>
                </w:p>
              </w:tc>
              <w:tc>
                <w:tcPr>
                  <w:tcW w:w="1876" w:type="dxa"/>
                  <w:noWrap w:val="0"/>
                  <w:vAlign w:val="center"/>
                </w:tcPr>
                <w:p>
                  <w:pPr>
                    <w:numPr>
                      <w:ilvl w:val="0"/>
                      <w:numId w:val="0"/>
                    </w:numPr>
                    <w:adjustRightInd w:val="0"/>
                    <w:snapToGrid w:val="0"/>
                    <w:jc w:val="both"/>
                    <w:rPr>
                      <w:rFonts w:hint="eastAsia"/>
                      <w:szCs w:val="21"/>
                      <w:highlight w:val="none"/>
                      <w:lang w:val="en-US" w:eastAsia="zh-CN"/>
                    </w:rPr>
                  </w:pPr>
                  <w:r>
                    <w:rPr>
                      <w:rFonts w:hint="eastAsia"/>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974" w:type="dxa"/>
                  <w:gridSpan w:val="2"/>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其它</w:t>
                  </w:r>
                </w:p>
              </w:tc>
              <w:tc>
                <w:tcPr>
                  <w:tcW w:w="1265"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柴油储罐（14t）</w:t>
                  </w:r>
                </w:p>
              </w:tc>
              <w:tc>
                <w:tcPr>
                  <w:tcW w:w="6398" w:type="dxa"/>
                  <w:gridSpan w:val="4"/>
                  <w:noWrap w:val="0"/>
                  <w:vAlign w:val="center"/>
                </w:tcPr>
                <w:p>
                  <w:pPr>
                    <w:numPr>
                      <w:ilvl w:val="0"/>
                      <w:numId w:val="0"/>
                    </w:numPr>
                    <w:adjustRightInd w:val="0"/>
                    <w:snapToGrid w:val="0"/>
                    <w:jc w:val="both"/>
                    <w:rPr>
                      <w:rFonts w:hint="eastAsia"/>
                      <w:szCs w:val="21"/>
                      <w:highlight w:val="none"/>
                      <w:lang w:val="en-US" w:eastAsia="zh-CN"/>
                    </w:rPr>
                  </w:pPr>
                  <w:r>
                    <w:rPr>
                      <w:rFonts w:hint="eastAsia"/>
                      <w:szCs w:val="21"/>
                      <w:highlight w:val="none"/>
                      <w:lang w:val="en-US" w:eastAsia="zh-CN"/>
                    </w:rPr>
                    <w:t>专用柴油储罐储存，设置钢筋混凝土水泥抹面围堰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jc w:val="center"/>
              </w:trPr>
              <w:tc>
                <w:tcPr>
                  <w:tcW w:w="8637" w:type="dxa"/>
                  <w:gridSpan w:val="7"/>
                  <w:noWrap w:val="0"/>
                  <w:vAlign w:val="top"/>
                </w:tcPr>
                <w:p>
                  <w:pPr>
                    <w:spacing w:line="300" w:lineRule="atLeast"/>
                    <w:jc w:val="both"/>
                    <w:rPr>
                      <w:rFonts w:hint="eastAsia"/>
                      <w:szCs w:val="21"/>
                      <w:highlight w:val="none"/>
                      <w:lang w:eastAsia="zh-CN"/>
                    </w:rPr>
                  </w:pPr>
                  <w:r>
                    <w:rPr>
                      <w:rFonts w:hint="eastAsia"/>
                      <w:szCs w:val="21"/>
                      <w:highlight w:val="none"/>
                      <w:lang w:val="en-US" w:eastAsia="zh-CN"/>
                    </w:rPr>
                    <w:t>生态保护措施及预期效果：</w:t>
                  </w:r>
                </w:p>
                <w:p>
                  <w:pPr>
                    <w:spacing w:line="300" w:lineRule="atLeast"/>
                    <w:jc w:val="both"/>
                    <w:rPr>
                      <w:rFonts w:hint="eastAsia"/>
                      <w:szCs w:val="21"/>
                      <w:highlight w:val="none"/>
                      <w:lang w:val="en-US" w:eastAsia="zh-CN"/>
                    </w:rPr>
                  </w:pPr>
                  <w:r>
                    <w:rPr>
                      <w:rFonts w:hint="eastAsia"/>
                      <w:szCs w:val="21"/>
                      <w:highlight w:val="none"/>
                      <w:lang w:val="en-US" w:eastAsia="zh-CN"/>
                    </w:rPr>
                    <w:t>1、植被植物保护措施</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①施工期加强管理，须严格控制施工红线，严禁超计划占地，严禁施工人员砍伐、破坏工程占地区外的植被，严禁在征地范围外堆渣。</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②施工期应加强管理及对工作人员进行环保宣传教育，抓好临时用工人员的管理，不得随意使用当地活立木作为燃料，以防止发生滥砍乱伐。加强生产生活用火用电安全的管理，提高消防意识，防止森林火灾的发生。</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③在施工过程中，应施工活动与水土流失防护措施并进。应合理设计， 加强工程措施，砌挡墙和修建排水系统，防止暴雨时间径流大量汇聚造成水土流失；其次，应该加强植被恢复工程，减少水土流失。</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④对施工表土进行集中堆存，施工完毕后再用于生态恢复；植被绿化宜就地采集当地植物的种子、幼苗进行种植，不能采用入境物种。</w:t>
                  </w:r>
                </w:p>
                <w:p>
                  <w:pPr>
                    <w:spacing w:line="300" w:lineRule="atLeast"/>
                    <w:jc w:val="left"/>
                    <w:rPr>
                      <w:rFonts w:hint="eastAsia"/>
                      <w:szCs w:val="21"/>
                      <w:highlight w:val="none"/>
                      <w:lang w:val="en-US" w:eastAsia="zh-CN"/>
                    </w:rPr>
                  </w:pPr>
                  <w:r>
                    <w:rPr>
                      <w:rFonts w:hint="eastAsia"/>
                      <w:szCs w:val="21"/>
                      <w:highlight w:val="none"/>
                      <w:lang w:val="en-US" w:eastAsia="zh-CN"/>
                    </w:rPr>
                    <w:t>2、陆栖脊椎动物保护措施</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①施工中尽可能降低噪声，以减少对动物的直接伤害。</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②严格落实水土保持方案，禁止废土方等污染水体，以保证两栖动物的栖息地尽量少受影响；水保中植物的措施配置方面尽量采用混交林，避免树种单一。</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③加强施工人员对野生动物和生态环境的保护意识教育。</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④对施工人员明确规定严禁猎杀野生动物，建立与环境保护有关的奖励惩罚制度，对积极举报违法活动人员给以奖励和隐私保护，对于证据确凿的违法活动者给以严厉惩罚。</w:t>
                  </w:r>
                </w:p>
                <w:p>
                  <w:pPr>
                    <w:jc w:val="both"/>
                    <w:rPr>
                      <w:rFonts w:hint="eastAsia" w:asciiTheme="minorEastAsia" w:hAnsiTheme="minorEastAsia" w:eastAsiaTheme="minorEastAsia" w:cstheme="minorEastAsia"/>
                      <w:sz w:val="21"/>
                      <w:szCs w:val="21"/>
                      <w:lang w:val="en-US" w:eastAsia="zh-CN"/>
                    </w:rPr>
                  </w:pPr>
                </w:p>
              </w:tc>
            </w:tr>
          </w:tbl>
          <w:p>
            <w:pPr>
              <w:numPr>
                <w:ilvl w:val="0"/>
                <w:numId w:val="0"/>
              </w:numPr>
              <w:adjustRightInd w:val="0"/>
              <w:snapToGrid w:val="0"/>
              <w:ind w:firstLine="420" w:firstLineChars="200"/>
              <w:rPr>
                <w:rFonts w:hint="default" w:ascii="Times New Roman" w:hAnsi="Times New Roman" w:eastAsia="宋体" w:cs="宋体"/>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8666437"/>
    <w:rsid w:val="0D75484E"/>
    <w:rsid w:val="0E5863A6"/>
    <w:rsid w:val="11484B39"/>
    <w:rsid w:val="176F7B69"/>
    <w:rsid w:val="1C800DED"/>
    <w:rsid w:val="1D827358"/>
    <w:rsid w:val="1DE51BD3"/>
    <w:rsid w:val="2F360CFB"/>
    <w:rsid w:val="2F4740AB"/>
    <w:rsid w:val="326C0058"/>
    <w:rsid w:val="34DB165D"/>
    <w:rsid w:val="36076C9A"/>
    <w:rsid w:val="3B834A7C"/>
    <w:rsid w:val="3BB93FFE"/>
    <w:rsid w:val="3D81346E"/>
    <w:rsid w:val="43B23412"/>
    <w:rsid w:val="472B1A05"/>
    <w:rsid w:val="48873DB8"/>
    <w:rsid w:val="4FE171BC"/>
    <w:rsid w:val="533073F3"/>
    <w:rsid w:val="59B35B52"/>
    <w:rsid w:val="59EC129F"/>
    <w:rsid w:val="5C061416"/>
    <w:rsid w:val="672E7FAC"/>
    <w:rsid w:val="683B1B4D"/>
    <w:rsid w:val="6ABF7E9B"/>
    <w:rsid w:val="6C5A2033"/>
    <w:rsid w:val="6F64016F"/>
    <w:rsid w:val="71482403"/>
    <w:rsid w:val="72197B59"/>
    <w:rsid w:val="76FE1467"/>
    <w:rsid w:val="7B4D0851"/>
    <w:rsid w:val="7D1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next w:val="1"/>
    <w:qFormat/>
    <w:uiPriority w:val="0"/>
    <w:pPr>
      <w:spacing w:line="460" w:lineRule="exact"/>
      <w:jc w:val="center"/>
    </w:pPr>
    <w:rPr>
      <w:color w:val="000000"/>
      <w:w w:val="90"/>
      <w:sz w:val="24"/>
      <w:szCs w:val="20"/>
    </w:rPr>
  </w:style>
  <w:style w:type="paragraph" w:styleId="4">
    <w:name w:val="Body Text Indent"/>
    <w:basedOn w:val="1"/>
    <w:next w:val="5"/>
    <w:qFormat/>
    <w:uiPriority w:val="0"/>
    <w:pPr>
      <w:tabs>
        <w:tab w:val="left" w:pos="8607"/>
      </w:tabs>
      <w:spacing w:line="400" w:lineRule="exact"/>
      <w:ind w:firstLine="556"/>
    </w:pPr>
    <w:rPr>
      <w:sz w:val="28"/>
    </w:rPr>
  </w:style>
  <w:style w:type="paragraph" w:customStyle="1" w:styleId="5">
    <w:name w:val="样式 正文文本缩进 + 行距: 1.5 倍行距"/>
    <w:basedOn w:val="4"/>
    <w:qFormat/>
    <w:uiPriority w:val="0"/>
    <w:pPr>
      <w:spacing w:line="360" w:lineRule="auto"/>
      <w:ind w:left="0" w:leftChars="0" w:firstLine="560" w:firstLineChars="200"/>
    </w:pPr>
    <w:rPr>
      <w:rFonts w:cs="宋体"/>
      <w:b/>
      <w:bCs/>
      <w:sz w:val="28"/>
      <w:szCs w:val="20"/>
    </w:rPr>
  </w:style>
  <w:style w:type="paragraph" w:styleId="6">
    <w:name w:val="List Bullet 5"/>
    <w:basedOn w:val="1"/>
    <w:qFormat/>
    <w:uiPriority w:val="0"/>
    <w:pPr>
      <w:numPr>
        <w:ilvl w:val="0"/>
        <w:numId w:val="1"/>
      </w:numPr>
    </w:pPr>
  </w:style>
  <w:style w:type="paragraph" w:styleId="7">
    <w:name w:val="Normal (Web)"/>
    <w:basedOn w:val="1"/>
    <w:qFormat/>
    <w:uiPriority w:val="0"/>
    <w:rPr>
      <w:sz w:val="24"/>
    </w:rPr>
  </w:style>
  <w:style w:type="paragraph" w:styleId="8">
    <w:name w:val="Body Text First Indent"/>
    <w:basedOn w:val="3"/>
    <w:next w:val="1"/>
    <w:qFormat/>
    <w:uiPriority w:val="0"/>
    <w:pPr>
      <w:spacing w:after="120" w:line="240" w:lineRule="auto"/>
      <w:ind w:firstLine="420" w:firstLineChars="100"/>
      <w:jc w:val="both"/>
    </w:pPr>
  </w:style>
  <w:style w:type="paragraph" w:styleId="9">
    <w:name w:val="Body Text First Indent 2"/>
    <w:basedOn w:val="4"/>
    <w:next w:val="8"/>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2021-06-11T02:38:58Z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126DB43391E546DFB3D695C8E0AD47A8</vt:lpwstr>
  </property>
</Properties>
</file>