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pPr>
        <w:rPr>
          <w:rFonts w:ascii="Arial" w:eastAsia="Arial" w:hAnsi="Arial" w:cs="Arial"/>
          <w:b/>
          <w:sz w:val="36"/>
        </w:rPr>
      </w:pPr>
      <w:r>
        <w:rPr>
          <w:rFonts w:ascii="Arial" w:eastAsia="Arial" w:hAnsi="Arial" w:cs="Arial"/>
          <w:b/>
          <w:sz w:val="36"/>
        </w:rPr>
        <w:t>监督索引号53262300132401000</w:t>
      </w:r>
    </w:p>
    <w:p>
      <w:pPr>
        <w:jc w:val="both"/>
        <w:rPr>
          <w:rFonts w:ascii="方正小标宋简体" w:eastAsia="方正小标宋简体" w:hAnsi="方正小标宋简体" w:cs="方正小标宋简体" w:hint="default"/>
          <w:b w:val="0"/>
          <w:bCs w:val="0"/>
          <w:sz w:val="30"/>
          <w:szCs w:val="30"/>
          <w:lang w:val="en-US" w:eastAsia="zh-CN"/>
        </w:rPr>
      </w:pPr>
      <w:r>
        <w:rPr>
          <w:rFonts w:ascii="方正小标宋简体" w:eastAsia="方正小标宋简体" w:hAnsi="方正小标宋简体" w:cs="方正小标宋简体" w:hint="eastAsia"/>
          <w:b w:val="0"/>
          <w:bCs w:val="0"/>
          <w:sz w:val="30"/>
          <w:szCs w:val="30"/>
          <w:lang w:eastAsia="zh-CN"/>
        </w:rPr>
        <w:t>附件</w:t>
      </w:r>
      <w:r>
        <w:rPr>
          <w:rFonts w:ascii="方正小标宋简体" w:eastAsia="方正小标宋简体" w:hAnsi="方正小标宋简体" w:cs="方正小标宋简体" w:hint="eastAsia"/>
          <w:b w:val="0"/>
          <w:bCs w:val="0"/>
          <w:sz w:val="30"/>
          <w:szCs w:val="30"/>
          <w:lang w:val="en-US" w:eastAsia="zh-CN"/>
        </w:rPr>
        <w:t>1</w:t>
      </w:r>
    </w:p>
    <w:p>
      <w:pPr>
        <w:jc w:val="center"/>
        <w:rPr>
          <w:rFonts w:ascii="黑体" w:eastAsia="黑体" w:hAnsi="黑体" w:hint="eastAsia"/>
          <w:sz w:val="36"/>
          <w:szCs w:val="36"/>
          <w:lang w:val="en-US" w:eastAsia="zh-CN"/>
        </w:rPr>
      </w:pPr>
      <w:r>
        <w:rPr>
          <w:rFonts w:ascii="黑体" w:eastAsia="黑体" w:hAnsi="黑体" w:hint="eastAsia"/>
          <w:sz w:val="36"/>
          <w:szCs w:val="36"/>
          <w:lang w:eastAsia="zh-CN"/>
        </w:rPr>
        <w:t>西畴县国土资源局</w:t>
      </w:r>
      <w:r>
        <w:rPr>
          <w:rFonts w:ascii="黑体" w:eastAsia="黑体" w:hAnsi="黑体" w:hint="eastAsia"/>
          <w:sz w:val="36"/>
          <w:szCs w:val="36"/>
          <w:lang w:val="en-US" w:eastAsia="zh-CN"/>
        </w:rPr>
        <w:t>2018</w:t>
      </w:r>
      <w:r>
        <w:rPr>
          <w:rFonts w:ascii="黑体" w:eastAsia="黑体" w:hAnsi="黑体" w:hint="eastAsia"/>
          <w:sz w:val="36"/>
          <w:szCs w:val="36"/>
        </w:rPr>
        <w:t>年度部门决算</w:t>
      </w:r>
      <w:r>
        <w:rPr>
          <w:rFonts w:ascii="黑体" w:eastAsia="黑体" w:hAnsi="黑体" w:hint="eastAsia"/>
          <w:sz w:val="36"/>
          <w:szCs w:val="36"/>
          <w:lang w:eastAsia="zh-CN"/>
        </w:rPr>
        <w:t>说明</w:t>
      </w:r>
    </w:p>
    <w:p>
      <w:pPr>
        <w:jc w:val="left"/>
        <w:rPr>
          <w:rFonts w:ascii="黑体" w:eastAsia="黑体" w:hAnsi="黑体" w:hint="eastAsia"/>
          <w:sz w:val="30"/>
          <w:szCs w:val="30"/>
        </w:rPr>
      </w:pPr>
      <w:r>
        <w:rPr>
          <w:rFonts w:ascii="黑体" w:eastAsia="黑体" w:hAnsi="黑体" w:hint="eastAsia"/>
          <w:sz w:val="30"/>
          <w:szCs w:val="30"/>
        </w:rPr>
        <w:t>第一部分  概况</w:t>
      </w:r>
    </w:p>
    <w:p>
      <w:pPr>
        <w:numPr>
          <w:ilvl w:val="0"/>
          <w:numId w:val="1"/>
        </w:numPr>
        <w:spacing w:line="240" w:lineRule="atLeast"/>
        <w:jc w:val="left"/>
        <w:rPr>
          <w:rFonts w:ascii="楷体" w:eastAsia="楷体" w:hAnsi="楷体" w:hint="eastAsia"/>
          <w:sz w:val="30"/>
          <w:szCs w:val="30"/>
        </w:rPr>
      </w:pPr>
      <w:r>
        <w:rPr>
          <w:rFonts w:ascii="楷体" w:eastAsia="楷体" w:hAnsi="楷体" w:hint="eastAsia"/>
          <w:sz w:val="30"/>
          <w:szCs w:val="30"/>
        </w:rPr>
        <w:t>主要职能</w:t>
      </w:r>
    </w:p>
    <w:p>
      <w:pPr>
        <w:numPr>
          <w:ilvl w:val="0"/>
          <w:numId w:val="0"/>
        </w:numPr>
        <w:spacing w:line="240" w:lineRule="atLeast"/>
        <w:jc w:val="left"/>
        <w:rPr>
          <w:rFonts w:ascii="楷体" w:eastAsia="楷体" w:hAnsi="楷体" w:hint="eastAsia"/>
          <w:sz w:val="30"/>
          <w:szCs w:val="30"/>
        </w:rPr>
      </w:pPr>
      <w:r>
        <w:rPr>
          <w:rFonts w:ascii="楷体" w:eastAsia="楷体" w:hAnsi="楷体" w:hint="eastAsia"/>
          <w:sz w:val="30"/>
          <w:szCs w:val="30"/>
        </w:rPr>
        <w:t>二、部门基本情况</w:t>
      </w:r>
    </w:p>
    <w:p>
      <w:pPr>
        <w:jc w:val="left"/>
        <w:rPr>
          <w:rFonts w:ascii="黑体" w:eastAsia="黑体" w:hAnsi="黑体" w:hint="eastAsia"/>
          <w:sz w:val="30"/>
          <w:szCs w:val="30"/>
        </w:rPr>
      </w:pPr>
      <w:r>
        <w:rPr>
          <w:rFonts w:ascii="黑体" w:eastAsia="黑体" w:hAnsi="黑体" w:hint="eastAsia"/>
          <w:sz w:val="30"/>
          <w:szCs w:val="30"/>
        </w:rPr>
        <w:t>第二部分</w:t>
      </w:r>
      <w:r>
        <w:rPr>
          <w:rFonts w:ascii="黑体" w:eastAsia="黑体" w:hAnsi="黑体" w:hint="eastAsia"/>
          <w:sz w:val="30"/>
          <w:szCs w:val="30"/>
          <w:lang w:val="en-US" w:eastAsia="zh-CN"/>
        </w:rPr>
        <w:t xml:space="preserve"> 2018</w:t>
      </w:r>
      <w:r>
        <w:rPr>
          <w:rFonts w:ascii="黑体" w:eastAsia="黑体" w:hAnsi="黑体" w:hint="eastAsia"/>
          <w:sz w:val="30"/>
          <w:szCs w:val="30"/>
        </w:rPr>
        <w:t>年度部门决算表</w:t>
      </w:r>
    </w:p>
    <w:p>
      <w:pPr>
        <w:jc w:val="left"/>
        <w:rPr>
          <w:rFonts w:ascii="楷体" w:eastAsia="楷体" w:hAnsi="楷体" w:hint="eastAsia"/>
          <w:sz w:val="30"/>
          <w:szCs w:val="30"/>
        </w:rPr>
      </w:pPr>
      <w:r>
        <w:rPr>
          <w:rFonts w:ascii="楷体" w:eastAsia="楷体" w:hAnsi="楷体" w:hint="eastAsia"/>
          <w:sz w:val="30"/>
          <w:szCs w:val="30"/>
        </w:rPr>
        <w:t>一、收入支出决算总表</w:t>
      </w:r>
    </w:p>
    <w:p>
      <w:pPr>
        <w:jc w:val="left"/>
        <w:rPr>
          <w:rFonts w:ascii="楷体" w:eastAsia="楷体" w:hAnsi="楷体" w:hint="eastAsia"/>
          <w:sz w:val="30"/>
          <w:szCs w:val="30"/>
        </w:rPr>
      </w:pPr>
      <w:r>
        <w:rPr>
          <w:rFonts w:ascii="楷体" w:eastAsia="楷体" w:hAnsi="楷体" w:hint="eastAsia"/>
          <w:sz w:val="30"/>
          <w:szCs w:val="30"/>
        </w:rPr>
        <w:t>二、收入决算表</w:t>
      </w:r>
    </w:p>
    <w:p>
      <w:pPr>
        <w:jc w:val="left"/>
        <w:rPr>
          <w:rFonts w:ascii="楷体" w:eastAsia="楷体" w:hAnsi="楷体" w:hint="eastAsia"/>
          <w:sz w:val="30"/>
          <w:szCs w:val="30"/>
        </w:rPr>
      </w:pPr>
      <w:r>
        <w:rPr>
          <w:rFonts w:ascii="楷体" w:eastAsia="楷体" w:hAnsi="楷体" w:hint="eastAsia"/>
          <w:sz w:val="30"/>
          <w:szCs w:val="30"/>
        </w:rPr>
        <w:t>三、支出决算表</w:t>
      </w:r>
    </w:p>
    <w:p>
      <w:pPr>
        <w:jc w:val="left"/>
        <w:rPr>
          <w:rFonts w:ascii="楷体" w:eastAsia="楷体" w:hAnsi="楷体" w:hint="eastAsia"/>
          <w:sz w:val="30"/>
          <w:szCs w:val="30"/>
        </w:rPr>
      </w:pPr>
      <w:r>
        <w:rPr>
          <w:rFonts w:ascii="楷体" w:eastAsia="楷体" w:hAnsi="楷体" w:hint="eastAsia"/>
          <w:sz w:val="30"/>
          <w:szCs w:val="30"/>
        </w:rPr>
        <w:t>四、财政拨款收入支出决算总表</w:t>
      </w:r>
    </w:p>
    <w:p>
      <w:pPr>
        <w:jc w:val="left"/>
        <w:rPr>
          <w:rFonts w:ascii="楷体" w:eastAsia="楷体" w:hAnsi="楷体" w:hint="eastAsia"/>
          <w:sz w:val="30"/>
          <w:szCs w:val="30"/>
        </w:rPr>
      </w:pPr>
      <w:r>
        <w:rPr>
          <w:rFonts w:ascii="楷体" w:eastAsia="楷体" w:hAnsi="楷体" w:hint="eastAsia"/>
          <w:sz w:val="30"/>
          <w:szCs w:val="30"/>
        </w:rPr>
        <w:t>五、一般公共预算财政拨款收入支出决算表</w:t>
      </w:r>
    </w:p>
    <w:p>
      <w:pPr>
        <w:jc w:val="left"/>
        <w:rPr>
          <w:rFonts w:ascii="楷体" w:eastAsia="楷体" w:hAnsi="楷体" w:hint="eastAsia"/>
          <w:sz w:val="30"/>
          <w:szCs w:val="30"/>
        </w:rPr>
      </w:pPr>
      <w:r>
        <w:rPr>
          <w:rFonts w:ascii="楷体" w:eastAsia="楷体" w:hAnsi="楷体" w:hint="eastAsia"/>
          <w:sz w:val="30"/>
          <w:szCs w:val="30"/>
        </w:rPr>
        <w:t>六、一般公共预算财政拨款基本支出决算表</w:t>
      </w:r>
    </w:p>
    <w:p>
      <w:pPr>
        <w:jc w:val="left"/>
        <w:rPr>
          <w:rFonts w:ascii="楷体" w:eastAsia="楷体" w:hAnsi="楷体" w:hint="eastAsia"/>
          <w:sz w:val="30"/>
          <w:szCs w:val="30"/>
        </w:rPr>
      </w:pPr>
      <w:r>
        <w:rPr>
          <w:rFonts w:ascii="楷体" w:eastAsia="楷体" w:hAnsi="楷体" w:hint="eastAsia"/>
          <w:sz w:val="30"/>
          <w:szCs w:val="30"/>
        </w:rPr>
        <w:t>七、政府性基金预算财政拨款收入支出决算表</w:t>
      </w:r>
    </w:p>
    <w:p>
      <w:pPr>
        <w:jc w:val="left"/>
        <w:rPr>
          <w:rFonts w:ascii="楷体" w:eastAsia="楷体" w:hAnsi="楷体" w:hint="eastAsia"/>
          <w:sz w:val="30"/>
          <w:szCs w:val="30"/>
        </w:rPr>
      </w:pPr>
      <w:r>
        <w:rPr>
          <w:rFonts w:ascii="楷体" w:eastAsia="楷体" w:hAnsi="楷体" w:hint="eastAsia"/>
          <w:sz w:val="30"/>
          <w:szCs w:val="30"/>
        </w:rPr>
        <w:t>八、财政专户管理资金收入支出决算表</w:t>
      </w:r>
    </w:p>
    <w:p>
      <w:pPr>
        <w:jc w:val="left"/>
        <w:rPr>
          <w:rFonts w:ascii="楷体" w:eastAsia="楷体" w:hAnsi="楷体" w:hint="eastAsia"/>
          <w:sz w:val="30"/>
          <w:szCs w:val="30"/>
        </w:rPr>
      </w:pPr>
      <w:r>
        <w:rPr>
          <w:rFonts w:ascii="楷体" w:eastAsia="楷体" w:hAnsi="楷体" w:hint="eastAsia"/>
          <w:sz w:val="30"/>
          <w:szCs w:val="30"/>
        </w:rPr>
        <w:t>九、“三公”经费、行政参公单位机关运行经费情况表</w:t>
      </w:r>
    </w:p>
    <w:p>
      <w:pPr>
        <w:jc w:val="left"/>
        <w:rPr>
          <w:rFonts w:ascii="黑体" w:eastAsia="黑体" w:hAnsi="黑体" w:hint="eastAsia"/>
          <w:sz w:val="30"/>
          <w:szCs w:val="30"/>
        </w:rPr>
      </w:pPr>
      <w:r>
        <w:rPr>
          <w:rFonts w:ascii="黑体" w:eastAsia="黑体" w:hAnsi="黑体" w:hint="eastAsia"/>
          <w:sz w:val="30"/>
          <w:szCs w:val="30"/>
        </w:rPr>
        <w:t>第三部</w:t>
      </w:r>
      <w:r>
        <w:rPr>
          <w:rFonts w:ascii="黑体" w:eastAsia="黑体" w:hAnsi="黑体" w:hint="eastAsia"/>
          <w:sz w:val="30"/>
          <w:szCs w:val="30"/>
          <w:lang w:eastAsia="zh-CN"/>
        </w:rPr>
        <w:t>分</w:t>
      </w:r>
      <w:r>
        <w:rPr>
          <w:rFonts w:ascii="黑体" w:eastAsia="黑体" w:hAnsi="黑体" w:hint="eastAsia"/>
          <w:sz w:val="30"/>
          <w:szCs w:val="30"/>
        </w:rPr>
        <w:t xml:space="preserve">  </w:t>
      </w:r>
      <w:r>
        <w:rPr>
          <w:rFonts w:ascii="黑体" w:eastAsia="黑体" w:hAnsi="黑体" w:hint="eastAsia"/>
          <w:sz w:val="30"/>
          <w:szCs w:val="30"/>
          <w:lang w:val="en-US" w:eastAsia="zh-CN"/>
        </w:rPr>
        <w:t>2018</w:t>
      </w:r>
      <w:r>
        <w:rPr>
          <w:rFonts w:ascii="黑体" w:eastAsia="黑体" w:hAnsi="黑体" w:hint="eastAsia"/>
          <w:sz w:val="30"/>
          <w:szCs w:val="30"/>
        </w:rPr>
        <w:t>年度部门决算情况说明</w:t>
      </w:r>
    </w:p>
    <w:p>
      <w:pPr>
        <w:jc w:val="left"/>
        <w:rPr>
          <w:rFonts w:ascii="楷体" w:eastAsia="楷体" w:hAnsi="楷体" w:hint="eastAsia"/>
          <w:sz w:val="30"/>
          <w:szCs w:val="30"/>
        </w:rPr>
      </w:pPr>
      <w:r>
        <w:rPr>
          <w:rFonts w:ascii="楷体" w:eastAsia="楷体" w:hAnsi="楷体" w:hint="eastAsia"/>
          <w:sz w:val="30"/>
          <w:szCs w:val="30"/>
        </w:rPr>
        <w:t>一、收入决算情况说明</w:t>
      </w:r>
    </w:p>
    <w:p>
      <w:pPr>
        <w:jc w:val="left"/>
        <w:rPr>
          <w:rFonts w:ascii="楷体" w:eastAsia="楷体" w:hAnsi="楷体" w:hint="eastAsia"/>
          <w:sz w:val="30"/>
          <w:szCs w:val="30"/>
        </w:rPr>
      </w:pPr>
      <w:r>
        <w:rPr>
          <w:rFonts w:ascii="楷体" w:eastAsia="楷体" w:hAnsi="楷体" w:hint="eastAsia"/>
          <w:sz w:val="30"/>
          <w:szCs w:val="30"/>
        </w:rPr>
        <w:t>二、支出决算情况说明</w:t>
      </w:r>
    </w:p>
    <w:p>
      <w:pPr>
        <w:jc w:val="left"/>
        <w:rPr>
          <w:rFonts w:ascii="楷体" w:eastAsia="楷体" w:hAnsi="楷体" w:hint="eastAsia"/>
          <w:sz w:val="30"/>
          <w:szCs w:val="30"/>
        </w:rPr>
      </w:pPr>
      <w:r>
        <w:rPr>
          <w:rFonts w:ascii="楷体" w:eastAsia="楷体" w:hAnsi="楷体" w:hint="eastAsia"/>
          <w:sz w:val="30"/>
          <w:szCs w:val="30"/>
        </w:rPr>
        <w:t>三、一般公共预算财政拨款支出决算情况说明</w:t>
      </w:r>
    </w:p>
    <w:p>
      <w:pPr>
        <w:widowControl/>
        <w:snapToGrid w:val="0"/>
        <w:spacing w:before="100" w:after="100" w:line="360" w:lineRule="auto"/>
        <w:jc w:val="left"/>
        <w:rPr>
          <w:rFonts w:ascii="楷体" w:eastAsia="楷体" w:hAnsi="楷体" w:hint="eastAsia"/>
          <w:sz w:val="30"/>
          <w:szCs w:val="30"/>
        </w:rPr>
      </w:pPr>
      <w:r>
        <w:rPr>
          <w:rFonts w:ascii="楷体" w:eastAsia="楷体" w:hAnsi="楷体" w:hint="eastAsia"/>
          <w:sz w:val="30"/>
          <w:szCs w:val="30"/>
        </w:rPr>
        <w:t>四、一般公共预算财政拨款“三公”经费支出决算情况说明</w:t>
      </w:r>
    </w:p>
    <w:p>
      <w:pPr>
        <w:widowControl/>
        <w:snapToGrid w:val="0"/>
        <w:spacing w:before="100" w:after="100" w:line="360" w:lineRule="auto"/>
        <w:jc w:val="left"/>
        <w:rPr>
          <w:rFonts w:ascii="黑体" w:eastAsia="黑体" w:hAnsi="黑体" w:hint="eastAsia"/>
          <w:sz w:val="30"/>
          <w:szCs w:val="30"/>
        </w:rPr>
      </w:pPr>
      <w:r>
        <w:rPr>
          <w:rFonts w:ascii="黑体" w:eastAsia="黑体" w:hAnsi="黑体" w:hint="eastAsia"/>
          <w:sz w:val="30"/>
          <w:szCs w:val="30"/>
          <w:lang w:eastAsia="zh-CN"/>
        </w:rPr>
        <w:t>第四部分</w:t>
      </w:r>
      <w:r>
        <w:rPr>
          <w:rFonts w:ascii="楷体" w:eastAsia="楷体" w:hAnsi="楷体" w:hint="eastAsia"/>
          <w:sz w:val="30"/>
          <w:szCs w:val="30"/>
          <w:lang w:val="en-US" w:eastAsia="zh-CN"/>
        </w:rPr>
        <w:t xml:space="preserve">  </w:t>
      </w:r>
      <w:r>
        <w:rPr>
          <w:rFonts w:ascii="黑体" w:eastAsia="黑体" w:hAnsi="黑体" w:hint="eastAsia"/>
          <w:sz w:val="30"/>
          <w:szCs w:val="30"/>
        </w:rPr>
        <w:t>其他重要事项及相关口径情况说明</w:t>
      </w:r>
    </w:p>
    <w:p>
      <w:pPr>
        <w:jc w:val="left"/>
        <w:rPr>
          <w:rFonts w:ascii="楷体" w:eastAsia="楷体" w:hAnsi="楷体" w:hint="eastAsia"/>
          <w:sz w:val="30"/>
          <w:szCs w:val="30"/>
          <w:lang w:eastAsia="zh-CN"/>
        </w:rPr>
      </w:pPr>
      <w:r>
        <w:rPr>
          <w:rFonts w:ascii="楷体" w:eastAsia="楷体" w:hAnsi="楷体" w:hint="eastAsia"/>
          <w:sz w:val="30"/>
          <w:szCs w:val="30"/>
          <w:lang w:eastAsia="zh-CN"/>
        </w:rPr>
        <w:t>一、</w:t>
      </w:r>
      <w:r>
        <w:rPr>
          <w:rFonts w:ascii="楷体" w:eastAsia="楷体" w:hAnsi="楷体" w:hint="eastAsia"/>
          <w:sz w:val="30"/>
          <w:szCs w:val="30"/>
        </w:rPr>
        <w:t>机关运行经费支出情况</w:t>
      </w:r>
    </w:p>
    <w:p>
      <w:pPr>
        <w:jc w:val="left"/>
        <w:rPr>
          <w:rFonts w:ascii="楷体" w:eastAsia="楷体" w:hAnsi="楷体" w:hint="eastAsia"/>
          <w:sz w:val="30"/>
          <w:szCs w:val="30"/>
          <w:lang w:eastAsia="zh-CN"/>
        </w:rPr>
      </w:pPr>
      <w:r>
        <w:rPr>
          <w:rFonts w:ascii="楷体" w:eastAsia="楷体" w:hAnsi="楷体" w:hint="eastAsia"/>
          <w:sz w:val="30"/>
          <w:szCs w:val="30"/>
          <w:lang w:eastAsia="zh-CN"/>
        </w:rPr>
        <w:t>二、</w:t>
      </w:r>
      <w:r>
        <w:rPr>
          <w:rFonts w:ascii="楷体" w:eastAsia="楷体" w:hAnsi="楷体" w:hint="eastAsia"/>
          <w:sz w:val="30"/>
          <w:szCs w:val="30"/>
        </w:rPr>
        <w:t>国有资产占用情况</w:t>
      </w:r>
    </w:p>
    <w:p>
      <w:pPr>
        <w:jc w:val="left"/>
        <w:rPr>
          <w:rFonts w:ascii="楷体" w:eastAsia="楷体" w:hAnsi="楷体" w:hint="eastAsia"/>
          <w:sz w:val="30"/>
          <w:szCs w:val="30"/>
          <w:lang w:eastAsia="zh-CN"/>
        </w:rPr>
      </w:pPr>
      <w:r>
        <w:rPr>
          <w:rFonts w:ascii="楷体" w:eastAsia="楷体" w:hAnsi="楷体" w:hint="eastAsia"/>
          <w:sz w:val="30"/>
          <w:szCs w:val="30"/>
          <w:lang w:eastAsia="zh-CN"/>
        </w:rPr>
        <w:t>三、</w:t>
      </w:r>
      <w:r>
        <w:rPr>
          <w:rFonts w:ascii="楷体" w:eastAsia="楷体" w:hAnsi="楷体" w:hint="eastAsia"/>
          <w:sz w:val="30"/>
          <w:szCs w:val="30"/>
        </w:rPr>
        <w:t>政府采购支出情况</w:t>
      </w:r>
    </w:p>
    <w:p>
      <w:pPr>
        <w:jc w:val="left"/>
        <w:rPr>
          <w:rFonts w:ascii="楷体" w:eastAsia="楷体" w:hAnsi="楷体" w:hint="eastAsia"/>
          <w:sz w:val="30"/>
          <w:szCs w:val="30"/>
          <w:lang w:val="en-US" w:eastAsia="zh-CN"/>
        </w:rPr>
      </w:pPr>
      <w:r>
        <w:rPr>
          <w:rFonts w:ascii="楷体" w:eastAsia="楷体" w:hAnsi="楷体" w:hint="eastAsia"/>
          <w:sz w:val="30"/>
          <w:szCs w:val="30"/>
          <w:lang w:eastAsia="zh-CN"/>
        </w:rPr>
        <w:t>四、</w:t>
      </w:r>
      <w:r>
        <w:rPr>
          <w:rFonts w:ascii="楷体" w:eastAsia="楷体" w:hAnsi="楷体" w:hint="eastAsia"/>
          <w:sz w:val="30"/>
          <w:szCs w:val="30"/>
          <w:lang w:val="en-US" w:eastAsia="zh-CN"/>
        </w:rPr>
        <w:t>部门绩效自评情况</w:t>
      </w:r>
    </w:p>
    <w:p>
      <w:pPr>
        <w:jc w:val="left"/>
        <w:rPr>
          <w:rFonts w:ascii="楷体" w:eastAsia="楷体" w:hAnsi="楷体" w:hint="eastAsia"/>
          <w:sz w:val="30"/>
          <w:szCs w:val="30"/>
          <w:lang w:val="en-US" w:eastAsia="zh-CN"/>
        </w:rPr>
      </w:pPr>
      <w:r>
        <w:rPr>
          <w:rFonts w:ascii="楷体" w:eastAsia="楷体" w:hAnsi="楷体" w:hint="eastAsia"/>
          <w:sz w:val="30"/>
          <w:szCs w:val="30"/>
          <w:lang w:val="en-US" w:eastAsia="zh-CN"/>
        </w:rPr>
        <w:t>（一）</w:t>
      </w:r>
      <w:r>
        <w:rPr>
          <w:rFonts w:ascii="楷体" w:eastAsia="楷体" w:hAnsi="楷体" w:hint="eastAsia"/>
          <w:sz w:val="30"/>
          <w:szCs w:val="30"/>
          <w:lang w:eastAsia="zh-CN"/>
        </w:rPr>
        <w:t>项目支出概况</w:t>
      </w:r>
    </w:p>
    <w:p>
      <w:pPr>
        <w:jc w:val="left"/>
        <w:rPr>
          <w:rFonts w:ascii="楷体" w:eastAsia="楷体" w:hAnsi="楷体" w:hint="eastAsia"/>
          <w:sz w:val="30"/>
          <w:szCs w:val="30"/>
          <w:lang w:val="en-US" w:eastAsia="zh-CN"/>
        </w:rPr>
      </w:pPr>
      <w:r>
        <w:rPr>
          <w:rFonts w:ascii="楷体" w:eastAsia="楷体" w:hAnsi="楷体" w:hint="eastAsia"/>
          <w:sz w:val="30"/>
          <w:szCs w:val="30"/>
          <w:lang w:val="en-US" w:eastAsia="zh-CN"/>
        </w:rPr>
        <w:t>（二）</w:t>
      </w:r>
      <w:r>
        <w:rPr>
          <w:rFonts w:ascii="楷体" w:eastAsia="楷体" w:hAnsi="楷体" w:hint="eastAsia"/>
          <w:sz w:val="30"/>
          <w:szCs w:val="30"/>
          <w:lang w:eastAsia="zh-CN"/>
        </w:rPr>
        <w:t>项目支出绩效自评</w:t>
      </w:r>
    </w:p>
    <w:p>
      <w:pPr>
        <w:jc w:val="left"/>
        <w:rPr>
          <w:rFonts w:ascii="楷体" w:eastAsia="楷体" w:hAnsi="楷体" w:hint="eastAsia"/>
          <w:sz w:val="30"/>
          <w:szCs w:val="30"/>
          <w:lang w:val="en-US" w:eastAsia="zh-CN"/>
        </w:rPr>
      </w:pPr>
      <w:r>
        <w:rPr>
          <w:rFonts w:ascii="楷体" w:eastAsia="楷体" w:hAnsi="楷体" w:hint="eastAsia"/>
          <w:sz w:val="30"/>
          <w:szCs w:val="30"/>
          <w:lang w:val="en-US" w:eastAsia="zh-CN"/>
        </w:rPr>
        <w:t>（三）</w:t>
      </w:r>
      <w:r>
        <w:rPr>
          <w:rFonts w:ascii="楷体" w:eastAsia="楷体" w:hAnsi="楷体" w:hint="eastAsia"/>
          <w:sz w:val="30"/>
          <w:szCs w:val="30"/>
          <w:lang w:eastAsia="zh-CN"/>
        </w:rPr>
        <w:t>项目绩效目标管理</w:t>
      </w:r>
    </w:p>
    <w:p>
      <w:pPr>
        <w:jc w:val="left"/>
        <w:rPr>
          <w:rFonts w:ascii="楷体" w:eastAsia="楷体" w:hAnsi="楷体" w:hint="eastAsia"/>
          <w:sz w:val="30"/>
          <w:szCs w:val="30"/>
          <w:lang w:val="en-US" w:eastAsia="zh-CN"/>
        </w:rPr>
      </w:pPr>
      <w:r>
        <w:rPr>
          <w:rFonts w:ascii="楷体" w:eastAsia="楷体" w:hAnsi="楷体" w:hint="eastAsia"/>
          <w:sz w:val="30"/>
          <w:szCs w:val="30"/>
          <w:lang w:val="en-US" w:eastAsia="zh-CN"/>
        </w:rPr>
        <w:t>（四）</w:t>
      </w:r>
      <w:r>
        <w:rPr>
          <w:rFonts w:ascii="楷体" w:eastAsia="楷体" w:hAnsi="楷体" w:hint="eastAsia"/>
          <w:sz w:val="30"/>
          <w:szCs w:val="30"/>
          <w:lang w:eastAsia="zh-CN"/>
        </w:rPr>
        <w:t>2018部门整体支出绩效自评报告</w:t>
      </w:r>
    </w:p>
    <w:p>
      <w:pPr>
        <w:jc w:val="left"/>
        <w:rPr>
          <w:rFonts w:ascii="楷体" w:eastAsia="楷体" w:hAnsi="楷体" w:hint="eastAsia"/>
          <w:sz w:val="30"/>
          <w:szCs w:val="30"/>
          <w:lang w:val="en-US" w:eastAsia="zh-CN"/>
        </w:rPr>
      </w:pPr>
      <w:r>
        <w:rPr>
          <w:rFonts w:ascii="楷体" w:eastAsia="楷体" w:hAnsi="楷体" w:hint="eastAsia"/>
          <w:sz w:val="30"/>
          <w:szCs w:val="30"/>
          <w:lang w:val="en-US" w:eastAsia="zh-CN"/>
        </w:rPr>
        <w:t>（五）</w:t>
      </w:r>
      <w:r>
        <w:rPr>
          <w:rFonts w:ascii="楷体" w:eastAsia="楷体" w:hAnsi="楷体" w:hint="eastAsia"/>
          <w:sz w:val="30"/>
          <w:szCs w:val="30"/>
          <w:lang w:eastAsia="zh-CN"/>
        </w:rPr>
        <w:t>部门整体支出绩效自评表</w:t>
      </w:r>
    </w:p>
    <w:p>
      <w:pPr>
        <w:jc w:val="left"/>
        <w:rPr>
          <w:rFonts w:ascii="楷体" w:eastAsia="楷体" w:hAnsi="楷体" w:hint="eastAsia"/>
          <w:sz w:val="30"/>
          <w:szCs w:val="30"/>
          <w:lang w:eastAsia="zh-CN"/>
        </w:rPr>
      </w:pPr>
      <w:r>
        <w:rPr>
          <w:rFonts w:ascii="楷体" w:eastAsia="楷体" w:hAnsi="楷体" w:hint="eastAsia"/>
          <w:sz w:val="30"/>
          <w:szCs w:val="30"/>
          <w:lang w:eastAsia="zh-CN"/>
        </w:rPr>
        <w:t>五、</w:t>
      </w:r>
      <w:r>
        <w:rPr>
          <w:rFonts w:ascii="楷体" w:eastAsia="楷体" w:hAnsi="楷体" w:hint="eastAsia"/>
          <w:sz w:val="30"/>
          <w:szCs w:val="30"/>
          <w:lang w:val="en-US" w:eastAsia="zh-CN"/>
        </w:rPr>
        <w:t>其他重要事项情况说明</w:t>
      </w:r>
    </w:p>
    <w:p>
      <w:pPr>
        <w:widowControl/>
        <w:snapToGrid w:val="0"/>
        <w:spacing w:before="100" w:after="100" w:line="360" w:lineRule="auto"/>
        <w:jc w:val="left"/>
        <w:rPr>
          <w:rFonts w:ascii="黑体" w:eastAsia="黑体" w:hAnsi="黑体" w:hint="eastAsia"/>
          <w:sz w:val="30"/>
          <w:szCs w:val="30"/>
        </w:rPr>
      </w:pPr>
      <w:r>
        <w:rPr>
          <w:rFonts w:ascii="黑体" w:eastAsia="黑体" w:hAnsi="黑体" w:hint="eastAsia"/>
          <w:sz w:val="30"/>
          <w:szCs w:val="30"/>
        </w:rPr>
        <w:t>第</w:t>
      </w:r>
      <w:r>
        <w:rPr>
          <w:rFonts w:ascii="黑体" w:eastAsia="黑体" w:hAnsi="黑体" w:hint="eastAsia"/>
          <w:sz w:val="30"/>
          <w:szCs w:val="30"/>
          <w:lang w:eastAsia="zh-CN"/>
        </w:rPr>
        <w:t>五</w:t>
      </w:r>
      <w:r>
        <w:rPr>
          <w:rFonts w:ascii="黑体" w:eastAsia="黑体" w:hAnsi="黑体" w:hint="eastAsia"/>
          <w:sz w:val="30"/>
          <w:szCs w:val="30"/>
        </w:rPr>
        <w:t>部分  名词解释</w:t>
      </w:r>
    </w:p>
    <w:p>
      <w:pPr>
        <w:jc w:val="center"/>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p>
    <w:p>
      <w:pPr>
        <w:jc w:val="both"/>
        <w:rPr>
          <w:rFonts w:ascii="黑体" w:eastAsia="黑体" w:hAnsi="黑体" w:hint="eastAsia"/>
          <w:sz w:val="32"/>
          <w:szCs w:val="32"/>
        </w:rPr>
      </w:pPr>
    </w:p>
    <w:p>
      <w:pPr>
        <w:jc w:val="center"/>
        <w:rPr>
          <w:rFonts w:ascii="黑体" w:eastAsia="黑体" w:hAnsi="黑体" w:hint="eastAsia"/>
          <w:sz w:val="32"/>
          <w:szCs w:val="32"/>
        </w:rPr>
      </w:pPr>
      <w:r>
        <w:rPr>
          <w:rFonts w:ascii="黑体" w:eastAsia="黑体" w:hAnsi="黑体" w:hint="eastAsia"/>
          <w:sz w:val="32"/>
          <w:szCs w:val="32"/>
        </w:rPr>
        <w:t xml:space="preserve">第一部分  </w:t>
      </w:r>
      <w:r>
        <w:rPr>
          <w:rFonts w:ascii="黑体" w:eastAsia="黑体" w:hAnsi="黑体" w:hint="eastAsia"/>
          <w:sz w:val="32"/>
          <w:szCs w:val="32"/>
          <w:lang w:eastAsia="zh-CN"/>
        </w:rPr>
        <w:t>西畴县国土资源局</w:t>
      </w:r>
      <w:r>
        <w:rPr>
          <w:rFonts w:ascii="黑体" w:eastAsia="黑体" w:hAnsi="黑体" w:hint="eastAsia"/>
          <w:sz w:val="32"/>
          <w:szCs w:val="32"/>
        </w:rPr>
        <w:t>概况</w:t>
      </w:r>
    </w:p>
    <w:p>
      <w:pPr>
        <w:spacing w:line="600" w:lineRule="exact"/>
        <w:ind w:firstLine="600" w:firstLineChars="200"/>
        <w:rPr>
          <w:rFonts w:ascii="黑体" w:eastAsia="黑体" w:hAnsi="黑体" w:hint="eastAsia"/>
          <w:sz w:val="30"/>
          <w:szCs w:val="30"/>
        </w:rPr>
      </w:pPr>
      <w:r>
        <w:rPr>
          <w:rFonts w:ascii="黑体" w:eastAsia="黑体" w:hAnsi="黑体" w:hint="eastAsia"/>
          <w:sz w:val="30"/>
          <w:szCs w:val="30"/>
        </w:rPr>
        <w:t>一、主要职能</w:t>
      </w:r>
    </w:p>
    <w:p>
      <w:pPr>
        <w:spacing w:line="600" w:lineRule="exact"/>
        <w:ind w:firstLine="600" w:firstLineChars="200"/>
        <w:rPr>
          <w:rFonts w:ascii="楷体" w:eastAsia="楷体" w:hAnsi="楷体" w:hint="eastAsia"/>
          <w:sz w:val="30"/>
          <w:szCs w:val="30"/>
        </w:rPr>
      </w:pPr>
      <w:r>
        <w:rPr>
          <w:rFonts w:ascii="楷体" w:eastAsia="楷体" w:hAnsi="楷体" w:hint="eastAsia"/>
          <w:bCs/>
          <w:sz w:val="30"/>
          <w:szCs w:val="30"/>
        </w:rPr>
        <w:t>（一）主要职能</w:t>
      </w:r>
    </w:p>
    <w:p>
      <w:pPr>
        <w:ind w:firstLine="640" w:firstLineChars="200"/>
        <w:rPr>
          <w:rFonts w:ascii="仿宋" w:eastAsia="仿宋" w:hAnsi="仿宋" w:cs="仿宋"/>
          <w:sz w:val="32"/>
          <w:szCs w:val="32"/>
        </w:rPr>
      </w:pPr>
      <w:r>
        <w:rPr>
          <w:rFonts w:ascii="仿宋" w:eastAsia="仿宋" w:hAnsi="仿宋" w:cs="仿宋" w:hint="eastAsia"/>
          <w:sz w:val="32"/>
          <w:szCs w:val="32"/>
          <w:lang w:val="en-US" w:eastAsia="zh-CN"/>
        </w:rPr>
        <w:t>1、</w:t>
      </w:r>
      <w:r>
        <w:rPr>
          <w:rFonts w:ascii="仿宋" w:eastAsia="仿宋" w:hAnsi="仿宋" w:cs="仿宋" w:hint="eastAsia"/>
          <w:sz w:val="32"/>
          <w:szCs w:val="32"/>
        </w:rPr>
        <w:t>贯彻执行土地管理、矿产资源管理、地质环境保护法律、法规和政策；研究草拟全县国土资源管理的规范性文件；组织实施全县土地资源、矿产资源管理的技术标准、规程、规范和办法。</w:t>
      </w:r>
    </w:p>
    <w:p>
      <w:pPr>
        <w:ind w:firstLine="640" w:firstLineChars="200"/>
        <w:rPr>
          <w:rFonts w:ascii="仿宋" w:eastAsia="仿宋" w:hAnsi="仿宋" w:cs="仿宋"/>
          <w:sz w:val="32"/>
          <w:szCs w:val="32"/>
        </w:rPr>
      </w:pPr>
      <w:r>
        <w:rPr>
          <w:rFonts w:ascii="仿宋" w:eastAsia="仿宋" w:hAnsi="仿宋" w:cs="仿宋" w:hint="eastAsia"/>
          <w:sz w:val="32"/>
          <w:szCs w:val="32"/>
          <w:lang w:val="en-US" w:eastAsia="zh-CN"/>
        </w:rPr>
        <w:t>2、</w:t>
      </w:r>
      <w:r>
        <w:rPr>
          <w:rFonts w:ascii="仿宋" w:eastAsia="仿宋" w:hAnsi="仿宋" w:cs="仿宋" w:hint="eastAsia"/>
          <w:sz w:val="32"/>
          <w:szCs w:val="32"/>
        </w:rPr>
        <w:t>组织编制和实施全县土地利用总体规划、补充耕地规划、矿产资源保护和合理利用规划、地质勘查规划、地质灾害防治、地质遗迹保护规划和国土资源其它专项规划、年度计划、年度方案、应急预案。</w:t>
      </w:r>
    </w:p>
    <w:p>
      <w:pPr>
        <w:ind w:firstLine="640" w:firstLineChars="200"/>
        <w:rPr>
          <w:rFonts w:ascii="仿宋" w:eastAsia="仿宋" w:hAnsi="仿宋" w:cs="仿宋"/>
          <w:sz w:val="32"/>
          <w:szCs w:val="32"/>
        </w:rPr>
      </w:pPr>
      <w:r>
        <w:rPr>
          <w:rFonts w:ascii="仿宋" w:eastAsia="仿宋" w:hAnsi="仿宋" w:cs="仿宋" w:hint="eastAsia"/>
          <w:sz w:val="32"/>
          <w:szCs w:val="32"/>
          <w:lang w:val="en-US" w:eastAsia="zh-CN"/>
        </w:rPr>
        <w:t>3、</w:t>
      </w:r>
      <w:r>
        <w:rPr>
          <w:rFonts w:ascii="仿宋" w:eastAsia="仿宋" w:hAnsi="仿宋" w:cs="仿宋" w:hint="eastAsia"/>
          <w:sz w:val="32"/>
          <w:szCs w:val="32"/>
        </w:rPr>
        <w:t>负责全县国土资源行政执法工作，调处土地使用权、采矿权权属纠纷，查处国土资源违法案件。</w:t>
      </w:r>
    </w:p>
    <w:p>
      <w:pPr>
        <w:ind w:firstLine="640" w:firstLineChars="200"/>
        <w:rPr>
          <w:rFonts w:ascii="仿宋" w:eastAsia="仿宋" w:hAnsi="仿宋" w:cs="仿宋"/>
          <w:sz w:val="32"/>
          <w:szCs w:val="32"/>
        </w:rPr>
      </w:pPr>
      <w:r>
        <w:rPr>
          <w:rFonts w:ascii="仿宋" w:eastAsia="仿宋" w:hAnsi="仿宋" w:cs="仿宋" w:hint="eastAsia"/>
          <w:sz w:val="32"/>
          <w:szCs w:val="32"/>
          <w:lang w:val="en-US" w:eastAsia="zh-CN"/>
        </w:rPr>
        <w:t>4、</w:t>
      </w:r>
      <w:r>
        <w:rPr>
          <w:rFonts w:ascii="仿宋" w:eastAsia="仿宋" w:hAnsi="仿宋" w:cs="仿宋" w:hint="eastAsia"/>
          <w:sz w:val="32"/>
          <w:szCs w:val="32"/>
        </w:rPr>
        <w:t>拟定全县耕地保护政策和鼓励耕地开发的政策、措施，组织实施土地用途管制和基本农田保护；承办农用地转用、征用、土地开发的审查、汇总、报批工作；承办报国务院、省、市政府审批的建设用地的审查、报批工作。</w:t>
      </w:r>
    </w:p>
    <w:p>
      <w:pPr>
        <w:ind w:firstLine="640" w:firstLineChars="200"/>
        <w:rPr>
          <w:rFonts w:ascii="仿宋" w:eastAsia="仿宋" w:hAnsi="仿宋" w:cs="仿宋"/>
          <w:sz w:val="32"/>
          <w:szCs w:val="32"/>
        </w:rPr>
      </w:pPr>
      <w:r>
        <w:rPr>
          <w:rFonts w:ascii="仿宋" w:eastAsia="仿宋" w:hAnsi="仿宋" w:cs="仿宋" w:hint="eastAsia"/>
          <w:sz w:val="32"/>
          <w:szCs w:val="32"/>
          <w:lang w:val="en-US" w:eastAsia="zh-CN"/>
        </w:rPr>
        <w:t>5、</w:t>
      </w:r>
      <w:r>
        <w:rPr>
          <w:rFonts w:ascii="仿宋" w:eastAsia="仿宋" w:hAnsi="仿宋" w:cs="仿宋" w:hint="eastAsia"/>
          <w:sz w:val="32"/>
          <w:szCs w:val="32"/>
        </w:rPr>
        <w:t>负责全县地籍管理工作。</w:t>
      </w:r>
    </w:p>
    <w:p>
      <w:pPr>
        <w:ind w:firstLine="640" w:firstLineChars="200"/>
        <w:rPr>
          <w:rFonts w:ascii="仿宋" w:eastAsia="仿宋" w:hAnsi="仿宋" w:cs="仿宋"/>
          <w:sz w:val="32"/>
          <w:szCs w:val="32"/>
        </w:rPr>
      </w:pPr>
      <w:r>
        <w:rPr>
          <w:rFonts w:ascii="仿宋" w:eastAsia="仿宋" w:hAnsi="仿宋" w:cs="仿宋" w:hint="eastAsia"/>
          <w:sz w:val="32"/>
          <w:szCs w:val="32"/>
          <w:lang w:val="en-US" w:eastAsia="zh-CN"/>
        </w:rPr>
        <w:t>6</w:t>
      </w:r>
      <w:r>
        <w:rPr>
          <w:rFonts w:ascii="仿宋" w:eastAsia="仿宋" w:hAnsi="仿宋" w:cs="仿宋" w:hint="eastAsia"/>
          <w:sz w:val="32"/>
          <w:szCs w:val="32"/>
        </w:rPr>
        <w:t>、拟定全县土地使用权划拨、出让、租赁、作价出资、转让、交易、政府收购、储备的管理办法和乡(镇)村用地的管理办法并组织实施；指导农村集体非农土地使用权的流转管理；指导基准地价、标定地价评测；审查土地评估机构资格，确认和备案土地使用权价格。</w:t>
      </w:r>
    </w:p>
    <w:p>
      <w:pPr>
        <w:ind w:firstLine="640" w:firstLineChars="200"/>
        <w:rPr>
          <w:rFonts w:ascii="仿宋" w:eastAsia="仿宋" w:hAnsi="仿宋" w:cs="仿宋"/>
          <w:sz w:val="32"/>
          <w:szCs w:val="32"/>
        </w:rPr>
      </w:pPr>
      <w:r>
        <w:rPr>
          <w:rFonts w:ascii="仿宋" w:eastAsia="仿宋" w:hAnsi="仿宋" w:cs="仿宋" w:hint="eastAsia"/>
          <w:sz w:val="32"/>
          <w:szCs w:val="32"/>
          <w:lang w:val="en-US" w:eastAsia="zh-CN"/>
        </w:rPr>
        <w:t>7</w:t>
      </w:r>
      <w:r>
        <w:rPr>
          <w:rFonts w:ascii="仿宋" w:eastAsia="仿宋" w:hAnsi="仿宋" w:cs="仿宋" w:hint="eastAsia"/>
          <w:sz w:val="32"/>
          <w:szCs w:val="32"/>
        </w:rPr>
        <w:t>、负责全县国家重点建设项目用地的统一征地管理。</w:t>
      </w:r>
    </w:p>
    <w:p>
      <w:pPr>
        <w:ind w:firstLine="640" w:firstLineChars="200"/>
        <w:rPr>
          <w:rFonts w:ascii="仿宋" w:eastAsia="仿宋" w:hAnsi="仿宋" w:cs="仿宋"/>
          <w:sz w:val="32"/>
          <w:szCs w:val="32"/>
        </w:rPr>
      </w:pPr>
      <w:r>
        <w:rPr>
          <w:rFonts w:ascii="仿宋" w:eastAsia="仿宋" w:hAnsi="仿宋" w:cs="仿宋" w:hint="eastAsia"/>
          <w:sz w:val="32"/>
          <w:szCs w:val="32"/>
          <w:lang w:val="en-US" w:eastAsia="zh-CN"/>
        </w:rPr>
        <w:t>8</w:t>
      </w:r>
      <w:r>
        <w:rPr>
          <w:rFonts w:ascii="仿宋" w:eastAsia="仿宋" w:hAnsi="仿宋" w:cs="仿宋" w:hint="eastAsia"/>
          <w:sz w:val="32"/>
          <w:szCs w:val="32"/>
        </w:rPr>
        <w:t>、依法管理采矿权授予和转让，保护合法矿业权；监督管理矿山企业的资源利用情况；监督管理地质勘查行业探矿行为。</w:t>
      </w:r>
    </w:p>
    <w:p>
      <w:pPr>
        <w:ind w:firstLine="640" w:firstLineChars="200"/>
        <w:rPr>
          <w:rFonts w:ascii="仿宋" w:eastAsia="仿宋" w:hAnsi="仿宋" w:cs="仿宋"/>
          <w:sz w:val="32"/>
          <w:szCs w:val="32"/>
        </w:rPr>
      </w:pPr>
      <w:r>
        <w:rPr>
          <w:rFonts w:ascii="仿宋" w:eastAsia="仿宋" w:hAnsi="仿宋" w:cs="仿宋" w:hint="eastAsia"/>
          <w:sz w:val="32"/>
          <w:szCs w:val="32"/>
          <w:lang w:val="en-US" w:eastAsia="zh-CN"/>
        </w:rPr>
        <w:t>9</w:t>
      </w:r>
      <w:r>
        <w:rPr>
          <w:rFonts w:ascii="仿宋" w:eastAsia="仿宋" w:hAnsi="仿宋" w:cs="仿宋" w:hint="eastAsia"/>
          <w:sz w:val="32"/>
          <w:szCs w:val="32"/>
        </w:rPr>
        <w:t>、依法管理全县矿产资源储量；组织开展全县矿产资源供需形势分析，研究拟定全县矿产资源政策和发展战略。</w:t>
      </w:r>
    </w:p>
    <w:p>
      <w:pPr>
        <w:ind w:firstLine="640" w:firstLineChars="200"/>
        <w:rPr>
          <w:rFonts w:ascii="仿宋" w:eastAsia="仿宋" w:hAnsi="仿宋" w:cs="仿宋"/>
          <w:sz w:val="32"/>
          <w:szCs w:val="32"/>
        </w:rPr>
      </w:pPr>
      <w:r>
        <w:rPr>
          <w:rFonts w:ascii="仿宋" w:eastAsia="仿宋" w:hAnsi="仿宋" w:cs="仿宋" w:hint="eastAsia"/>
          <w:sz w:val="32"/>
          <w:szCs w:val="32"/>
          <w:lang w:val="en-US" w:eastAsia="zh-CN"/>
        </w:rPr>
        <w:t>10</w:t>
      </w:r>
      <w:r>
        <w:rPr>
          <w:rFonts w:ascii="仿宋" w:eastAsia="仿宋" w:hAnsi="仿宋" w:cs="仿宋" w:hint="eastAsia"/>
          <w:sz w:val="32"/>
          <w:szCs w:val="32"/>
        </w:rPr>
        <w:t>、组织监测、防治地质灾害和保护地质遗迹；实施地下水动态监测，保护地质环境；指导地质灾害监测、评价和预报，组织协调重大地质灾害的防治。</w:t>
      </w:r>
    </w:p>
    <w:p>
      <w:pPr>
        <w:ind w:firstLine="640" w:firstLineChars="200"/>
        <w:rPr>
          <w:rFonts w:ascii="仿宋" w:eastAsia="仿宋" w:hAnsi="仿宋" w:cs="仿宋"/>
          <w:sz w:val="32"/>
          <w:szCs w:val="32"/>
        </w:rPr>
      </w:pPr>
      <w:r>
        <w:rPr>
          <w:rFonts w:ascii="仿宋" w:eastAsia="仿宋" w:hAnsi="仿宋" w:cs="仿宋" w:hint="eastAsia"/>
          <w:sz w:val="32"/>
          <w:szCs w:val="32"/>
          <w:lang w:val="en-US" w:eastAsia="zh-CN"/>
        </w:rPr>
        <w:t>11</w:t>
      </w:r>
      <w:r>
        <w:rPr>
          <w:rFonts w:ascii="仿宋" w:eastAsia="仿宋" w:hAnsi="仿宋" w:cs="仿宋" w:hint="eastAsia"/>
          <w:sz w:val="32"/>
          <w:szCs w:val="32"/>
        </w:rPr>
        <w:t>、参与拟定全县国土资源有关资金、资产方面的政策，依法负责有关费用的征收、使用和资金管理。</w:t>
      </w:r>
    </w:p>
    <w:p>
      <w:pPr>
        <w:ind w:firstLine="640" w:firstLineChars="200"/>
        <w:rPr>
          <w:rFonts w:ascii="仿宋_GB2312" w:eastAsia="仿宋_GB2312" w:hAnsi="仿宋" w:hint="eastAsia"/>
          <w:sz w:val="32"/>
          <w:szCs w:val="32"/>
        </w:rPr>
      </w:pPr>
      <w:r>
        <w:rPr>
          <w:rFonts w:ascii="仿宋" w:eastAsia="仿宋" w:hAnsi="仿宋" w:cs="仿宋" w:hint="eastAsia"/>
          <w:sz w:val="32"/>
          <w:szCs w:val="32"/>
          <w:lang w:val="en-US" w:eastAsia="zh-CN"/>
        </w:rPr>
        <w:t>12</w:t>
      </w:r>
      <w:r>
        <w:rPr>
          <w:rFonts w:ascii="仿宋" w:eastAsia="仿宋" w:hAnsi="仿宋" w:cs="仿宋" w:hint="eastAsia"/>
          <w:sz w:val="32"/>
          <w:szCs w:val="32"/>
        </w:rPr>
        <w:t>、监督土地登记、房屋登记、林地登记、农村土地承包经营权登记等不动产登记工作；建立不动产统一登记制度，制定不动产权属争议的调处制度，配合相关行政主管部门做好不动产权属争议调处；牵头建立不动产登记信息基础平台建设。</w:t>
      </w:r>
    </w:p>
    <w:p>
      <w:pPr>
        <w:pStyle w:val="BodyText"/>
        <w:adjustRightInd w:val="0"/>
        <w:snapToGrid w:val="0"/>
        <w:spacing w:line="600" w:lineRule="exact"/>
        <w:ind w:firstLine="630" w:firstLineChars="210"/>
        <w:rPr>
          <w:rFonts w:ascii="楷体" w:eastAsia="楷体" w:hAnsi="楷体" w:hint="eastAsia"/>
          <w:bCs/>
          <w:szCs w:val="30"/>
        </w:rPr>
      </w:pPr>
      <w:r>
        <w:rPr>
          <w:rFonts w:ascii="楷体" w:eastAsia="楷体" w:hAnsi="楷体" w:hint="eastAsia"/>
          <w:bCs/>
          <w:szCs w:val="30"/>
        </w:rPr>
        <w:t>（二）</w:t>
      </w:r>
      <w:r>
        <w:rPr>
          <w:rFonts w:ascii="仿宋_GB2312" w:eastAsia="仿宋_GB2312" w:hAnsi="仿宋_GB2312" w:cs="仿宋_GB2312" w:hint="eastAsia"/>
          <w:bCs/>
          <w:szCs w:val="30"/>
          <w:lang w:val="en-US" w:eastAsia="zh-CN"/>
        </w:rPr>
        <w:t>2018</w:t>
      </w:r>
      <w:r>
        <w:rPr>
          <w:rFonts w:ascii="仿宋_GB2312" w:eastAsia="仿宋_GB2312" w:hAnsi="仿宋_GB2312" w:cs="仿宋_GB2312" w:hint="eastAsia"/>
          <w:bCs/>
          <w:szCs w:val="30"/>
        </w:rPr>
        <w:t>年</w:t>
      </w:r>
      <w:r>
        <w:rPr>
          <w:rFonts w:ascii="楷体" w:eastAsia="楷体" w:hAnsi="楷体" w:hint="eastAsia"/>
          <w:bCs/>
          <w:szCs w:val="30"/>
        </w:rPr>
        <w:t>度重点工作任务介绍</w:t>
      </w:r>
    </w:p>
    <w:p>
      <w:pPr>
        <w:keepNext w:val="0"/>
        <w:keepLines w:val="0"/>
        <w:pageBreakBefore w:val="0"/>
        <w:kinsoku/>
        <w:wordWrap/>
        <w:overflowPunct/>
        <w:topLinePunct w:val="0"/>
        <w:autoSpaceDE/>
        <w:autoSpaceDN/>
        <w:bidi w:val="0"/>
        <w:adjustRightInd w:val="0"/>
        <w:snapToGrid w:val="0"/>
        <w:spacing w:line="520" w:lineRule="exact"/>
        <w:ind w:left="0" w:right="0" w:firstLine="640" w:leftChars="0" w:rightChars="0" w:firstLineChars="200"/>
        <w:textAlignment w:val="auto"/>
        <w:outlineLvl w:val="9"/>
        <w:rPr>
          <w:rFonts w:ascii="宋体" w:eastAsia="方正仿宋_GBK" w:hAnsi="宋体" w:cs="方正仿宋_GBK" w:hint="eastAsia"/>
          <w:b w:val="0"/>
          <w:bCs w:val="0"/>
          <w:kern w:val="0"/>
          <w:sz w:val="32"/>
          <w:szCs w:val="32"/>
          <w:lang w:eastAsia="zh-CN"/>
        </w:rPr>
      </w:pPr>
      <w:r>
        <w:rPr>
          <w:rFonts w:ascii="宋体" w:eastAsia="方正仿宋_GBK" w:hAnsi="宋体" w:cs="方正仿宋_GBK" w:hint="eastAsia"/>
          <w:b w:val="0"/>
          <w:bCs w:val="0"/>
          <w:color w:val="auto"/>
          <w:sz w:val="32"/>
          <w:szCs w:val="32"/>
          <w:lang w:val="en-US" w:eastAsia="zh-CN"/>
        </w:rPr>
        <w:t>2018年以来</w:t>
      </w:r>
      <w:r>
        <w:rPr>
          <w:rFonts w:ascii="宋体" w:eastAsia="方正仿宋_GBK" w:hAnsi="宋体" w:cs="方正仿宋_GBK" w:hint="eastAsia"/>
          <w:b w:val="0"/>
          <w:bCs w:val="0"/>
          <w:color w:val="auto"/>
          <w:sz w:val="32"/>
          <w:szCs w:val="32"/>
        </w:rPr>
        <w:t>为切实做好</w:t>
      </w:r>
      <w:r>
        <w:rPr>
          <w:rFonts w:ascii="宋体" w:eastAsia="方正仿宋_GBK" w:hAnsi="宋体" w:cs="方正仿宋_GBK" w:hint="eastAsia"/>
          <w:b w:val="0"/>
          <w:bCs w:val="0"/>
          <w:color w:val="auto"/>
          <w:sz w:val="32"/>
          <w:szCs w:val="32"/>
          <w:lang w:eastAsia="zh-CN"/>
        </w:rPr>
        <w:t>全</w:t>
      </w:r>
      <w:r>
        <w:rPr>
          <w:rFonts w:ascii="宋体" w:eastAsia="方正仿宋_GBK" w:hAnsi="宋体" w:cs="方正仿宋_GBK" w:hint="eastAsia"/>
          <w:b w:val="0"/>
          <w:bCs w:val="0"/>
          <w:color w:val="auto"/>
          <w:sz w:val="32"/>
          <w:szCs w:val="32"/>
        </w:rPr>
        <w:t>县重点项目用地保障工作，促进经济社会持续、健康发展。</w:t>
      </w:r>
      <w:r>
        <w:rPr>
          <w:rFonts w:ascii="宋体" w:eastAsia="方正仿宋_GBK" w:hAnsi="宋体" w:cs="方正仿宋_GBK" w:hint="eastAsia"/>
          <w:b w:val="0"/>
          <w:bCs w:val="0"/>
          <w:color w:val="auto"/>
          <w:sz w:val="32"/>
          <w:szCs w:val="32"/>
          <w:lang w:val="en-US" w:eastAsia="zh-CN"/>
        </w:rPr>
        <w:t>一是</w:t>
      </w:r>
      <w:r>
        <w:rPr>
          <w:rFonts w:ascii="宋体" w:eastAsia="方正仿宋_GBK" w:hAnsi="宋体" w:cs="方正仿宋_GBK" w:hint="eastAsia"/>
          <w:b w:val="0"/>
          <w:bCs w:val="0"/>
          <w:color w:val="auto"/>
          <w:sz w:val="32"/>
          <w:szCs w:val="32"/>
        </w:rPr>
        <w:t>以项目为抓手，以推进落实为目标，以服务用地为宗旨</w:t>
      </w:r>
      <w:r>
        <w:rPr>
          <w:rFonts w:ascii="宋体" w:eastAsia="方正仿宋_GBK" w:hAnsi="宋体" w:cs="方正仿宋_GBK" w:hint="eastAsia"/>
          <w:b w:val="0"/>
          <w:bCs w:val="0"/>
          <w:color w:val="auto"/>
          <w:sz w:val="32"/>
          <w:szCs w:val="32"/>
          <w:lang w:eastAsia="zh-CN"/>
        </w:rPr>
        <w:t>。二是</w:t>
      </w:r>
      <w:r>
        <w:rPr>
          <w:rFonts w:ascii="宋体" w:eastAsia="方正仿宋_GBK" w:hAnsi="宋体" w:cs="方正仿宋_GBK" w:hint="eastAsia"/>
          <w:b w:val="0"/>
          <w:bCs w:val="0"/>
          <w:color w:val="auto"/>
          <w:sz w:val="32"/>
          <w:szCs w:val="32"/>
        </w:rPr>
        <w:t>2018年全县重点项目、易地扶贫搬迁项目、审计整改项目、村级活动室、农村个人建房等重点建设项目，制定工作目标任务、计划，严格按照程序规定，及时组织开展建设项目用地报批工作。</w:t>
      </w:r>
      <w:r>
        <w:rPr>
          <w:rFonts w:ascii="宋体" w:eastAsia="方正仿宋_GBK" w:hAnsi="宋体" w:cs="方正仿宋_GBK" w:hint="eastAsia"/>
          <w:b w:val="0"/>
          <w:bCs w:val="0"/>
          <w:color w:val="auto"/>
          <w:sz w:val="32"/>
          <w:szCs w:val="32"/>
          <w:lang w:eastAsia="zh-CN"/>
        </w:rPr>
        <w:t>三是</w:t>
      </w:r>
      <w:r>
        <w:rPr>
          <w:rFonts w:ascii="宋体" w:eastAsia="方正仿宋_GBK" w:hAnsi="宋体" w:cs="方正仿宋_GBK" w:hint="eastAsia"/>
          <w:b w:val="0"/>
          <w:bCs w:val="0"/>
          <w:color w:val="auto"/>
          <w:sz w:val="32"/>
          <w:szCs w:val="32"/>
        </w:rPr>
        <w:t>2018年已获批复6个批次城镇建设项目，用地面积70.4823公顷，投资项目资金16192万元。正在组织上报批次项目</w:t>
      </w:r>
      <w:r>
        <w:rPr>
          <w:rFonts w:ascii="宋体" w:eastAsia="方正仿宋_GBK" w:hAnsi="宋体" w:cs="方正仿宋_GBK" w:hint="eastAsia"/>
          <w:b w:val="0"/>
          <w:bCs w:val="0"/>
          <w:color w:val="auto"/>
          <w:sz w:val="32"/>
          <w:szCs w:val="32"/>
          <w:lang w:val="en-US" w:eastAsia="zh-CN"/>
        </w:rPr>
        <w:t>1个</w:t>
      </w:r>
      <w:r>
        <w:rPr>
          <w:rFonts w:ascii="宋体" w:eastAsia="方正仿宋_GBK" w:hAnsi="宋体" w:cs="方正仿宋_GBK" w:hint="eastAsia"/>
          <w:b w:val="0"/>
          <w:bCs w:val="0"/>
          <w:color w:val="auto"/>
          <w:sz w:val="32"/>
          <w:szCs w:val="32"/>
        </w:rPr>
        <w:t>（民生项目棚户区改造），面积4.7347公顷</w:t>
      </w:r>
      <w:r>
        <w:rPr>
          <w:rFonts w:ascii="宋体" w:eastAsia="方正仿宋_GBK" w:hAnsi="宋体" w:cs="方正仿宋_GBK" w:hint="eastAsia"/>
          <w:b w:val="0"/>
          <w:bCs w:val="0"/>
          <w:color w:val="auto"/>
          <w:sz w:val="32"/>
          <w:szCs w:val="32"/>
          <w:lang w:eastAsia="zh-CN"/>
        </w:rPr>
        <w:t>；四是</w:t>
      </w:r>
      <w:r>
        <w:rPr>
          <w:rFonts w:ascii="宋体" w:eastAsia="方正仿宋_GBK" w:hAnsi="宋体" w:cs="方正仿宋_GBK" w:hint="eastAsia"/>
          <w:b w:val="0"/>
          <w:bCs w:val="0"/>
          <w:color w:val="auto"/>
          <w:sz w:val="32"/>
          <w:szCs w:val="32"/>
        </w:rPr>
        <w:t>上报易地扶贫搬迁编制增减挂钩方案8个，用地总面积21.5116公顷</w:t>
      </w:r>
      <w:r>
        <w:rPr>
          <w:rFonts w:ascii="宋体" w:eastAsia="方正仿宋_GBK" w:hAnsi="宋体" w:cs="方正仿宋_GBK" w:hint="eastAsia"/>
          <w:b w:val="0"/>
          <w:bCs w:val="0"/>
          <w:color w:val="auto"/>
          <w:sz w:val="32"/>
          <w:szCs w:val="32"/>
          <w:lang w:eastAsia="zh-CN"/>
        </w:rPr>
        <w:t>，</w:t>
      </w:r>
      <w:r>
        <w:rPr>
          <w:rFonts w:ascii="宋体" w:eastAsia="方正仿宋_GBK" w:hAnsi="宋体" w:cs="方正仿宋_GBK" w:hint="eastAsia"/>
          <w:b w:val="0"/>
          <w:bCs w:val="0"/>
          <w:color w:val="auto"/>
          <w:sz w:val="32"/>
          <w:szCs w:val="32"/>
        </w:rPr>
        <w:t>已审批</w:t>
      </w:r>
      <w:r>
        <w:rPr>
          <w:rFonts w:ascii="宋体" w:eastAsia="方正仿宋_GBK" w:hAnsi="宋体" w:cs="方正仿宋_GBK" w:hint="eastAsia"/>
          <w:b w:val="0"/>
          <w:bCs w:val="0"/>
          <w:color w:val="auto"/>
          <w:sz w:val="32"/>
          <w:szCs w:val="32"/>
          <w:lang w:val="en-US" w:eastAsia="zh-CN"/>
        </w:rPr>
        <w:t>3</w:t>
      </w:r>
      <w:r>
        <w:rPr>
          <w:rFonts w:ascii="宋体" w:eastAsia="方正仿宋_GBK" w:hAnsi="宋体" w:cs="方正仿宋_GBK" w:hint="eastAsia"/>
          <w:b w:val="0"/>
          <w:bCs w:val="0"/>
          <w:color w:val="auto"/>
          <w:sz w:val="32"/>
          <w:szCs w:val="32"/>
        </w:rPr>
        <w:t>个，待省厅审批</w:t>
      </w:r>
      <w:r>
        <w:rPr>
          <w:rFonts w:ascii="宋体" w:eastAsia="方正仿宋_GBK" w:hAnsi="宋体" w:cs="方正仿宋_GBK" w:hint="eastAsia"/>
          <w:b w:val="0"/>
          <w:bCs w:val="0"/>
          <w:color w:val="auto"/>
          <w:sz w:val="32"/>
          <w:szCs w:val="32"/>
          <w:lang w:val="en-US" w:eastAsia="zh-CN"/>
        </w:rPr>
        <w:t>4</w:t>
      </w:r>
      <w:r>
        <w:rPr>
          <w:rFonts w:ascii="宋体" w:eastAsia="方正仿宋_GBK" w:hAnsi="宋体" w:cs="方正仿宋_GBK" w:hint="eastAsia"/>
          <w:b w:val="0"/>
          <w:bCs w:val="0"/>
          <w:color w:val="auto"/>
          <w:sz w:val="32"/>
          <w:szCs w:val="32"/>
        </w:rPr>
        <w:t>个</w:t>
      </w:r>
      <w:r>
        <w:rPr>
          <w:rFonts w:ascii="宋体" w:eastAsia="方正仿宋_GBK" w:hAnsi="宋体" w:cs="方正仿宋_GBK" w:hint="eastAsia"/>
          <w:b w:val="0"/>
          <w:bCs w:val="0"/>
          <w:color w:val="auto"/>
          <w:sz w:val="32"/>
          <w:szCs w:val="32"/>
          <w:lang w:eastAsia="zh-CN"/>
        </w:rPr>
        <w:t>，</w:t>
      </w:r>
      <w:r>
        <w:rPr>
          <w:rFonts w:ascii="宋体" w:eastAsia="方正仿宋_GBK" w:hAnsi="宋体" w:cs="方正仿宋_GBK" w:hint="eastAsia"/>
          <w:b w:val="0"/>
          <w:bCs w:val="0"/>
          <w:color w:val="auto"/>
          <w:sz w:val="32"/>
          <w:szCs w:val="32"/>
        </w:rPr>
        <w:t>正在开展1个。其他项目报批工作正在开展</w:t>
      </w:r>
      <w:r>
        <w:rPr>
          <w:rFonts w:ascii="宋体" w:eastAsia="方正仿宋_GBK" w:hAnsi="宋体" w:cs="方正仿宋_GBK" w:hint="eastAsia"/>
          <w:b w:val="0"/>
          <w:bCs w:val="0"/>
          <w:color w:val="auto"/>
          <w:sz w:val="32"/>
          <w:szCs w:val="32"/>
          <w:lang w:eastAsia="zh-CN"/>
        </w:rPr>
        <w:t>中</w:t>
      </w:r>
      <w:r>
        <w:rPr>
          <w:rFonts w:ascii="宋体" w:eastAsia="方正仿宋_GBK" w:hAnsi="宋体" w:cs="方正仿宋_GBK" w:hint="eastAsia"/>
          <w:b w:val="0"/>
          <w:bCs w:val="0"/>
          <w:color w:val="auto"/>
          <w:sz w:val="32"/>
          <w:szCs w:val="32"/>
        </w:rPr>
        <w:t>。</w:t>
      </w:r>
      <w:r>
        <w:rPr>
          <w:rFonts w:ascii="宋体" w:eastAsia="方正仿宋_GBK" w:hAnsi="宋体" w:cs="方正仿宋_GBK" w:hint="eastAsia"/>
          <w:b w:val="0"/>
          <w:bCs w:val="0"/>
          <w:color w:val="auto"/>
          <w:sz w:val="32"/>
          <w:szCs w:val="32"/>
          <w:lang w:eastAsia="zh-CN"/>
        </w:rPr>
        <w:t>五是</w:t>
      </w:r>
      <w:r>
        <w:rPr>
          <w:rFonts w:ascii="宋体" w:eastAsia="方正仿宋_GBK" w:hAnsi="宋体" w:cs="方正仿宋_GBK" w:hint="eastAsia"/>
          <w:b w:val="0"/>
          <w:bCs w:val="0"/>
          <w:color w:val="auto"/>
          <w:sz w:val="32"/>
          <w:szCs w:val="32"/>
        </w:rPr>
        <w:t>完成临时用地报批项目1个（高速公路项目、曼龙沟矿山）,面积116.5441公顷。完成村级活动室审批687个，面积13.4281公顷</w:t>
      </w:r>
      <w:r>
        <w:rPr>
          <w:rFonts w:ascii="宋体" w:eastAsia="方正仿宋_GBK" w:hAnsi="宋体" w:cs="方正仿宋_GBK" w:hint="eastAsia"/>
          <w:b w:val="0"/>
          <w:bCs w:val="0"/>
          <w:color w:val="auto"/>
          <w:sz w:val="32"/>
          <w:szCs w:val="32"/>
          <w:lang w:eastAsia="zh-CN"/>
        </w:rPr>
        <w:t>。六是</w:t>
      </w:r>
      <w:r>
        <w:rPr>
          <w:rFonts w:ascii="仿宋_GB2312" w:eastAsia="仿宋_GB2312" w:hAnsi="仿宋_GB2312" w:cs="仿宋_GB2312" w:hint="eastAsia"/>
          <w:b w:val="0"/>
          <w:bCs w:val="0"/>
          <w:sz w:val="32"/>
          <w:szCs w:val="32"/>
          <w:lang w:eastAsia="zh-CN"/>
        </w:rPr>
        <w:t>全力推进</w:t>
      </w:r>
      <w:r>
        <w:rPr>
          <w:rFonts w:ascii="仿宋_GB2312" w:eastAsia="仿宋_GB2312" w:hAnsi="仿宋_GB2312" w:cs="仿宋_GB2312" w:hint="eastAsia"/>
          <w:b w:val="0"/>
          <w:bCs w:val="0"/>
          <w:sz w:val="32"/>
          <w:szCs w:val="32"/>
        </w:rPr>
        <w:t>增减挂钩政策助推脱贫攻坚。</w:t>
      </w:r>
      <w:r>
        <w:rPr>
          <w:rFonts w:ascii="宋体" w:eastAsia="方正仿宋_GBK" w:hAnsi="宋体" w:cs="方正仿宋_GBK" w:hint="eastAsia"/>
          <w:b w:val="0"/>
          <w:bCs w:val="0"/>
          <w:kern w:val="0"/>
          <w:sz w:val="32"/>
          <w:szCs w:val="32"/>
        </w:rPr>
        <w:t>西畴县已经完成7个城乡建设用地增减挂钩项目实施方案的编制上报，正在组织编制1个（兴街江鳅洞</w:t>
      </w:r>
      <w:r>
        <w:rPr>
          <w:rFonts w:ascii="宋体" w:eastAsia="方正仿宋_GBK" w:hAnsi="宋体" w:cs="方正仿宋_GBK" w:hint="eastAsia"/>
          <w:b w:val="0"/>
          <w:bCs w:val="0"/>
          <w:kern w:val="0"/>
          <w:sz w:val="32"/>
          <w:szCs w:val="32"/>
          <w:lang w:eastAsia="zh-CN"/>
        </w:rPr>
        <w:t>二期</w:t>
      </w:r>
      <w:r>
        <w:rPr>
          <w:rFonts w:ascii="宋体" w:eastAsia="方正仿宋_GBK" w:hAnsi="宋体" w:cs="方正仿宋_GBK" w:hint="eastAsia"/>
          <w:b w:val="0"/>
          <w:bCs w:val="0"/>
          <w:kern w:val="0"/>
          <w:sz w:val="32"/>
          <w:szCs w:val="32"/>
        </w:rPr>
        <w:t>安置点）</w:t>
      </w:r>
      <w:r>
        <w:rPr>
          <w:rFonts w:ascii="宋体" w:eastAsia="方正仿宋_GBK" w:hAnsi="宋体" w:cs="方正仿宋_GBK" w:hint="eastAsia"/>
          <w:b w:val="0"/>
          <w:bCs w:val="0"/>
          <w:kern w:val="0"/>
          <w:sz w:val="32"/>
          <w:szCs w:val="32"/>
          <w:lang w:eastAsia="zh-CN"/>
        </w:rPr>
        <w:t>，</w:t>
      </w:r>
      <w:r>
        <w:rPr>
          <w:rFonts w:ascii="宋体" w:eastAsia="方正仿宋_GBK" w:hAnsi="宋体" w:cs="方正仿宋_GBK" w:hint="eastAsia"/>
          <w:b w:val="0"/>
          <w:bCs w:val="0"/>
          <w:color w:val="auto"/>
          <w:kern w:val="0"/>
          <w:sz w:val="32"/>
          <w:szCs w:val="32"/>
        </w:rPr>
        <w:t>13个搬迁安置点已经编制了地质灾害危险性评估报告书，并通过了评</w:t>
      </w:r>
      <w:r>
        <w:rPr>
          <w:rFonts w:ascii="宋体" w:eastAsia="方正仿宋_GBK" w:hAnsi="宋体" w:cs="方正仿宋_GBK" w:hint="eastAsia"/>
          <w:b w:val="0"/>
          <w:bCs w:val="0"/>
          <w:kern w:val="0"/>
          <w:sz w:val="32"/>
          <w:szCs w:val="32"/>
        </w:rPr>
        <w:t>审</w:t>
      </w:r>
      <w:r>
        <w:rPr>
          <w:rFonts w:ascii="宋体" w:eastAsia="方正仿宋_GBK" w:hAnsi="宋体" w:cs="方正仿宋_GBK" w:hint="eastAsia"/>
          <w:b w:val="0"/>
          <w:bCs w:val="0"/>
          <w:kern w:val="0"/>
          <w:sz w:val="32"/>
          <w:szCs w:val="32"/>
          <w:lang w:eastAsia="zh-CN"/>
        </w:rPr>
        <w:t>，明确</w:t>
      </w:r>
      <w:r>
        <w:rPr>
          <w:rFonts w:ascii="宋体" w:eastAsia="方正仿宋_GBK" w:hAnsi="宋体" w:cs="方正仿宋_GBK" w:hint="eastAsia"/>
          <w:b w:val="0"/>
          <w:bCs w:val="0"/>
          <w:kern w:val="0"/>
          <w:sz w:val="32"/>
          <w:szCs w:val="32"/>
        </w:rPr>
        <w:t>207户分散安置地质灾害危险性评估报告书正在组织编制。</w:t>
      </w:r>
      <w:r>
        <w:rPr>
          <w:rFonts w:ascii="宋体" w:eastAsia="方正仿宋_GBK" w:hAnsi="宋体" w:cs="方正仿宋_GBK" w:hint="eastAsia"/>
          <w:b w:val="0"/>
          <w:bCs w:val="0"/>
          <w:kern w:val="0"/>
          <w:sz w:val="32"/>
          <w:szCs w:val="32"/>
          <w:lang w:eastAsia="zh-CN"/>
        </w:rPr>
        <w:t>七是</w:t>
      </w:r>
      <w:r>
        <w:rPr>
          <w:rStyle w:val="16"/>
          <w:rFonts w:ascii="宋体" w:eastAsia="方正仿宋_GBK" w:hAnsi="宋体" w:cs="方正仿宋_GBK" w:hint="eastAsia"/>
          <w:b w:val="0"/>
          <w:bCs w:val="0"/>
          <w:color w:val="auto"/>
          <w:sz w:val="32"/>
          <w:szCs w:val="32"/>
          <w:lang w:val="en-US" w:eastAsia="zh-CN"/>
        </w:rPr>
        <w:t>严格执行土地利用总体规划和土地利用规划计划管控工作，2018年各项用地计划均没有突破，</w:t>
      </w:r>
      <w:r>
        <w:rPr>
          <w:rStyle w:val="16"/>
          <w:rFonts w:ascii="宋体" w:eastAsia="方正仿宋_GBK" w:hAnsi="宋体" w:cs="方正仿宋_GBK" w:hint="eastAsia"/>
          <w:b w:val="0"/>
          <w:bCs w:val="0"/>
          <w:color w:val="auto"/>
          <w:sz w:val="32"/>
          <w:szCs w:val="32"/>
          <w:lang w:eastAsia="zh-CN"/>
        </w:rPr>
        <w:t>开展</w:t>
      </w:r>
      <w:r>
        <w:rPr>
          <w:rStyle w:val="16"/>
          <w:rFonts w:ascii="宋体" w:eastAsia="方正仿宋_GBK" w:hAnsi="宋体" w:cs="方正仿宋_GBK" w:hint="eastAsia"/>
          <w:b w:val="0"/>
          <w:bCs w:val="0"/>
          <w:color w:val="auto"/>
          <w:sz w:val="32"/>
          <w:szCs w:val="32"/>
        </w:rPr>
        <w:t>建设项目用地预审</w:t>
      </w:r>
      <w:r>
        <w:rPr>
          <w:rFonts w:ascii="宋体" w:eastAsia="方正仿宋_GBK" w:hAnsi="宋体" w:cs="方正仿宋_GBK" w:hint="eastAsia"/>
          <w:b w:val="0"/>
          <w:bCs w:val="0"/>
          <w:color w:val="auto"/>
          <w:sz w:val="32"/>
          <w:szCs w:val="32"/>
        </w:rPr>
        <w:t>，</w:t>
      </w:r>
      <w:r>
        <w:rPr>
          <w:rFonts w:ascii="宋体" w:eastAsia="方正仿宋_GBK" w:hAnsi="宋体" w:cs="方正仿宋_GBK" w:hint="eastAsia"/>
          <w:b w:val="0"/>
          <w:bCs w:val="0"/>
          <w:color w:val="auto"/>
          <w:sz w:val="32"/>
          <w:szCs w:val="32"/>
          <w:lang w:eastAsia="zh-CN"/>
        </w:rPr>
        <w:t>今</w:t>
      </w:r>
      <w:r>
        <w:rPr>
          <w:rFonts w:ascii="宋体" w:eastAsia="方正仿宋_GBK" w:hAnsi="宋体" w:cs="方正仿宋_GBK" w:hint="eastAsia"/>
          <w:b w:val="0"/>
          <w:bCs w:val="0"/>
          <w:color w:val="auto"/>
          <w:sz w:val="32"/>
          <w:szCs w:val="32"/>
        </w:rPr>
        <w:t>年共办理了</w:t>
      </w:r>
      <w:r>
        <w:rPr>
          <w:rFonts w:ascii="宋体" w:eastAsia="方正仿宋_GBK" w:hAnsi="宋体" w:cs="方正仿宋_GBK" w:hint="eastAsia"/>
          <w:b w:val="0"/>
          <w:bCs w:val="0"/>
          <w:color w:val="auto"/>
          <w:sz w:val="32"/>
          <w:szCs w:val="32"/>
          <w:lang w:eastAsia="zh-CN"/>
        </w:rPr>
        <w:t>两个项目，即</w:t>
      </w:r>
      <w:r>
        <w:rPr>
          <w:rFonts w:ascii="宋体" w:eastAsia="方正仿宋_GBK" w:hAnsi="宋体" w:cs="方正仿宋_GBK" w:hint="eastAsia"/>
          <w:b w:val="0"/>
          <w:bCs w:val="0"/>
          <w:color w:val="auto"/>
          <w:sz w:val="32"/>
          <w:szCs w:val="32"/>
        </w:rPr>
        <w:t>木兰水库坝区及淹没区工程建设项目、三板桥水库坝区及淹没区工程建设项目的建设用地预审，两个项目均通过了州级预审，</w:t>
      </w:r>
      <w:r>
        <w:rPr>
          <w:rFonts w:ascii="宋体" w:eastAsia="方正仿宋_GBK" w:hAnsi="宋体" w:cs="方正仿宋_GBK" w:hint="eastAsia"/>
          <w:b w:val="0"/>
          <w:bCs w:val="0"/>
          <w:color w:val="auto"/>
          <w:spacing w:val="-4"/>
          <w:sz w:val="32"/>
          <w:szCs w:val="32"/>
        </w:rPr>
        <w:t>拟用地总面积27.3833公顷。</w:t>
      </w:r>
      <w:r>
        <w:rPr>
          <w:rFonts w:ascii="宋体" w:eastAsia="方正仿宋_GBK" w:hAnsi="宋体" w:cs="方正仿宋_GBK" w:hint="eastAsia"/>
          <w:b w:val="0"/>
          <w:bCs w:val="0"/>
          <w:color w:val="auto"/>
          <w:spacing w:val="-4"/>
          <w:sz w:val="32"/>
          <w:szCs w:val="32"/>
          <w:lang w:eastAsia="zh-CN"/>
        </w:rPr>
        <w:t>八是</w:t>
      </w:r>
      <w:r>
        <w:rPr>
          <w:rFonts w:ascii="宋体" w:eastAsia="方正仿宋_GBK" w:hAnsi="宋体" w:cs="方正仿宋_GBK" w:hint="eastAsia"/>
          <w:b w:val="0"/>
          <w:bCs w:val="0"/>
          <w:color w:val="auto"/>
          <w:sz w:val="32"/>
          <w:szCs w:val="32"/>
          <w:lang w:val="en-US" w:eastAsia="zh-CN"/>
        </w:rPr>
        <w:t>2018年</w:t>
      </w:r>
      <w:r>
        <w:rPr>
          <w:rFonts w:ascii="宋体" w:eastAsia="方正仿宋_GBK" w:hAnsi="宋体" w:cs="方正仿宋_GBK" w:hint="eastAsia"/>
          <w:b w:val="0"/>
          <w:bCs w:val="0"/>
          <w:color w:val="auto"/>
          <w:sz w:val="32"/>
          <w:szCs w:val="32"/>
          <w:lang w:eastAsia="zh-CN"/>
        </w:rPr>
        <w:t>共办理采矿权延续登记</w:t>
      </w:r>
      <w:r>
        <w:rPr>
          <w:rFonts w:ascii="宋体" w:eastAsia="方正仿宋_GBK" w:hAnsi="宋体" w:cs="方正仿宋_GBK" w:hint="eastAsia"/>
          <w:b w:val="0"/>
          <w:bCs w:val="0"/>
          <w:color w:val="auto"/>
          <w:sz w:val="32"/>
          <w:szCs w:val="32"/>
          <w:lang w:val="en-US" w:eastAsia="zh-CN"/>
        </w:rPr>
        <w:t>2件，完成矿产资源储量报告评审结果备案3件，办理完成用地压覆矿产资源调查结果备案2件，收件上报三级联网审批报件15件，办结8件，协助州国土资源局督促企业缴纳或预存矿产资源收益金共计752.34万元。完成大理石采矿权的储量报告备案15个，</w:t>
      </w:r>
      <w:r>
        <w:rPr>
          <w:rFonts w:ascii="宋体" w:eastAsia="方正仿宋_GBK" w:hAnsi="宋体" w:cs="方正仿宋_GBK" w:hint="eastAsia"/>
          <w:b w:val="0"/>
          <w:bCs w:val="0"/>
          <w:color w:val="auto"/>
          <w:sz w:val="32"/>
          <w:szCs w:val="32"/>
        </w:rPr>
        <w:t>促进矿山企业进一步提高矿产资源节约与综合利用水平。</w:t>
      </w:r>
      <w:r>
        <w:rPr>
          <w:rFonts w:ascii="宋体" w:eastAsia="方正仿宋_GBK" w:hAnsi="宋体" w:cs="方正仿宋_GBK" w:hint="eastAsia"/>
          <w:b w:val="0"/>
          <w:bCs w:val="0"/>
          <w:color w:val="auto"/>
          <w:sz w:val="32"/>
          <w:szCs w:val="32"/>
          <w:lang w:eastAsia="zh-CN"/>
        </w:rPr>
        <w:t>九是</w:t>
      </w:r>
      <w:r>
        <w:rPr>
          <w:rFonts w:ascii="宋体" w:eastAsia="方正仿宋_GBK" w:hAnsi="宋体" w:cs="方正仿宋_GBK" w:hint="eastAsia"/>
          <w:b w:val="0"/>
          <w:bCs w:val="0"/>
          <w:color w:val="auto"/>
          <w:kern w:val="32"/>
          <w:sz w:val="32"/>
          <w:szCs w:val="32"/>
          <w:lang w:val="en-US" w:eastAsia="zh-CN"/>
        </w:rPr>
        <w:t>积极盘活闲置土地，收储低效闲置土地，加大土地供应力度，全面深入清查存量建设用地。积极拓展建设用地空间，实施城镇低效用地再开发，共收储闲置土地1宗，总面积2365.33平方米。十是</w:t>
      </w:r>
      <w:r>
        <w:rPr>
          <w:rFonts w:ascii="宋体" w:eastAsia="方正仿宋_GBK" w:hAnsi="宋体" w:cs="方正仿宋_GBK" w:hint="eastAsia"/>
          <w:b w:val="0"/>
          <w:bCs w:val="0"/>
          <w:color w:val="auto"/>
          <w:sz w:val="32"/>
          <w:szCs w:val="32"/>
          <w:lang w:eastAsia="zh-CN"/>
        </w:rPr>
        <w:t>全县</w:t>
      </w:r>
      <w:r>
        <w:rPr>
          <w:rFonts w:ascii="宋体" w:eastAsia="方正仿宋_GBK" w:hAnsi="宋体" w:cs="方正仿宋_GBK" w:hint="eastAsia"/>
          <w:b w:val="0"/>
          <w:bCs w:val="0"/>
          <w:color w:val="auto"/>
          <w:sz w:val="32"/>
          <w:szCs w:val="32"/>
        </w:rPr>
        <w:t>纳入建档管理地质灾害隐患点3</w:t>
      </w:r>
      <w:r>
        <w:rPr>
          <w:rFonts w:ascii="宋体" w:eastAsia="方正仿宋_GBK" w:hAnsi="宋体" w:cs="方正仿宋_GBK" w:hint="eastAsia"/>
          <w:b w:val="0"/>
          <w:bCs w:val="0"/>
          <w:color w:val="auto"/>
          <w:sz w:val="32"/>
          <w:szCs w:val="32"/>
          <w:lang w:val="en-US" w:eastAsia="zh-CN"/>
        </w:rPr>
        <w:t>8</w:t>
      </w:r>
      <w:r>
        <w:rPr>
          <w:rFonts w:ascii="宋体" w:eastAsia="方正仿宋_GBK" w:hAnsi="宋体" w:cs="方正仿宋_GBK" w:hint="eastAsia"/>
          <w:b w:val="0"/>
          <w:bCs w:val="0"/>
          <w:color w:val="auto"/>
          <w:sz w:val="32"/>
          <w:szCs w:val="32"/>
        </w:rPr>
        <w:t>个，威胁2</w:t>
      </w:r>
      <w:r>
        <w:rPr>
          <w:rFonts w:ascii="宋体" w:eastAsia="方正仿宋_GBK" w:hAnsi="宋体" w:cs="方正仿宋_GBK" w:hint="eastAsia"/>
          <w:b w:val="0"/>
          <w:bCs w:val="0"/>
          <w:color w:val="auto"/>
          <w:sz w:val="32"/>
          <w:szCs w:val="32"/>
          <w:lang w:val="en-US" w:eastAsia="zh-CN"/>
        </w:rPr>
        <w:t>81</w:t>
      </w:r>
      <w:r>
        <w:rPr>
          <w:rFonts w:ascii="宋体" w:eastAsia="方正仿宋_GBK" w:hAnsi="宋体" w:cs="方正仿宋_GBK" w:hint="eastAsia"/>
          <w:b w:val="0"/>
          <w:bCs w:val="0"/>
          <w:color w:val="auto"/>
          <w:sz w:val="32"/>
          <w:szCs w:val="32"/>
        </w:rPr>
        <w:t>户1</w:t>
      </w:r>
      <w:r>
        <w:rPr>
          <w:rFonts w:ascii="宋体" w:eastAsia="方正仿宋_GBK" w:hAnsi="宋体" w:cs="方正仿宋_GBK" w:hint="eastAsia"/>
          <w:b w:val="0"/>
          <w:bCs w:val="0"/>
          <w:color w:val="auto"/>
          <w:sz w:val="32"/>
          <w:szCs w:val="32"/>
          <w:lang w:val="en-US" w:eastAsia="zh-CN"/>
        </w:rPr>
        <w:t>607</w:t>
      </w:r>
      <w:r>
        <w:rPr>
          <w:rFonts w:ascii="宋体" w:eastAsia="方正仿宋_GBK" w:hAnsi="宋体" w:cs="方正仿宋_GBK" w:hint="eastAsia"/>
          <w:b w:val="0"/>
          <w:bCs w:val="0"/>
          <w:color w:val="auto"/>
          <w:sz w:val="32"/>
          <w:szCs w:val="32"/>
        </w:rPr>
        <w:t>人，威胁资产</w:t>
      </w:r>
      <w:r>
        <w:rPr>
          <w:rFonts w:ascii="宋体" w:eastAsia="方正仿宋_GBK" w:hAnsi="宋体" w:cs="方正仿宋_GBK" w:hint="eastAsia"/>
          <w:b w:val="0"/>
          <w:bCs w:val="0"/>
          <w:color w:val="auto"/>
          <w:sz w:val="32"/>
          <w:szCs w:val="32"/>
          <w:lang w:val="en-US" w:eastAsia="zh-CN"/>
        </w:rPr>
        <w:t>2597</w:t>
      </w:r>
      <w:r>
        <w:rPr>
          <w:rFonts w:ascii="宋体" w:eastAsia="方正仿宋_GBK" w:hAnsi="宋体" w:cs="方正仿宋_GBK" w:hint="eastAsia"/>
          <w:b w:val="0"/>
          <w:bCs w:val="0"/>
          <w:color w:val="auto"/>
          <w:sz w:val="32"/>
          <w:szCs w:val="32"/>
        </w:rPr>
        <w:t>万元</w:t>
      </w:r>
      <w:r>
        <w:rPr>
          <w:rFonts w:ascii="宋体" w:eastAsia="方正仿宋_GBK" w:hAnsi="宋体" w:cs="方正仿宋_GBK" w:hint="eastAsia"/>
          <w:b w:val="0"/>
          <w:bCs w:val="0"/>
          <w:color w:val="auto"/>
          <w:sz w:val="32"/>
          <w:szCs w:val="32"/>
          <w:lang w:eastAsia="zh-CN"/>
        </w:rPr>
        <w:t>，</w:t>
      </w:r>
      <w:r>
        <w:rPr>
          <w:rFonts w:ascii="宋体" w:eastAsia="方正仿宋_GBK" w:hAnsi="宋体" w:cs="方正仿宋_GBK" w:hint="eastAsia"/>
          <w:b w:val="0"/>
          <w:bCs w:val="0"/>
          <w:color w:val="auto"/>
          <w:sz w:val="32"/>
          <w:szCs w:val="32"/>
        </w:rPr>
        <w:t>聘请25名监测员对其中15个地质灾害隐患点开展了重点监测，威胁170户700人</w:t>
      </w:r>
      <w:r>
        <w:rPr>
          <w:rFonts w:ascii="宋体" w:eastAsia="方正仿宋_GBK" w:hAnsi="宋体" w:cs="方正仿宋_GBK" w:hint="eastAsia"/>
          <w:b w:val="0"/>
          <w:bCs w:val="0"/>
          <w:color w:val="auto"/>
          <w:sz w:val="32"/>
          <w:szCs w:val="32"/>
          <w:lang w:eastAsia="zh-CN"/>
        </w:rPr>
        <w:t>，</w:t>
      </w:r>
      <w:r>
        <w:rPr>
          <w:rFonts w:ascii="宋体" w:eastAsia="方正仿宋_GBK" w:hAnsi="宋体" w:cs="方正仿宋_GBK" w:hint="eastAsia"/>
          <w:b w:val="0"/>
          <w:bCs w:val="0"/>
          <w:color w:val="auto"/>
          <w:sz w:val="32"/>
          <w:szCs w:val="32"/>
        </w:rPr>
        <w:t>共组织巡查、排查1</w:t>
      </w:r>
      <w:r>
        <w:rPr>
          <w:rFonts w:ascii="宋体" w:eastAsia="方正仿宋_GBK" w:hAnsi="宋体" w:cs="方正仿宋_GBK" w:hint="eastAsia"/>
          <w:b w:val="0"/>
          <w:bCs w:val="0"/>
          <w:color w:val="auto"/>
          <w:sz w:val="32"/>
          <w:szCs w:val="32"/>
          <w:lang w:val="en-US" w:eastAsia="zh-CN"/>
        </w:rPr>
        <w:t>92</w:t>
      </w:r>
      <w:r>
        <w:rPr>
          <w:rFonts w:ascii="宋体" w:eastAsia="方正仿宋_GBK" w:hAnsi="宋体" w:cs="方正仿宋_GBK" w:hint="eastAsia"/>
          <w:b w:val="0"/>
          <w:bCs w:val="0"/>
          <w:color w:val="auto"/>
          <w:sz w:val="32"/>
          <w:szCs w:val="32"/>
        </w:rPr>
        <w:t>人次，主要开展隐患点、人口密集区、高陡边坡的排查。</w:t>
      </w:r>
      <w:r>
        <w:rPr>
          <w:rFonts w:ascii="宋体" w:eastAsia="方正仿宋_GBK" w:hAnsi="宋体" w:cs="方正仿宋_GBK" w:hint="eastAsia"/>
          <w:b w:val="0"/>
          <w:bCs w:val="0"/>
          <w:color w:val="auto"/>
          <w:sz w:val="32"/>
          <w:szCs w:val="32"/>
          <w:lang w:eastAsia="zh-CN"/>
        </w:rPr>
        <w:t>十一是</w:t>
      </w:r>
      <w:r>
        <w:rPr>
          <w:rFonts w:ascii="宋体" w:eastAsia="方正仿宋_GBK" w:hAnsi="宋体" w:cs="方正仿宋_GBK" w:hint="eastAsia"/>
          <w:b w:val="0"/>
          <w:bCs w:val="0"/>
          <w:color w:val="auto"/>
          <w:sz w:val="32"/>
          <w:szCs w:val="32"/>
          <w:lang w:val="en-US" w:eastAsia="zh-CN"/>
        </w:rPr>
        <w:t>制定便民利民措施，</w:t>
      </w:r>
      <w:r>
        <w:rPr>
          <w:rFonts w:ascii="宋体" w:eastAsia="方正仿宋_GBK" w:hAnsi="宋体" w:cs="方正仿宋_GBK" w:hint="eastAsia"/>
          <w:b w:val="0"/>
          <w:bCs w:val="0"/>
          <w:sz w:val="32"/>
          <w:szCs w:val="32"/>
        </w:rPr>
        <w:t>提升窗口服务水平</w:t>
      </w:r>
      <w:r>
        <w:rPr>
          <w:rFonts w:ascii="宋体" w:eastAsia="方正仿宋_GBK" w:hAnsi="宋体" w:cs="方正仿宋_GBK" w:hint="eastAsia"/>
          <w:b w:val="0"/>
          <w:bCs w:val="0"/>
          <w:sz w:val="32"/>
          <w:szCs w:val="32"/>
          <w:lang w:eastAsia="zh-CN"/>
        </w:rPr>
        <w:t>，</w:t>
      </w:r>
      <w:r>
        <w:rPr>
          <w:rFonts w:ascii="宋体" w:eastAsia="方正仿宋_GBK" w:hAnsi="宋体" w:cs="方正仿宋_GBK" w:hint="eastAsia"/>
          <w:b w:val="0"/>
          <w:bCs w:val="0"/>
          <w:color w:val="auto"/>
          <w:sz w:val="32"/>
          <w:szCs w:val="32"/>
        </w:rPr>
        <w:t>不动产统一登记工作</w:t>
      </w:r>
      <w:r>
        <w:rPr>
          <w:rFonts w:ascii="宋体" w:eastAsia="方正仿宋_GBK" w:hAnsi="宋体" w:cs="方正仿宋_GBK" w:hint="eastAsia"/>
          <w:b w:val="0"/>
          <w:bCs w:val="0"/>
          <w:color w:val="auto"/>
          <w:sz w:val="32"/>
          <w:szCs w:val="32"/>
          <w:lang w:eastAsia="zh-CN"/>
        </w:rPr>
        <w:t>稳步推进，加大办证力度。</w:t>
      </w:r>
      <w:r>
        <w:rPr>
          <w:rFonts w:ascii="宋体" w:eastAsia="方正仿宋_GBK" w:hAnsi="宋体" w:cs="方正仿宋_GBK" w:hint="eastAsia"/>
          <w:b w:val="0"/>
          <w:bCs w:val="0"/>
          <w:color w:val="auto"/>
          <w:sz w:val="32"/>
          <w:szCs w:val="32"/>
          <w:lang w:val="en-US" w:eastAsia="zh-CN"/>
        </w:rPr>
        <w:t>2018年</w:t>
      </w:r>
      <w:r>
        <w:rPr>
          <w:rFonts w:ascii="宋体" w:eastAsia="方正仿宋_GBK" w:hAnsi="宋体" w:cs="方正仿宋_GBK" w:hint="eastAsia"/>
          <w:b w:val="0"/>
          <w:bCs w:val="0"/>
          <w:color w:val="auto"/>
          <w:sz w:val="32"/>
          <w:szCs w:val="32"/>
        </w:rPr>
        <w:t>以来，共办理不动产权证</w:t>
      </w:r>
      <w:r>
        <w:rPr>
          <w:rFonts w:ascii="宋体" w:eastAsia="方正仿宋_GBK" w:hAnsi="宋体" w:cs="方正仿宋_GBK" w:hint="eastAsia"/>
          <w:b w:val="0"/>
          <w:bCs w:val="0"/>
          <w:color w:val="auto"/>
          <w:sz w:val="32"/>
          <w:szCs w:val="32"/>
          <w:lang w:val="en-US" w:eastAsia="zh-CN"/>
        </w:rPr>
        <w:t>1833</w:t>
      </w:r>
      <w:r>
        <w:rPr>
          <w:rFonts w:ascii="宋体" w:eastAsia="方正仿宋_GBK" w:hAnsi="宋体" w:cs="方正仿宋_GBK" w:hint="eastAsia"/>
          <w:b w:val="0"/>
          <w:bCs w:val="0"/>
          <w:color w:val="auto"/>
          <w:sz w:val="32"/>
          <w:szCs w:val="32"/>
        </w:rPr>
        <w:t>本，办理抵押登记</w:t>
      </w:r>
      <w:r>
        <w:rPr>
          <w:rFonts w:ascii="宋体" w:eastAsia="方正仿宋_GBK" w:hAnsi="宋体" w:cs="方正仿宋_GBK" w:hint="eastAsia"/>
          <w:b w:val="0"/>
          <w:bCs w:val="0"/>
          <w:color w:val="auto"/>
          <w:sz w:val="32"/>
          <w:szCs w:val="32"/>
          <w:lang w:val="en-US" w:eastAsia="zh-CN"/>
        </w:rPr>
        <w:t xml:space="preserve"> 1199</w:t>
      </w:r>
      <w:r>
        <w:rPr>
          <w:rFonts w:ascii="宋体" w:eastAsia="方正仿宋_GBK" w:hAnsi="宋体" w:cs="方正仿宋_GBK" w:hint="eastAsia"/>
          <w:b w:val="0"/>
          <w:bCs w:val="0"/>
          <w:color w:val="auto"/>
          <w:sz w:val="32"/>
          <w:szCs w:val="32"/>
        </w:rPr>
        <w:t>件，出具</w:t>
      </w:r>
      <w:r>
        <w:rPr>
          <w:rFonts w:ascii="宋体" w:eastAsia="方正仿宋_GBK" w:hAnsi="宋体" w:cs="方正仿宋_GBK" w:hint="eastAsia"/>
          <w:b w:val="0"/>
          <w:bCs w:val="0"/>
          <w:color w:val="auto"/>
          <w:sz w:val="32"/>
          <w:szCs w:val="32"/>
          <w:lang w:val="en-US" w:eastAsia="zh-CN"/>
        </w:rPr>
        <w:t>不动产登记</w:t>
      </w:r>
      <w:r>
        <w:rPr>
          <w:rFonts w:ascii="宋体" w:eastAsia="方正仿宋_GBK" w:hAnsi="宋体" w:cs="方正仿宋_GBK" w:hint="eastAsia"/>
          <w:b w:val="0"/>
          <w:bCs w:val="0"/>
          <w:color w:val="auto"/>
          <w:sz w:val="32"/>
          <w:szCs w:val="32"/>
        </w:rPr>
        <w:t>证明</w:t>
      </w:r>
      <w:r>
        <w:rPr>
          <w:rFonts w:ascii="宋体" w:eastAsia="方正仿宋_GBK" w:hAnsi="宋体" w:cs="方正仿宋_GBK" w:hint="eastAsia"/>
          <w:b w:val="0"/>
          <w:bCs w:val="0"/>
          <w:color w:val="auto"/>
          <w:sz w:val="32"/>
          <w:szCs w:val="32"/>
          <w:lang w:val="en-US" w:eastAsia="zh-CN"/>
        </w:rPr>
        <w:t>1199</w:t>
      </w:r>
      <w:r>
        <w:rPr>
          <w:rFonts w:ascii="宋体" w:eastAsia="方正仿宋_GBK" w:hAnsi="宋体" w:cs="方正仿宋_GBK" w:hint="eastAsia"/>
          <w:b w:val="0"/>
          <w:bCs w:val="0"/>
          <w:color w:val="auto"/>
          <w:sz w:val="32"/>
          <w:szCs w:val="32"/>
        </w:rPr>
        <w:t>张，</w:t>
      </w:r>
      <w:r>
        <w:rPr>
          <w:rFonts w:ascii="宋体" w:eastAsia="方正仿宋_GBK" w:hAnsi="宋体" w:cs="方正仿宋_GBK" w:hint="eastAsia"/>
          <w:b w:val="0"/>
          <w:bCs w:val="0"/>
          <w:color w:val="auto"/>
          <w:sz w:val="32"/>
          <w:szCs w:val="32"/>
          <w:lang w:val="en-US" w:eastAsia="zh-CN"/>
        </w:rPr>
        <w:t>做好我县易地扶贫搬迁及建档立卡户不动产确权登记工作，按时按质按量完成档卡户的不动产数据查询比对工作，数据整合工作有序推进。十二是</w:t>
      </w:r>
      <w:r>
        <w:rPr>
          <w:rFonts w:ascii="宋体" w:eastAsia="方正仿宋_GBK" w:hAnsi="宋体" w:cs="方正仿宋_GBK" w:hint="eastAsia"/>
          <w:b w:val="0"/>
          <w:bCs w:val="0"/>
          <w:color w:val="auto"/>
          <w:kern w:val="0"/>
          <w:sz w:val="32"/>
          <w:szCs w:val="32"/>
          <w:lang w:eastAsia="zh-CN"/>
        </w:rPr>
        <w:t>开展</w:t>
      </w:r>
      <w:r>
        <w:rPr>
          <w:rFonts w:ascii="宋体" w:eastAsia="方正仿宋_GBK" w:hAnsi="宋体" w:cs="方正仿宋_GBK" w:hint="eastAsia"/>
          <w:b w:val="0"/>
          <w:bCs w:val="0"/>
          <w:color w:val="auto"/>
          <w:kern w:val="0"/>
          <w:sz w:val="32"/>
          <w:szCs w:val="32"/>
        </w:rPr>
        <w:t>第三次全国国土大调查</w:t>
      </w:r>
      <w:r>
        <w:rPr>
          <w:rFonts w:ascii="宋体" w:eastAsia="方正仿宋_GBK" w:hAnsi="宋体" w:cs="方正仿宋_GBK" w:hint="eastAsia"/>
          <w:b w:val="0"/>
          <w:bCs w:val="0"/>
          <w:color w:val="auto"/>
          <w:kern w:val="0"/>
          <w:sz w:val="32"/>
          <w:szCs w:val="32"/>
          <w:lang w:eastAsia="zh-CN"/>
        </w:rPr>
        <w:t>各项准备</w:t>
      </w:r>
      <w:r>
        <w:rPr>
          <w:rFonts w:ascii="宋体" w:eastAsia="方正仿宋_GBK" w:hAnsi="宋体" w:cs="方正仿宋_GBK" w:hint="eastAsia"/>
          <w:b w:val="0"/>
          <w:bCs w:val="0"/>
          <w:color w:val="auto"/>
          <w:kern w:val="0"/>
          <w:sz w:val="32"/>
          <w:szCs w:val="32"/>
        </w:rPr>
        <w:t>工作</w:t>
      </w:r>
      <w:r>
        <w:rPr>
          <w:rFonts w:ascii="宋体" w:eastAsia="方正仿宋_GBK" w:hAnsi="宋体" w:cs="方正仿宋_GBK" w:hint="eastAsia"/>
          <w:b w:val="0"/>
          <w:bCs w:val="0"/>
          <w:color w:val="auto"/>
          <w:kern w:val="0"/>
          <w:sz w:val="32"/>
          <w:szCs w:val="32"/>
          <w:lang w:eastAsia="zh-CN"/>
        </w:rPr>
        <w:t>，</w:t>
      </w:r>
      <w:r>
        <w:rPr>
          <w:rFonts w:ascii="宋体" w:eastAsia="方正仿宋_GBK" w:hAnsi="宋体" w:cs="方正仿宋_GBK" w:hint="eastAsia"/>
          <w:b w:val="0"/>
          <w:bCs w:val="0"/>
          <w:color w:val="auto"/>
          <w:kern w:val="0"/>
          <w:sz w:val="32"/>
          <w:szCs w:val="32"/>
        </w:rPr>
        <w:t>县政府已经成立了领导小组，设立了领导小组办公室</w:t>
      </w:r>
      <w:r>
        <w:rPr>
          <w:rFonts w:ascii="宋体" w:eastAsia="方正仿宋_GBK" w:hAnsi="宋体" w:cs="方正仿宋_GBK" w:hint="eastAsia"/>
          <w:b w:val="0"/>
          <w:bCs w:val="0"/>
          <w:color w:val="auto"/>
          <w:kern w:val="0"/>
          <w:sz w:val="32"/>
          <w:szCs w:val="32"/>
          <w:lang w:eastAsia="zh-CN"/>
        </w:rPr>
        <w:t>，完成</w:t>
      </w:r>
      <w:r>
        <w:rPr>
          <w:rFonts w:ascii="宋体" w:eastAsia="方正仿宋_GBK" w:hAnsi="宋体" w:cs="方正仿宋_GBK" w:hint="eastAsia"/>
          <w:b w:val="0"/>
          <w:bCs w:val="0"/>
          <w:color w:val="auto"/>
          <w:kern w:val="0"/>
          <w:sz w:val="32"/>
          <w:szCs w:val="32"/>
        </w:rPr>
        <w:t>2018年的土地变更调查与遥感监测工作</w:t>
      </w:r>
      <w:r>
        <w:rPr>
          <w:rFonts w:ascii="宋体" w:eastAsia="方正仿宋_GBK" w:hAnsi="宋体" w:cs="方正仿宋_GBK" w:hint="eastAsia"/>
          <w:b w:val="0"/>
          <w:bCs w:val="0"/>
          <w:color w:val="auto"/>
          <w:kern w:val="0"/>
          <w:sz w:val="32"/>
          <w:szCs w:val="32"/>
          <w:lang w:eastAsia="zh-CN"/>
        </w:rPr>
        <w:t>，</w:t>
      </w:r>
      <w:r>
        <w:rPr>
          <w:rFonts w:ascii="宋体" w:eastAsia="方正仿宋_GBK" w:hAnsi="宋体" w:cs="方正仿宋_GBK" w:hint="eastAsia"/>
          <w:b w:val="0"/>
          <w:bCs w:val="0"/>
          <w:color w:val="auto"/>
          <w:kern w:val="0"/>
          <w:sz w:val="32"/>
          <w:szCs w:val="32"/>
        </w:rPr>
        <w:t>项目报</w:t>
      </w:r>
      <w:r>
        <w:rPr>
          <w:rFonts w:ascii="宋体" w:eastAsia="方正仿宋_GBK" w:hAnsi="宋体" w:cs="方正仿宋_GBK" w:hint="eastAsia"/>
          <w:b w:val="0"/>
          <w:bCs w:val="0"/>
          <w:color w:val="auto"/>
          <w:kern w:val="0"/>
          <w:sz w:val="32"/>
          <w:szCs w:val="32"/>
          <w:lang w:eastAsia="zh-CN"/>
        </w:rPr>
        <w:t>件</w:t>
      </w:r>
      <w:r>
        <w:rPr>
          <w:rFonts w:ascii="宋体" w:eastAsia="方正仿宋_GBK" w:hAnsi="宋体" w:cs="方正仿宋_GBK" w:hint="eastAsia"/>
          <w:b w:val="0"/>
          <w:bCs w:val="0"/>
          <w:color w:val="auto"/>
          <w:kern w:val="0"/>
          <w:sz w:val="32"/>
          <w:szCs w:val="32"/>
        </w:rPr>
        <w:t>勘测定界</w:t>
      </w:r>
      <w:r>
        <w:rPr>
          <w:rFonts w:ascii="宋体" w:eastAsia="方正仿宋_GBK" w:hAnsi="宋体" w:cs="方正仿宋_GBK" w:hint="eastAsia"/>
          <w:b w:val="0"/>
          <w:bCs w:val="0"/>
          <w:color w:val="auto"/>
          <w:kern w:val="0"/>
          <w:sz w:val="32"/>
          <w:szCs w:val="32"/>
          <w:lang w:eastAsia="zh-CN"/>
        </w:rPr>
        <w:t>和</w:t>
      </w:r>
      <w:r>
        <w:rPr>
          <w:rFonts w:ascii="宋体" w:eastAsia="方正仿宋_GBK" w:hAnsi="宋体" w:cs="方正仿宋_GBK" w:hint="eastAsia"/>
          <w:b w:val="0"/>
          <w:bCs w:val="0"/>
          <w:color w:val="auto"/>
          <w:kern w:val="0"/>
          <w:sz w:val="32"/>
          <w:szCs w:val="32"/>
        </w:rPr>
        <w:t>勘测定界成果资料的审查工作，</w:t>
      </w:r>
      <w:r>
        <w:rPr>
          <w:rFonts w:ascii="宋体" w:eastAsia="方正仿宋_GBK" w:hAnsi="宋体" w:cs="方正仿宋_GBK" w:hint="eastAsia"/>
          <w:b w:val="0"/>
          <w:bCs w:val="0"/>
          <w:color w:val="auto"/>
          <w:kern w:val="0"/>
          <w:sz w:val="32"/>
          <w:szCs w:val="32"/>
          <w:lang w:eastAsia="zh-CN"/>
        </w:rPr>
        <w:t>一</w:t>
      </w:r>
      <w:r>
        <w:rPr>
          <w:rFonts w:ascii="宋体" w:eastAsia="方正仿宋_GBK" w:hAnsi="宋体" w:cs="方正仿宋_GBK" w:hint="eastAsia"/>
          <w:b w:val="0"/>
          <w:bCs w:val="0"/>
          <w:color w:val="auto"/>
          <w:kern w:val="0"/>
          <w:sz w:val="32"/>
          <w:szCs w:val="32"/>
        </w:rPr>
        <w:t>年</w:t>
      </w:r>
      <w:r>
        <w:rPr>
          <w:rFonts w:ascii="宋体" w:eastAsia="方正仿宋_GBK" w:hAnsi="宋体" w:cs="方正仿宋_GBK" w:hint="eastAsia"/>
          <w:b w:val="0"/>
          <w:bCs w:val="0"/>
          <w:color w:val="auto"/>
          <w:kern w:val="0"/>
          <w:sz w:val="32"/>
          <w:szCs w:val="32"/>
          <w:lang w:eastAsia="zh-CN"/>
        </w:rPr>
        <w:t>来</w:t>
      </w:r>
      <w:r>
        <w:rPr>
          <w:rFonts w:ascii="宋体" w:eastAsia="方正仿宋_GBK" w:hAnsi="宋体" w:cs="方正仿宋_GBK" w:hint="eastAsia"/>
          <w:b w:val="0"/>
          <w:bCs w:val="0"/>
          <w:color w:val="auto"/>
          <w:kern w:val="0"/>
          <w:sz w:val="32"/>
          <w:szCs w:val="32"/>
        </w:rPr>
        <w:t>共审查23宗</w:t>
      </w:r>
      <w:r>
        <w:rPr>
          <w:rFonts w:ascii="宋体" w:eastAsia="方正仿宋_GBK" w:hAnsi="宋体" w:cs="方正仿宋_GBK" w:hint="eastAsia"/>
          <w:b w:val="0"/>
          <w:bCs w:val="0"/>
          <w:color w:val="auto"/>
          <w:kern w:val="0"/>
          <w:sz w:val="32"/>
          <w:szCs w:val="32"/>
          <w:lang w:eastAsia="zh-CN"/>
        </w:rPr>
        <w:t>（</w:t>
      </w:r>
      <w:r>
        <w:rPr>
          <w:rFonts w:ascii="宋体" w:eastAsia="方正仿宋_GBK" w:hAnsi="宋体" w:cs="方正仿宋_GBK" w:hint="eastAsia"/>
          <w:b w:val="0"/>
          <w:bCs w:val="0"/>
          <w:color w:val="auto"/>
          <w:kern w:val="0"/>
          <w:sz w:val="32"/>
          <w:szCs w:val="32"/>
        </w:rPr>
        <w:t>临时用地1宗</w:t>
      </w:r>
      <w:r>
        <w:rPr>
          <w:rFonts w:ascii="宋体" w:eastAsia="方正仿宋_GBK" w:hAnsi="宋体" w:cs="方正仿宋_GBK" w:hint="eastAsia"/>
          <w:b w:val="0"/>
          <w:bCs w:val="0"/>
          <w:color w:val="auto"/>
          <w:kern w:val="0"/>
          <w:sz w:val="32"/>
          <w:szCs w:val="32"/>
          <w:lang w:eastAsia="zh-CN"/>
        </w:rPr>
        <w:t>）</w:t>
      </w:r>
      <w:r>
        <w:rPr>
          <w:rFonts w:ascii="宋体" w:eastAsia="方正仿宋_GBK" w:hAnsi="宋体" w:cs="方正仿宋_GBK" w:hint="eastAsia"/>
          <w:b w:val="0"/>
          <w:bCs w:val="0"/>
          <w:color w:val="auto"/>
          <w:kern w:val="0"/>
          <w:sz w:val="32"/>
          <w:szCs w:val="32"/>
        </w:rPr>
        <w:t>。</w:t>
      </w:r>
      <w:r>
        <w:rPr>
          <w:rFonts w:ascii="宋体" w:eastAsia="方正仿宋_GBK" w:hAnsi="宋体" w:cs="方正仿宋_GBK" w:hint="eastAsia"/>
          <w:b w:val="0"/>
          <w:bCs w:val="0"/>
          <w:color w:val="auto"/>
          <w:kern w:val="0"/>
          <w:sz w:val="32"/>
          <w:szCs w:val="32"/>
          <w:lang w:eastAsia="zh-CN"/>
        </w:rPr>
        <w:t>十三是</w:t>
      </w:r>
      <w:r>
        <w:rPr>
          <w:rFonts w:ascii="宋体" w:eastAsia="方正仿宋_GBK" w:hAnsi="宋体" w:cs="方正仿宋_GBK" w:hint="eastAsia"/>
          <w:b w:val="0"/>
          <w:bCs w:val="0"/>
          <w:color w:val="auto"/>
          <w:sz w:val="32"/>
          <w:szCs w:val="32"/>
        </w:rPr>
        <w:t>广泛宣传国土资源法律法规，提高法律意识</w:t>
      </w:r>
      <w:r>
        <w:rPr>
          <w:rFonts w:ascii="宋体" w:eastAsia="方正仿宋_GBK" w:hAnsi="宋体" w:cs="方正仿宋_GBK" w:hint="eastAsia"/>
          <w:b w:val="0"/>
          <w:bCs w:val="0"/>
          <w:color w:val="auto"/>
          <w:sz w:val="32"/>
          <w:szCs w:val="32"/>
          <w:lang w:eastAsia="zh-CN"/>
        </w:rPr>
        <w:t>。加大</w:t>
      </w:r>
      <w:r>
        <w:rPr>
          <w:rFonts w:ascii="宋体" w:eastAsia="方正仿宋_GBK" w:hAnsi="宋体" w:cs="方正仿宋_GBK" w:hint="eastAsia"/>
          <w:b w:val="0"/>
          <w:bCs w:val="0"/>
          <w:color w:val="auto"/>
          <w:sz w:val="32"/>
          <w:szCs w:val="32"/>
          <w:lang w:val="en-US" w:eastAsia="zh-CN"/>
        </w:rPr>
        <w:t>土地</w:t>
      </w:r>
      <w:r>
        <w:rPr>
          <w:rFonts w:ascii="宋体" w:eastAsia="方正仿宋_GBK" w:hAnsi="宋体" w:cs="方正仿宋_GBK" w:hint="eastAsia"/>
          <w:b w:val="0"/>
          <w:bCs w:val="0"/>
          <w:color w:val="auto"/>
          <w:sz w:val="32"/>
          <w:szCs w:val="32"/>
        </w:rPr>
        <w:t>矿产卫片</w:t>
      </w:r>
      <w:r>
        <w:rPr>
          <w:rFonts w:ascii="宋体" w:eastAsia="方正仿宋_GBK" w:hAnsi="宋体" w:cs="方正仿宋_GBK" w:hint="eastAsia"/>
          <w:b w:val="0"/>
          <w:bCs w:val="0"/>
          <w:color w:val="auto"/>
          <w:sz w:val="32"/>
          <w:szCs w:val="32"/>
          <w:lang w:eastAsia="zh-CN"/>
        </w:rPr>
        <w:t>执法，确保整改到位。</w:t>
      </w:r>
      <w:r>
        <w:rPr>
          <w:rFonts w:ascii="宋体" w:eastAsia="方正仿宋_GBK" w:hAnsi="宋体" w:cs="方正仿宋_GBK" w:hint="eastAsia"/>
          <w:b w:val="0"/>
          <w:bCs w:val="0"/>
          <w:color w:val="auto"/>
          <w:kern w:val="0"/>
          <w:sz w:val="32"/>
          <w:szCs w:val="32"/>
          <w:lang w:val="en-US" w:eastAsia="zh-CN"/>
        </w:rPr>
        <w:t>土地矿产违法行为 82件，立案查处9件，结案6件。十四是</w:t>
      </w:r>
      <w:r>
        <w:rPr>
          <w:rFonts w:ascii="宋体" w:eastAsia="方正仿宋_GBK" w:hAnsi="宋体" w:cs="方正仿宋_GBK" w:hint="eastAsia"/>
          <w:b w:val="0"/>
          <w:bCs w:val="0"/>
          <w:color w:val="auto"/>
          <w:sz w:val="32"/>
          <w:szCs w:val="32"/>
          <w:lang w:val="en-US" w:eastAsia="zh-CN"/>
        </w:rPr>
        <w:t>对全县土地现状进行摸底调查，并形成调查报告《西畴县土地整治项目规划》，根据踏勘实际情况规划建设项目27个，总体建设规模93138.37亩，总投资35029.18万元，项目实施后可增加耕地面积5004.65亩，新增耕地率5.37%。今年在建</w:t>
      </w:r>
      <w:r>
        <w:rPr>
          <w:rFonts w:ascii="宋体" w:eastAsia="方正仿宋_GBK" w:hAnsi="宋体" w:cs="方正仿宋_GBK" w:hint="eastAsia"/>
          <w:b w:val="0"/>
          <w:bCs w:val="0"/>
          <w:color w:val="auto"/>
          <w:sz w:val="32"/>
          <w:szCs w:val="32"/>
        </w:rPr>
        <w:t>项目</w:t>
      </w:r>
      <w:r>
        <w:rPr>
          <w:rFonts w:ascii="宋体" w:eastAsia="方正仿宋_GBK" w:hAnsi="宋体" w:cs="方正仿宋_GBK" w:hint="eastAsia"/>
          <w:b w:val="0"/>
          <w:bCs w:val="0"/>
          <w:color w:val="auto"/>
          <w:sz w:val="32"/>
          <w:szCs w:val="32"/>
          <w:lang w:val="en-US" w:eastAsia="zh-CN"/>
        </w:rPr>
        <w:t>2个正在开展扫尾工作，</w:t>
      </w:r>
      <w:r>
        <w:rPr>
          <w:rFonts w:ascii="宋体" w:eastAsia="方正仿宋_GBK" w:hAnsi="宋体" w:cs="方正仿宋_GBK" w:hint="eastAsia"/>
          <w:b w:val="0"/>
          <w:bCs w:val="0"/>
          <w:color w:val="auto"/>
          <w:sz w:val="32"/>
          <w:szCs w:val="32"/>
        </w:rPr>
        <w:t>西畴县兴街镇拉孩等（2）个村土地整治项目</w:t>
      </w:r>
      <w:r>
        <w:rPr>
          <w:rFonts w:ascii="宋体" w:eastAsia="方正仿宋_GBK" w:hAnsi="宋体" w:cs="方正仿宋_GBK" w:hint="eastAsia"/>
          <w:b w:val="0"/>
          <w:bCs w:val="0"/>
          <w:color w:val="auto"/>
          <w:sz w:val="32"/>
          <w:szCs w:val="32"/>
          <w:lang w:eastAsia="zh-CN"/>
        </w:rPr>
        <w:t>、</w:t>
      </w:r>
      <w:r>
        <w:rPr>
          <w:rFonts w:ascii="宋体" w:eastAsia="方正仿宋_GBK" w:hAnsi="宋体" w:cs="方正仿宋_GBK" w:hint="eastAsia"/>
          <w:b w:val="0"/>
          <w:bCs w:val="0"/>
          <w:color w:val="auto"/>
          <w:sz w:val="32"/>
          <w:szCs w:val="32"/>
        </w:rPr>
        <w:t>西畴县柏林乡马蹄寨村土地整治项目</w:t>
      </w:r>
      <w:r>
        <w:rPr>
          <w:rFonts w:ascii="宋体" w:eastAsia="方正仿宋_GBK" w:hAnsi="宋体" w:cs="方正仿宋_GBK" w:hint="eastAsia"/>
          <w:b w:val="0"/>
          <w:bCs w:val="0"/>
          <w:color w:val="auto"/>
          <w:sz w:val="32"/>
          <w:szCs w:val="32"/>
          <w:lang w:eastAsia="zh-CN"/>
        </w:rPr>
        <w:t>，完成</w:t>
      </w:r>
      <w:r>
        <w:rPr>
          <w:rFonts w:ascii="宋体" w:eastAsia="方正仿宋_GBK" w:hAnsi="宋体" w:cs="方正仿宋_GBK" w:hint="eastAsia"/>
          <w:b w:val="0"/>
          <w:bCs w:val="0"/>
          <w:color w:val="auto"/>
          <w:sz w:val="32"/>
          <w:szCs w:val="32"/>
          <w:lang w:val="en-US" w:eastAsia="zh-CN"/>
        </w:rPr>
        <w:t>终验项目3个分别是西</w:t>
      </w:r>
      <w:r>
        <w:rPr>
          <w:rFonts w:ascii="宋体" w:eastAsia="方正仿宋_GBK" w:hAnsi="宋体" w:cs="方正仿宋_GBK" w:hint="eastAsia"/>
          <w:b w:val="0"/>
          <w:bCs w:val="0"/>
          <w:color w:val="auto"/>
          <w:sz w:val="32"/>
          <w:szCs w:val="32"/>
          <w:lang w:eastAsia="zh-CN"/>
        </w:rPr>
        <w:t>畴县</w:t>
      </w:r>
      <w:r>
        <w:rPr>
          <w:rFonts w:ascii="宋体" w:eastAsia="方正仿宋_GBK" w:hAnsi="宋体" w:cs="方正仿宋_GBK" w:hint="eastAsia"/>
          <w:b w:val="0"/>
          <w:bCs w:val="0"/>
          <w:color w:val="auto"/>
          <w:sz w:val="32"/>
          <w:szCs w:val="32"/>
        </w:rPr>
        <w:t>兴街镇三光</w:t>
      </w:r>
      <w:r>
        <w:rPr>
          <w:rFonts w:ascii="宋体" w:eastAsia="方正仿宋_GBK" w:hAnsi="宋体" w:cs="方正仿宋_GBK" w:hint="eastAsia"/>
          <w:b w:val="0"/>
          <w:bCs w:val="0"/>
          <w:color w:val="auto"/>
          <w:sz w:val="32"/>
          <w:szCs w:val="32"/>
          <w:lang w:eastAsia="zh-CN"/>
        </w:rPr>
        <w:t>村</w:t>
      </w:r>
      <w:r>
        <w:rPr>
          <w:rFonts w:ascii="宋体" w:eastAsia="方正仿宋_GBK" w:hAnsi="宋体" w:cs="方正仿宋_GBK" w:hint="eastAsia"/>
          <w:b w:val="0"/>
          <w:bCs w:val="0"/>
          <w:color w:val="auto"/>
          <w:sz w:val="32"/>
          <w:szCs w:val="32"/>
        </w:rPr>
        <w:t>麻栗山土地整治项目</w:t>
      </w:r>
      <w:r>
        <w:rPr>
          <w:rFonts w:ascii="宋体" w:eastAsia="方正仿宋_GBK" w:hAnsi="宋体" w:cs="方正仿宋_GBK" w:hint="eastAsia"/>
          <w:b w:val="0"/>
          <w:bCs w:val="0"/>
          <w:color w:val="auto"/>
          <w:sz w:val="32"/>
          <w:szCs w:val="32"/>
          <w:lang w:eastAsia="zh-CN"/>
        </w:rPr>
        <w:t>、</w:t>
      </w:r>
      <w:r>
        <w:rPr>
          <w:rFonts w:ascii="宋体" w:eastAsia="方正仿宋_GBK" w:hAnsi="宋体" w:cs="方正仿宋_GBK" w:hint="eastAsia"/>
          <w:b w:val="0"/>
          <w:bCs w:val="0"/>
          <w:color w:val="auto"/>
          <w:sz w:val="32"/>
          <w:szCs w:val="32"/>
        </w:rPr>
        <w:t>西畴县兴街镇三光村三光土地整治项目</w:t>
      </w:r>
      <w:r>
        <w:rPr>
          <w:rFonts w:ascii="宋体" w:eastAsia="方正仿宋_GBK" w:hAnsi="宋体" w:cs="方正仿宋_GBK" w:hint="eastAsia"/>
          <w:b w:val="0"/>
          <w:bCs w:val="0"/>
          <w:color w:val="auto"/>
          <w:sz w:val="32"/>
          <w:szCs w:val="32"/>
          <w:lang w:eastAsia="zh-CN"/>
        </w:rPr>
        <w:t>、</w:t>
      </w:r>
      <w:r>
        <w:rPr>
          <w:rFonts w:ascii="宋体" w:eastAsia="方正仿宋_GBK" w:hAnsi="宋体" w:cs="方正仿宋_GBK" w:hint="eastAsia"/>
          <w:b w:val="0"/>
          <w:bCs w:val="0"/>
          <w:color w:val="auto"/>
          <w:sz w:val="32"/>
          <w:szCs w:val="32"/>
          <w:lang w:val="en-US" w:eastAsia="zh-CN"/>
        </w:rPr>
        <w:t>西畴县西洒镇坝尾等（2）个村土地整治项目，</w:t>
      </w:r>
      <w:r>
        <w:rPr>
          <w:rFonts w:ascii="宋体" w:eastAsia="方正仿宋_GBK" w:hAnsi="宋体" w:cs="方正仿宋_GBK" w:hint="eastAsia"/>
          <w:b w:val="0"/>
          <w:bCs w:val="0"/>
          <w:color w:val="auto"/>
          <w:sz w:val="32"/>
          <w:szCs w:val="32"/>
          <w:lang w:eastAsia="zh-CN"/>
        </w:rPr>
        <w:t>初验项目</w:t>
      </w:r>
      <w:r>
        <w:rPr>
          <w:rFonts w:ascii="宋体" w:eastAsia="方正仿宋_GBK" w:hAnsi="宋体" w:cs="方正仿宋_GBK" w:hint="eastAsia"/>
          <w:b w:val="0"/>
          <w:bCs w:val="0"/>
          <w:color w:val="auto"/>
          <w:sz w:val="32"/>
          <w:szCs w:val="32"/>
          <w:lang w:val="en-US" w:eastAsia="zh-CN"/>
        </w:rPr>
        <w:t>1</w:t>
      </w:r>
      <w:r>
        <w:rPr>
          <w:rFonts w:ascii="宋体" w:eastAsia="方正仿宋_GBK" w:hAnsi="宋体" w:cs="方正仿宋_GBK" w:hint="eastAsia"/>
          <w:b w:val="0"/>
          <w:bCs w:val="0"/>
          <w:color w:val="auto"/>
          <w:sz w:val="32"/>
          <w:szCs w:val="32"/>
          <w:lang w:eastAsia="zh-CN"/>
        </w:rPr>
        <w:t>个，</w:t>
      </w:r>
      <w:r>
        <w:rPr>
          <w:rFonts w:ascii="宋体" w:eastAsia="方正仿宋_GBK" w:hAnsi="宋体" w:cs="方正仿宋_GBK" w:hint="eastAsia"/>
          <w:b w:val="0"/>
          <w:bCs w:val="0"/>
          <w:color w:val="auto"/>
          <w:sz w:val="32"/>
          <w:szCs w:val="32"/>
          <w:lang w:val="en-US" w:eastAsia="zh-CN"/>
        </w:rPr>
        <w:t>西畴县鸡街乡海子村上海土地开发（补充耕地）项目。</w:t>
      </w:r>
    </w:p>
    <w:p>
      <w:pPr>
        <w:spacing w:line="600" w:lineRule="exact"/>
        <w:ind w:firstLine="600" w:firstLineChars="200"/>
        <w:rPr>
          <w:rFonts w:ascii="黑体" w:eastAsia="黑体" w:hAnsi="黑体" w:hint="eastAsia"/>
          <w:sz w:val="30"/>
          <w:szCs w:val="30"/>
        </w:rPr>
      </w:pPr>
      <w:r>
        <w:rPr>
          <w:rFonts w:ascii="黑体" w:eastAsia="黑体" w:hAnsi="黑体" w:hint="eastAsia"/>
          <w:sz w:val="30"/>
          <w:szCs w:val="30"/>
        </w:rPr>
        <w:t>二、部门基本情况</w:t>
      </w:r>
    </w:p>
    <w:p>
      <w:pPr>
        <w:spacing w:line="600" w:lineRule="exact"/>
        <w:ind w:firstLine="600" w:firstLineChars="200"/>
        <w:rPr>
          <w:rFonts w:ascii="楷体" w:eastAsia="楷体" w:hAnsi="楷体" w:hint="eastAsia"/>
          <w:sz w:val="30"/>
          <w:szCs w:val="30"/>
        </w:rPr>
      </w:pPr>
      <w:r>
        <w:rPr>
          <w:rFonts w:ascii="楷体" w:eastAsia="楷体" w:hAnsi="楷体" w:hint="eastAsia"/>
          <w:sz w:val="30"/>
          <w:szCs w:val="30"/>
        </w:rPr>
        <w:t>（一）部门决算单位构成</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right="0" w:firstLine="640" w:leftChars="0" w:rightChars="0" w:firstLineChars="200"/>
        <w:jc w:val="both"/>
        <w:textAlignment w:val="auto"/>
        <w:outlineLvl w:val="9"/>
        <w:rPr>
          <w:rFonts w:ascii="仿宋_GB2312" w:eastAsia="仿宋_GB2312" w:hAnsi="仿宋" w:hint="eastAsia"/>
          <w:color w:val="000000"/>
          <w:sz w:val="32"/>
          <w:szCs w:val="32"/>
        </w:rPr>
      </w:pPr>
      <w:r>
        <w:rPr>
          <w:rFonts w:ascii="仿宋_GB2312" w:eastAsia="仿宋_GB2312" w:hAnsi="仿宋_GB2312" w:cs="仿宋_GB2312" w:hint="eastAsia"/>
          <w:color w:val="000000"/>
          <w:sz w:val="32"/>
          <w:szCs w:val="32"/>
        </w:rPr>
        <w:t>纳入201</w:t>
      </w:r>
      <w:r>
        <w:rPr>
          <w:rFonts w:ascii="仿宋_GB2312" w:eastAsia="仿宋_GB2312" w:hAnsi="仿宋_GB2312" w:cs="仿宋_GB2312" w:hint="eastAsia"/>
          <w:color w:val="000000"/>
          <w:sz w:val="32"/>
          <w:szCs w:val="32"/>
          <w:lang w:val="en-US" w:eastAsia="zh-CN"/>
        </w:rPr>
        <w:t>8</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lang w:eastAsia="zh-CN"/>
        </w:rPr>
        <w:t>国土</w:t>
      </w:r>
      <w:r>
        <w:rPr>
          <w:rFonts w:ascii="仿宋_GB2312" w:eastAsia="仿宋_GB2312" w:hAnsi="仿宋_GB2312" w:cs="仿宋_GB2312" w:hint="eastAsia"/>
          <w:color w:val="000000"/>
          <w:sz w:val="32"/>
          <w:szCs w:val="32"/>
        </w:rPr>
        <w:t>部门决算编报的单位共1个，包括县局及参公管理的9个乡镇国土所</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土地整理中心</w:t>
      </w:r>
      <w:r>
        <w:rPr>
          <w:rFonts w:ascii="仿宋_GB2312" w:eastAsia="仿宋_GB2312" w:hAnsi="仿宋_GB2312" w:cs="仿宋_GB2312" w:hint="eastAsia"/>
          <w:color w:val="000000"/>
          <w:sz w:val="32"/>
          <w:szCs w:val="32"/>
          <w:lang w:eastAsia="zh-CN"/>
        </w:rPr>
        <w:t>及不动产登记中心，</w:t>
      </w:r>
      <w:r>
        <w:rPr>
          <w:rFonts w:ascii="仿宋_GB2312" w:eastAsia="仿宋_GB2312" w:hAnsi="仿宋_GB2312" w:cs="仿宋_GB2312" w:hint="eastAsia"/>
          <w:color w:val="000000"/>
          <w:sz w:val="32"/>
          <w:szCs w:val="32"/>
        </w:rPr>
        <w:t>其中行政单位1个，参照公务员法管理的事业单位</w:t>
      </w:r>
      <w:r>
        <w:rPr>
          <w:rFonts w:ascii="仿宋_GB2312" w:eastAsia="仿宋_GB2312" w:hAnsi="仿宋_GB2312" w:cs="仿宋_GB2312" w:hint="eastAsia"/>
          <w:bCs/>
          <w:color w:val="000000"/>
          <w:sz w:val="32"/>
          <w:szCs w:val="32"/>
        </w:rPr>
        <w:t>9</w:t>
      </w:r>
      <w:r>
        <w:rPr>
          <w:rFonts w:ascii="仿宋_GB2312" w:eastAsia="仿宋_GB2312" w:hAnsi="仿宋_GB2312" w:cs="仿宋_GB2312" w:hint="eastAsia"/>
          <w:bCs/>
          <w:color w:val="000000"/>
          <w:sz w:val="32"/>
          <w:szCs w:val="32"/>
          <w:lang w:eastAsia="zh-CN"/>
        </w:rPr>
        <w:t>个乡镇国土所</w:t>
      </w:r>
      <w:r>
        <w:rPr>
          <w:rFonts w:ascii="仿宋_GB2312" w:eastAsia="仿宋_GB2312" w:hAnsi="仿宋_GB2312" w:cs="仿宋_GB2312" w:hint="eastAsia"/>
          <w:color w:val="000000"/>
          <w:sz w:val="32"/>
          <w:szCs w:val="32"/>
          <w:lang w:eastAsia="zh-CN"/>
        </w:rPr>
        <w:t>及执法大队</w:t>
      </w:r>
      <w:r>
        <w:rPr>
          <w:rFonts w:ascii="仿宋_GB2312" w:eastAsia="仿宋_GB2312" w:hAnsi="仿宋_GB2312" w:cs="仿宋_GB2312" w:hint="eastAsia"/>
          <w:color w:val="000000"/>
          <w:sz w:val="32"/>
          <w:szCs w:val="32"/>
        </w:rPr>
        <w:t>，其他事业单位</w:t>
      </w:r>
      <w:r>
        <w:rPr>
          <w:rFonts w:ascii="仿宋_GB2312" w:eastAsia="仿宋_GB2312" w:hAnsi="仿宋_GB2312" w:cs="仿宋_GB2312" w:hint="eastAsia"/>
          <w:color w:val="000000"/>
          <w:sz w:val="32"/>
          <w:szCs w:val="32"/>
          <w:lang w:val="en-US" w:eastAsia="zh-CN"/>
        </w:rPr>
        <w:t>2</w:t>
      </w:r>
      <w:r>
        <w:rPr>
          <w:rFonts w:ascii="仿宋_GB2312" w:eastAsia="仿宋_GB2312" w:hAnsi="仿宋_GB2312" w:cs="仿宋_GB2312" w:hint="eastAsia"/>
          <w:color w:val="000000"/>
          <w:sz w:val="32"/>
          <w:szCs w:val="32"/>
        </w:rPr>
        <w:t>个</w:t>
      </w:r>
      <w:r>
        <w:rPr>
          <w:rFonts w:ascii="仿宋_GB2312" w:eastAsia="仿宋_GB2312" w:hAnsi="仿宋_GB2312" w:cs="仿宋_GB2312" w:hint="eastAsia"/>
          <w:color w:val="000000"/>
          <w:sz w:val="32"/>
          <w:szCs w:val="32"/>
          <w:lang w:eastAsia="zh-CN"/>
        </w:rPr>
        <w:t>中心</w:t>
      </w:r>
      <w:r>
        <w:rPr>
          <w:rFonts w:ascii="仿宋_GB2312" w:eastAsia="仿宋_GB2312" w:hAnsi="仿宋_GB2312" w:cs="仿宋_GB2312" w:hint="eastAsia"/>
          <w:color w:val="000000"/>
          <w:sz w:val="32"/>
          <w:szCs w:val="32"/>
        </w:rPr>
        <w:t>。纳入合并会计报表编制帐套共1</w:t>
      </w:r>
      <w:r>
        <w:rPr>
          <w:rFonts w:ascii="仿宋_GB2312" w:eastAsia="仿宋_GB2312" w:hAnsi="仿宋_GB2312" w:cs="仿宋_GB2312" w:hint="eastAsia"/>
          <w:color w:val="000000"/>
          <w:sz w:val="32"/>
          <w:szCs w:val="32"/>
          <w:lang w:val="en-US" w:eastAsia="zh-CN"/>
        </w:rPr>
        <w:t>2</w:t>
      </w:r>
      <w:r>
        <w:rPr>
          <w:rFonts w:ascii="仿宋_GB2312" w:eastAsia="仿宋_GB2312" w:hAnsi="仿宋_GB2312" w:cs="仿宋_GB2312" w:hint="eastAsia"/>
          <w:color w:val="000000"/>
          <w:sz w:val="32"/>
          <w:szCs w:val="32"/>
        </w:rPr>
        <w:t>套</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其中：县局行政</w:t>
      </w:r>
      <w:r>
        <w:rPr>
          <w:rFonts w:ascii="仿宋_GB2312" w:eastAsia="仿宋_GB2312" w:hAnsi="仿宋_GB2312" w:cs="仿宋_GB2312" w:hint="eastAsia"/>
          <w:color w:val="000000"/>
          <w:sz w:val="32"/>
          <w:szCs w:val="32"/>
          <w:lang w:eastAsia="zh-CN"/>
        </w:rPr>
        <w:t>经费账</w:t>
      </w:r>
      <w:r>
        <w:rPr>
          <w:rFonts w:ascii="仿宋_GB2312" w:eastAsia="仿宋_GB2312" w:hAnsi="仿宋_GB2312" w:cs="仿宋_GB2312" w:hint="eastAsia"/>
          <w:color w:val="000000"/>
          <w:sz w:val="32"/>
          <w:szCs w:val="32"/>
        </w:rPr>
        <w:t>1套、土地整理项目</w:t>
      </w:r>
      <w:r>
        <w:rPr>
          <w:rFonts w:ascii="仿宋_GB2312" w:eastAsia="仿宋_GB2312" w:hAnsi="仿宋_GB2312" w:cs="仿宋_GB2312" w:hint="eastAsia"/>
          <w:color w:val="000000"/>
          <w:sz w:val="32"/>
          <w:szCs w:val="32"/>
          <w:lang w:val="en-US" w:eastAsia="zh-CN"/>
        </w:rPr>
        <w:t>11</w:t>
      </w:r>
      <w:r>
        <w:rPr>
          <w:rFonts w:ascii="仿宋_GB2312" w:eastAsia="仿宋_GB2312" w:hAnsi="仿宋_GB2312" w:cs="仿宋_GB2312" w:hint="eastAsia"/>
          <w:color w:val="000000"/>
          <w:sz w:val="32"/>
          <w:szCs w:val="32"/>
        </w:rPr>
        <w:t>套。</w:t>
      </w:r>
    </w:p>
    <w:p>
      <w:pPr>
        <w:ind w:firstLine="600" w:firstLineChars="200"/>
        <w:rPr>
          <w:rFonts w:ascii="楷体" w:eastAsia="楷体" w:hAnsi="楷体" w:hint="eastAsia"/>
          <w:sz w:val="30"/>
          <w:szCs w:val="30"/>
        </w:rPr>
      </w:pPr>
      <w:r>
        <w:rPr>
          <w:rFonts w:ascii="楷体" w:eastAsia="楷体" w:hAnsi="楷体" w:hint="eastAsia"/>
          <w:sz w:val="30"/>
          <w:szCs w:val="30"/>
        </w:rPr>
        <w:t xml:space="preserve">（二）部门人员和车辆的编制及实有情况 </w:t>
      </w:r>
    </w:p>
    <w:p>
      <w:pPr>
        <w:widowControl/>
        <w:ind w:firstLine="640" w:firstLineChars="200"/>
        <w:jc w:val="left"/>
        <w:rPr>
          <w:rFonts w:ascii="仿宋" w:eastAsia="仿宋" w:hAnsi="仿宋" w:cs="仿宋"/>
          <w:kern w:val="0"/>
          <w:sz w:val="32"/>
          <w:szCs w:val="32"/>
        </w:rPr>
      </w:pPr>
      <w:r>
        <w:rPr>
          <w:rFonts w:ascii="仿宋" w:eastAsia="仿宋" w:hAnsi="仿宋" w:cs="仿宋" w:hint="eastAsia"/>
          <w:kern w:val="0"/>
          <w:sz w:val="32"/>
          <w:szCs w:val="32"/>
          <w:lang w:eastAsia="zh-CN"/>
        </w:rPr>
        <w:t>单位决算</w:t>
      </w:r>
      <w:r>
        <w:rPr>
          <w:rFonts w:ascii="仿宋" w:eastAsia="仿宋" w:hAnsi="仿宋" w:cs="仿宋" w:hint="eastAsia"/>
          <w:kern w:val="0"/>
          <w:sz w:val="32"/>
          <w:szCs w:val="32"/>
        </w:rPr>
        <w:t>编制201</w:t>
      </w:r>
      <w:r>
        <w:rPr>
          <w:rFonts w:ascii="仿宋" w:eastAsia="仿宋" w:hAnsi="仿宋" w:cs="仿宋" w:hint="eastAsia"/>
          <w:kern w:val="0"/>
          <w:sz w:val="32"/>
          <w:szCs w:val="32"/>
          <w:lang w:val="en-US" w:eastAsia="zh-CN"/>
        </w:rPr>
        <w:t>8</w:t>
      </w:r>
      <w:r>
        <w:rPr>
          <w:rFonts w:ascii="仿宋" w:eastAsia="仿宋" w:hAnsi="仿宋" w:cs="仿宋" w:hint="eastAsia"/>
          <w:kern w:val="0"/>
          <w:sz w:val="32"/>
          <w:szCs w:val="32"/>
        </w:rPr>
        <w:t>年部门预算单位共1个。其中：财政全供给单位1个；部分供给单位0个；特殊供给单位0个；自收自支单位1个。财政全供给单位中行政单位1个；参公管理事业单位9个乡镇国土所及1个执法大队；非参公管理事业单位2个中心。  201</w:t>
      </w:r>
      <w:r>
        <w:rPr>
          <w:rFonts w:ascii="仿宋" w:eastAsia="仿宋" w:hAnsi="仿宋" w:cs="仿宋" w:hint="eastAsia"/>
          <w:kern w:val="0"/>
          <w:sz w:val="32"/>
          <w:szCs w:val="32"/>
          <w:lang w:val="en-US" w:eastAsia="zh-CN"/>
        </w:rPr>
        <w:t>8</w:t>
      </w:r>
      <w:r>
        <w:rPr>
          <w:rFonts w:ascii="仿宋" w:eastAsia="仿宋" w:hAnsi="仿宋" w:cs="仿宋" w:hint="eastAsia"/>
          <w:kern w:val="0"/>
          <w:sz w:val="32"/>
          <w:szCs w:val="32"/>
        </w:rPr>
        <w:t>年人员编制8</w:t>
      </w:r>
      <w:r>
        <w:rPr>
          <w:rFonts w:ascii="仿宋" w:eastAsia="仿宋" w:hAnsi="仿宋" w:cs="仿宋" w:hint="eastAsia"/>
          <w:kern w:val="0"/>
          <w:sz w:val="32"/>
          <w:szCs w:val="32"/>
          <w:lang w:val="en-US" w:eastAsia="zh-CN"/>
        </w:rPr>
        <w:t>6</w:t>
      </w:r>
      <w:r>
        <w:rPr>
          <w:rFonts w:ascii="仿宋" w:eastAsia="仿宋" w:hAnsi="仿宋" w:cs="仿宋" w:hint="eastAsia"/>
          <w:kern w:val="0"/>
          <w:sz w:val="32"/>
          <w:szCs w:val="32"/>
        </w:rPr>
        <w:t>人，其中：行政编制 1</w:t>
      </w:r>
      <w:r>
        <w:rPr>
          <w:rFonts w:ascii="仿宋" w:eastAsia="仿宋" w:hAnsi="仿宋" w:cs="仿宋" w:hint="eastAsia"/>
          <w:kern w:val="0"/>
          <w:sz w:val="32"/>
          <w:szCs w:val="32"/>
          <w:lang w:val="en-US" w:eastAsia="zh-CN"/>
        </w:rPr>
        <w:t>7</w:t>
      </w:r>
      <w:r>
        <w:rPr>
          <w:rFonts w:ascii="仿宋" w:eastAsia="仿宋" w:hAnsi="仿宋" w:cs="仿宋" w:hint="eastAsia"/>
          <w:kern w:val="0"/>
          <w:sz w:val="32"/>
          <w:szCs w:val="32"/>
        </w:rPr>
        <w:t>人、工勤岗位2人，参公管理编制47人，事业编制20人，自收自支编制1个。在职实有56人，其中： 财政全供养 56人，财政部分供养0人，非财政供养0人。</w:t>
      </w:r>
    </w:p>
    <w:p>
      <w:pPr>
        <w:widowControl/>
        <w:ind w:firstLine="640" w:firstLineChars="200"/>
        <w:jc w:val="left"/>
        <w:rPr>
          <w:rFonts w:ascii="仿宋" w:eastAsia="仿宋" w:hAnsi="仿宋" w:cs="仿宋"/>
          <w:kern w:val="0"/>
          <w:sz w:val="32"/>
          <w:szCs w:val="32"/>
        </w:rPr>
      </w:pPr>
      <w:r>
        <w:rPr>
          <w:rFonts w:ascii="仿宋" w:eastAsia="仿宋" w:hAnsi="仿宋" w:cs="仿宋" w:hint="eastAsia"/>
          <w:kern w:val="0"/>
          <w:sz w:val="32"/>
          <w:szCs w:val="32"/>
        </w:rPr>
        <w:t>离退休人员 3</w:t>
      </w:r>
      <w:r>
        <w:rPr>
          <w:rFonts w:ascii="仿宋" w:eastAsia="仿宋" w:hAnsi="仿宋" w:cs="仿宋" w:hint="eastAsia"/>
          <w:kern w:val="0"/>
          <w:sz w:val="32"/>
          <w:szCs w:val="32"/>
          <w:lang w:val="en-US" w:eastAsia="zh-CN"/>
        </w:rPr>
        <w:t>7</w:t>
      </w:r>
      <w:r>
        <w:rPr>
          <w:rFonts w:ascii="仿宋" w:eastAsia="仿宋" w:hAnsi="仿宋" w:cs="仿宋" w:hint="eastAsia"/>
          <w:kern w:val="0"/>
          <w:sz w:val="32"/>
          <w:szCs w:val="32"/>
        </w:rPr>
        <w:t xml:space="preserve">人， </w:t>
      </w:r>
      <w:r>
        <w:rPr>
          <w:rFonts w:ascii="仿宋" w:eastAsia="仿宋" w:hAnsi="仿宋" w:cs="仿宋" w:hint="eastAsia"/>
          <w:kern w:val="0"/>
          <w:sz w:val="32"/>
          <w:szCs w:val="32"/>
          <w:lang w:val="en-US" w:eastAsia="zh-CN"/>
        </w:rPr>
        <w:t>2018年</w:t>
      </w:r>
      <w:r>
        <w:rPr>
          <w:rFonts w:ascii="仿宋" w:eastAsia="仿宋" w:hAnsi="仿宋" w:cs="仿宋" w:hint="eastAsia"/>
          <w:kern w:val="0"/>
          <w:sz w:val="32"/>
          <w:szCs w:val="32"/>
          <w:lang w:eastAsia="zh-CN"/>
        </w:rPr>
        <w:t>退</w:t>
      </w:r>
      <w:r>
        <w:rPr>
          <w:rFonts w:ascii="仿宋" w:eastAsia="仿宋" w:hAnsi="仿宋" w:cs="仿宋" w:hint="eastAsia"/>
          <w:kern w:val="0"/>
          <w:sz w:val="32"/>
          <w:szCs w:val="32"/>
        </w:rPr>
        <w:t>休</w:t>
      </w:r>
      <w:r>
        <w:rPr>
          <w:rFonts w:ascii="仿宋" w:eastAsia="仿宋" w:hAnsi="仿宋" w:cs="仿宋" w:hint="eastAsia"/>
          <w:kern w:val="0"/>
          <w:sz w:val="32"/>
          <w:szCs w:val="32"/>
          <w:lang w:eastAsia="zh-CN"/>
        </w:rPr>
        <w:t>增加</w:t>
      </w:r>
      <w:r>
        <w:rPr>
          <w:rFonts w:ascii="仿宋" w:eastAsia="仿宋" w:hAnsi="仿宋" w:cs="仿宋" w:hint="eastAsia"/>
          <w:kern w:val="0"/>
          <w:sz w:val="32"/>
          <w:szCs w:val="32"/>
        </w:rPr>
        <w:t xml:space="preserve"> </w:t>
      </w:r>
      <w:r>
        <w:rPr>
          <w:rFonts w:ascii="仿宋" w:eastAsia="仿宋" w:hAnsi="仿宋" w:cs="仿宋" w:hint="eastAsia"/>
          <w:kern w:val="0"/>
          <w:sz w:val="32"/>
          <w:szCs w:val="32"/>
          <w:lang w:val="en-US" w:eastAsia="zh-CN"/>
        </w:rPr>
        <w:t>1</w:t>
      </w:r>
      <w:r>
        <w:rPr>
          <w:rFonts w:ascii="仿宋" w:eastAsia="仿宋" w:hAnsi="仿宋" w:cs="仿宋" w:hint="eastAsia"/>
          <w:kern w:val="0"/>
          <w:sz w:val="32"/>
          <w:szCs w:val="32"/>
        </w:rPr>
        <w:t>人。</w:t>
      </w:r>
    </w:p>
    <w:p>
      <w:pPr>
        <w:widowControl/>
        <w:ind w:firstLine="640" w:firstLineChars="200"/>
        <w:jc w:val="left"/>
        <w:rPr>
          <w:rFonts w:ascii="仿宋_GB2312" w:eastAsia="仿宋_GB2312" w:hAnsi="仿宋" w:hint="eastAsia"/>
          <w:color w:val="000000"/>
          <w:sz w:val="32"/>
          <w:szCs w:val="32"/>
          <w:shd w:val="clear" w:color="auto" w:fill="auto"/>
        </w:rPr>
      </w:pPr>
      <w:r>
        <w:rPr>
          <w:rFonts w:ascii="仿宋" w:eastAsia="仿宋" w:hAnsi="仿宋" w:cs="仿宋" w:hint="eastAsia"/>
          <w:kern w:val="0"/>
          <w:sz w:val="32"/>
          <w:szCs w:val="32"/>
        </w:rPr>
        <w:t>车辆编制2辆，实有车辆</w:t>
      </w:r>
      <w:r>
        <w:rPr>
          <w:rFonts w:ascii="仿宋" w:eastAsia="仿宋" w:hAnsi="仿宋" w:cs="仿宋" w:hint="eastAsia"/>
          <w:kern w:val="0"/>
          <w:sz w:val="32"/>
          <w:szCs w:val="32"/>
          <w:lang w:val="en-US" w:eastAsia="zh-CN"/>
        </w:rPr>
        <w:t>1</w:t>
      </w:r>
      <w:r>
        <w:rPr>
          <w:rFonts w:ascii="仿宋" w:eastAsia="仿宋" w:hAnsi="仿宋" w:cs="仿宋" w:hint="eastAsia"/>
          <w:kern w:val="0"/>
          <w:sz w:val="32"/>
          <w:szCs w:val="32"/>
        </w:rPr>
        <w:t>辆。</w:t>
      </w:r>
    </w:p>
    <w:p>
      <w:pPr>
        <w:jc w:val="center"/>
        <w:rPr>
          <w:rFonts w:ascii="黑体" w:eastAsia="黑体" w:hAnsi="黑体" w:hint="eastAsia"/>
          <w:sz w:val="32"/>
          <w:szCs w:val="32"/>
        </w:rPr>
      </w:pPr>
      <w:r>
        <w:rPr>
          <w:rFonts w:ascii="黑体" w:eastAsia="黑体" w:hAnsi="黑体" w:hint="eastAsia"/>
          <w:sz w:val="32"/>
          <w:szCs w:val="32"/>
        </w:rPr>
        <w:t xml:space="preserve">第二部分  </w:t>
      </w:r>
      <w:r>
        <w:rPr>
          <w:rFonts w:ascii="黑体" w:eastAsia="黑体" w:hAnsi="黑体" w:hint="eastAsia"/>
          <w:sz w:val="32"/>
          <w:szCs w:val="32"/>
          <w:lang w:val="en-US" w:eastAsia="zh-CN"/>
        </w:rPr>
        <w:t>2018</w:t>
      </w:r>
      <w:r>
        <w:rPr>
          <w:rFonts w:ascii="黑体" w:eastAsia="黑体" w:hAnsi="黑体" w:hint="eastAsia"/>
          <w:sz w:val="32"/>
          <w:szCs w:val="32"/>
        </w:rPr>
        <w:t>年度部门决算表</w:t>
      </w:r>
    </w:p>
    <w:p>
      <w:pPr>
        <w:spacing w:line="600" w:lineRule="exact"/>
        <w:ind w:firstLine="600" w:firstLineChars="200"/>
        <w:jc w:val="center"/>
        <w:rPr>
          <w:rFonts w:ascii="仿宋_GB2312" w:eastAsia="仿宋_GB2312" w:hint="eastAsia"/>
          <w:sz w:val="30"/>
          <w:szCs w:val="30"/>
        </w:rPr>
      </w:pPr>
      <w:r>
        <w:rPr>
          <w:rFonts w:ascii="仿宋_GB2312" w:eastAsia="仿宋_GB2312" w:hint="eastAsia"/>
          <w:sz w:val="30"/>
          <w:szCs w:val="30"/>
        </w:rPr>
        <w:t>（详见附件）</w:t>
      </w:r>
    </w:p>
    <w:p>
      <w:pPr>
        <w:spacing w:line="600" w:lineRule="exact"/>
        <w:ind w:firstLine="600" w:firstLineChars="200"/>
        <w:jc w:val="center"/>
        <w:rPr>
          <w:rFonts w:ascii="仿宋_GB2312" w:eastAsia="仿宋_GB2312" w:hint="eastAsia"/>
          <w:sz w:val="30"/>
          <w:szCs w:val="30"/>
        </w:rPr>
      </w:pPr>
    </w:p>
    <w:p>
      <w:pPr>
        <w:jc w:val="center"/>
        <w:rPr>
          <w:rFonts w:ascii="黑体" w:eastAsia="黑体" w:hAnsi="黑体" w:hint="eastAsia"/>
          <w:sz w:val="32"/>
          <w:szCs w:val="32"/>
        </w:rPr>
      </w:pPr>
      <w:r>
        <w:rPr>
          <w:rFonts w:ascii="黑体" w:eastAsia="黑体" w:hAnsi="黑体" w:hint="eastAsia"/>
          <w:sz w:val="32"/>
          <w:szCs w:val="32"/>
        </w:rPr>
        <w:t>第三部</w:t>
      </w:r>
      <w:r>
        <w:rPr>
          <w:rFonts w:ascii="黑体" w:eastAsia="黑体" w:hAnsi="黑体" w:hint="eastAsia"/>
          <w:sz w:val="32"/>
          <w:szCs w:val="32"/>
          <w:lang w:eastAsia="zh-CN"/>
        </w:rPr>
        <w:t>分</w:t>
      </w:r>
      <w:r>
        <w:rPr>
          <w:rFonts w:ascii="黑体" w:eastAsia="黑体" w:hAnsi="黑体" w:hint="eastAsia"/>
          <w:sz w:val="32"/>
          <w:szCs w:val="32"/>
        </w:rPr>
        <w:t xml:space="preserve">  </w:t>
      </w:r>
      <w:r>
        <w:rPr>
          <w:rFonts w:ascii="黑体" w:eastAsia="黑体" w:hAnsi="黑体" w:hint="eastAsia"/>
          <w:sz w:val="32"/>
          <w:szCs w:val="32"/>
          <w:lang w:val="en-US" w:eastAsia="zh-CN"/>
        </w:rPr>
        <w:t>2018</w:t>
      </w:r>
      <w:r>
        <w:rPr>
          <w:rFonts w:ascii="黑体" w:eastAsia="黑体" w:hAnsi="黑体" w:hint="eastAsia"/>
          <w:sz w:val="32"/>
          <w:szCs w:val="32"/>
        </w:rPr>
        <w:t>年度部门决算情况说明</w:t>
      </w:r>
    </w:p>
    <w:p>
      <w:pPr>
        <w:ind w:firstLine="600" w:firstLineChars="200"/>
        <w:jc w:val="left"/>
        <w:rPr>
          <w:rFonts w:ascii="黑体" w:eastAsia="黑体" w:hAnsi="黑体" w:hint="eastAsia"/>
          <w:sz w:val="30"/>
          <w:szCs w:val="30"/>
        </w:rPr>
      </w:pPr>
      <w:r>
        <w:rPr>
          <w:rFonts w:ascii="黑体" w:eastAsia="黑体" w:hAnsi="黑体" w:hint="eastAsia"/>
          <w:sz w:val="30"/>
          <w:szCs w:val="30"/>
        </w:rPr>
        <w:t>一、收入决算情况说明</w:t>
      </w:r>
    </w:p>
    <w:p>
      <w:pPr>
        <w:snapToGrid w:val="0"/>
        <w:spacing w:line="520" w:lineRule="exact"/>
        <w:ind w:firstLine="640" w:firstLineChars="200"/>
        <w:rPr>
          <w:rFonts w:ascii="仿宋_GB2312" w:eastAsia="仿宋_GB2312" w:hAnsi="仿宋_GB2312" w:cs="仿宋_GB2312" w:hint="eastAsia"/>
          <w:b w:val="0"/>
          <w:bCs/>
          <w:color w:val="auto"/>
          <w:sz w:val="32"/>
          <w:szCs w:val="32"/>
        </w:rPr>
      </w:pPr>
      <w:r>
        <w:rPr>
          <w:rFonts w:ascii="仿宋_GB2312" w:eastAsia="仿宋_GB2312" w:hAnsi="仿宋_GB2312" w:cs="仿宋_GB2312" w:hint="eastAsia"/>
          <w:b w:val="0"/>
          <w:bCs/>
          <w:color w:val="auto"/>
          <w:sz w:val="32"/>
          <w:szCs w:val="32"/>
        </w:rPr>
        <w:t>（一）收入支出预算安排情况。</w:t>
      </w:r>
    </w:p>
    <w:p>
      <w:pPr>
        <w:keepNext w:val="0"/>
        <w:keepLines w:val="0"/>
        <w:pageBreakBefore w:val="0"/>
        <w:kinsoku/>
        <w:wordWrap/>
        <w:overflowPunct/>
        <w:topLinePunct w:val="0"/>
        <w:autoSpaceDE/>
        <w:autoSpaceDN/>
        <w:bidi w:val="0"/>
        <w:adjustRightInd/>
        <w:snapToGrid w:val="0"/>
        <w:spacing w:line="520" w:lineRule="exact"/>
        <w:ind w:right="0" w:firstLine="640" w:rightChars="0" w:firstLineChars="200"/>
        <w:textAlignment w:val="auto"/>
        <w:outlineLvl w:val="9"/>
        <w:rPr>
          <w:rFonts w:ascii="仿宋_GB2312" w:eastAsia="仿宋_GB2312" w:hAnsi="仿宋_GB2312" w:cs="仿宋_GB2312" w:hint="eastAsia"/>
          <w:color w:val="000000"/>
          <w:sz w:val="32"/>
          <w:szCs w:val="32"/>
          <w:highlight w:val="none"/>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lang w:val="en-US" w:eastAsia="zh-CN"/>
        </w:rPr>
        <w:t>8</w:t>
      </w:r>
      <w:r>
        <w:rPr>
          <w:rFonts w:ascii="仿宋_GB2312" w:eastAsia="仿宋_GB2312" w:hAnsi="仿宋_GB2312" w:cs="仿宋_GB2312" w:hint="eastAsia"/>
          <w:sz w:val="32"/>
          <w:szCs w:val="32"/>
        </w:rPr>
        <w:t>年年初预算财政拨款收入</w:t>
      </w:r>
      <w:r>
        <w:rPr>
          <w:rFonts w:ascii="仿宋_GB2312" w:eastAsia="仿宋_GB2312" w:hAnsi="仿宋_GB2312" w:cs="仿宋_GB2312" w:hint="eastAsia"/>
          <w:sz w:val="32"/>
          <w:szCs w:val="32"/>
          <w:lang w:val="en-US" w:eastAsia="zh-CN"/>
        </w:rPr>
        <w:t>1113.21</w:t>
      </w:r>
      <w:r>
        <w:rPr>
          <w:rFonts w:ascii="仿宋_GB2312" w:eastAsia="仿宋_GB2312" w:hAnsi="仿宋_GB2312" w:cs="仿宋_GB2312" w:hint="eastAsia"/>
          <w:sz w:val="32"/>
          <w:szCs w:val="32"/>
        </w:rPr>
        <w:t>万元，上年预算数</w:t>
      </w:r>
      <w:r>
        <w:rPr>
          <w:rFonts w:ascii="仿宋_GB2312" w:eastAsia="仿宋_GB2312" w:hAnsi="仿宋_GB2312" w:cs="仿宋_GB2312" w:hint="eastAsia"/>
          <w:sz w:val="32"/>
          <w:szCs w:val="32"/>
          <w:lang w:val="en-US" w:eastAsia="zh-CN"/>
        </w:rPr>
        <w:t>905.55</w:t>
      </w:r>
      <w:r>
        <w:rPr>
          <w:rFonts w:ascii="仿宋_GB2312" w:eastAsia="仿宋_GB2312" w:hAnsi="仿宋_GB2312" w:cs="仿宋_GB2312" w:hint="eastAsia"/>
          <w:sz w:val="32"/>
          <w:szCs w:val="32"/>
        </w:rPr>
        <w:t>万元，比上年预算增加</w:t>
      </w:r>
      <w:r>
        <w:rPr>
          <w:rFonts w:ascii="仿宋_GB2312" w:eastAsia="仿宋_GB2312" w:hAnsi="仿宋_GB2312" w:cs="仿宋_GB2312" w:hint="eastAsia"/>
          <w:sz w:val="32"/>
          <w:szCs w:val="32"/>
          <w:lang w:val="en-US" w:eastAsia="zh-CN"/>
        </w:rPr>
        <w:t>207.66</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lang w:val="en-US" w:eastAsia="zh-CN"/>
        </w:rPr>
        <w:t>22.93</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highlight w:val="none"/>
        </w:rPr>
        <w:t>原因：调整工资标准。</w:t>
      </w:r>
    </w:p>
    <w:p>
      <w:pPr>
        <w:keepNext w:val="0"/>
        <w:keepLines w:val="0"/>
        <w:pageBreakBefore w:val="0"/>
        <w:kinsoku/>
        <w:wordWrap/>
        <w:overflowPunct/>
        <w:topLinePunct w:val="0"/>
        <w:autoSpaceDE/>
        <w:autoSpaceDN/>
        <w:bidi w:val="0"/>
        <w:adjustRightInd/>
        <w:snapToGrid w:val="0"/>
        <w:spacing w:line="520" w:lineRule="exact"/>
        <w:ind w:right="0" w:firstLine="640" w:rightChars="0" w:firstLineChars="200"/>
        <w:textAlignment w:val="auto"/>
        <w:outlineLvl w:val="9"/>
        <w:rPr>
          <w:rFonts w:ascii="仿宋_GB2312" w:eastAsia="仿宋_GB2312" w:hAnsi="仿宋_GB2312" w:cs="仿宋_GB2312" w:hint="eastAsia"/>
          <w:color w:val="000000"/>
          <w:sz w:val="32"/>
          <w:szCs w:val="32"/>
          <w:highlight w:val="none"/>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lang w:val="en-US" w:eastAsia="zh-CN"/>
        </w:rPr>
        <w:t>8</w:t>
      </w:r>
      <w:r>
        <w:rPr>
          <w:rFonts w:ascii="仿宋_GB2312" w:eastAsia="仿宋_GB2312" w:hAnsi="仿宋_GB2312" w:cs="仿宋_GB2312" w:hint="eastAsia"/>
          <w:sz w:val="32"/>
          <w:szCs w:val="32"/>
        </w:rPr>
        <w:t>年年末财政拨款收入决算数</w:t>
      </w:r>
      <w:r>
        <w:rPr>
          <w:rFonts w:ascii="仿宋_GB2312" w:eastAsia="仿宋_GB2312" w:hAnsi="仿宋_GB2312" w:cs="仿宋_GB2312" w:hint="eastAsia"/>
          <w:sz w:val="32"/>
          <w:szCs w:val="32"/>
          <w:lang w:val="en-US" w:eastAsia="zh-CN"/>
        </w:rPr>
        <w:t>4618.6</w:t>
      </w:r>
      <w:r>
        <w:rPr>
          <w:rFonts w:ascii="仿宋_GB2312" w:eastAsia="仿宋_GB2312" w:hAnsi="仿宋_GB2312" w:cs="仿宋_GB2312" w:hint="eastAsia"/>
          <w:sz w:val="32"/>
          <w:szCs w:val="32"/>
        </w:rPr>
        <w:t>万元，上年财政拨款收入决算</w:t>
      </w:r>
      <w:r>
        <w:rPr>
          <w:rFonts w:ascii="仿宋_GB2312" w:eastAsia="仿宋_GB2312" w:hAnsi="仿宋_GB2312" w:cs="仿宋_GB2312" w:hint="eastAsia"/>
          <w:sz w:val="32"/>
          <w:szCs w:val="32"/>
          <w:lang w:val="en-US" w:eastAsia="zh-CN"/>
        </w:rPr>
        <w:t>2976.9</w:t>
      </w:r>
      <w:r>
        <w:rPr>
          <w:rFonts w:ascii="仿宋_GB2312" w:eastAsia="仿宋_GB2312" w:hAnsi="仿宋_GB2312" w:cs="仿宋_GB2312" w:hint="eastAsia"/>
          <w:sz w:val="32"/>
          <w:szCs w:val="32"/>
        </w:rPr>
        <w:t>万元，收入决算数比上年</w:t>
      </w:r>
      <w:r>
        <w:rPr>
          <w:rFonts w:ascii="仿宋_GB2312" w:eastAsia="仿宋_GB2312" w:hAnsi="仿宋_GB2312" w:cs="仿宋_GB2312" w:hint="eastAsia"/>
          <w:sz w:val="32"/>
          <w:szCs w:val="32"/>
          <w:lang w:eastAsia="zh-CN"/>
        </w:rPr>
        <w:t>增加</w:t>
      </w:r>
      <w:r>
        <w:rPr>
          <w:rFonts w:ascii="仿宋_GB2312" w:eastAsia="仿宋_GB2312" w:hAnsi="仿宋_GB2312" w:cs="仿宋_GB2312" w:hint="eastAsia"/>
          <w:sz w:val="32"/>
          <w:szCs w:val="32"/>
          <w:lang w:val="en-US" w:eastAsia="zh-CN"/>
        </w:rPr>
        <w:t>1641.7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lang w:eastAsia="zh-CN"/>
        </w:rPr>
        <w:t>增加</w:t>
      </w:r>
      <w:r>
        <w:rPr>
          <w:rFonts w:ascii="仿宋_GB2312" w:eastAsia="仿宋_GB2312" w:hAnsi="仿宋_GB2312" w:cs="仿宋_GB2312" w:hint="eastAsia"/>
          <w:sz w:val="32"/>
          <w:szCs w:val="32"/>
          <w:lang w:val="en-US" w:eastAsia="zh-CN"/>
        </w:rPr>
        <w:t>55.14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增加</w:t>
      </w:r>
      <w:r>
        <w:rPr>
          <w:rFonts w:ascii="仿宋_GB2312" w:eastAsia="仿宋_GB2312" w:hAnsi="仿宋_GB2312" w:cs="仿宋_GB2312" w:hint="eastAsia"/>
          <w:color w:val="000000"/>
          <w:sz w:val="32"/>
          <w:szCs w:val="32"/>
          <w:highlight w:val="none"/>
        </w:rPr>
        <w:t>原因：新增</w:t>
      </w:r>
      <w:r>
        <w:rPr>
          <w:rFonts w:ascii="仿宋_GB2312" w:eastAsia="仿宋_GB2312" w:hAnsi="仿宋_GB2312" w:cs="仿宋_GB2312" w:hint="eastAsia"/>
          <w:color w:val="000000"/>
          <w:sz w:val="32"/>
          <w:szCs w:val="32"/>
          <w:highlight w:val="none"/>
          <w:lang w:eastAsia="zh-CN"/>
        </w:rPr>
        <w:t>历年征地补偿费</w:t>
      </w:r>
      <w:r>
        <w:rPr>
          <w:rFonts w:ascii="仿宋_GB2312" w:eastAsia="仿宋_GB2312" w:hAnsi="仿宋_GB2312" w:cs="仿宋_GB2312" w:hint="eastAsia"/>
          <w:color w:val="000000"/>
          <w:sz w:val="32"/>
          <w:szCs w:val="32"/>
          <w:highlight w:val="none"/>
          <w:lang w:val="en-US" w:eastAsia="zh-CN"/>
        </w:rPr>
        <w:t>1104.84万元，下新民片区新增建设用地项目500万元，全国第三次国土土地调查资金121.32万元，地质灾害滑坡避让项目资金297.5万元，扶贫增减挂钩项目资金362.37万元，2018年第一至5批次城镇建设用地项目639.4万元，2017年第三批次城镇建设用地项目169.08万元，2018年第七批次城镇建设用地项目152.77万元，其次就是今年调资16.82万元</w:t>
      </w:r>
      <w:r>
        <w:rPr>
          <w:rFonts w:ascii="仿宋_GB2312" w:eastAsia="仿宋_GB2312" w:hAnsi="仿宋_GB2312" w:cs="仿宋_GB2312" w:hint="eastAsia"/>
          <w:color w:val="000000"/>
          <w:sz w:val="32"/>
          <w:szCs w:val="32"/>
          <w:highlight w:val="none"/>
        </w:rPr>
        <w:t>。</w:t>
      </w:r>
    </w:p>
    <w:p>
      <w:pPr>
        <w:widowControl/>
        <w:snapToGrid w:val="0"/>
        <w:spacing w:before="100" w:after="100" w:line="600" w:lineRule="exact"/>
        <w:ind w:firstLine="538"/>
        <w:jc w:val="left"/>
        <w:rPr>
          <w:rFonts w:ascii="仿宋_GB2312" w:eastAsia="仿宋_GB2312" w:hAnsi="仿宋_GB2312" w:cs="仿宋_GB2312" w:hint="eastAsia"/>
          <w:color w:val="000000"/>
          <w:sz w:val="32"/>
          <w:szCs w:val="32"/>
          <w:highlight w:val="none"/>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lang w:val="en-US" w:eastAsia="zh-CN"/>
        </w:rPr>
        <w:t>8</w:t>
      </w:r>
      <w:r>
        <w:rPr>
          <w:rFonts w:ascii="仿宋_GB2312" w:eastAsia="仿宋_GB2312" w:hAnsi="仿宋_GB2312" w:cs="仿宋_GB2312" w:hint="eastAsia"/>
          <w:sz w:val="32"/>
          <w:szCs w:val="32"/>
        </w:rPr>
        <w:t>年年初预算财</w:t>
      </w:r>
      <w:r>
        <w:rPr>
          <w:rFonts w:ascii="仿宋_GB2312" w:eastAsia="仿宋_GB2312" w:hAnsi="仿宋_GB2312" w:cs="仿宋_GB2312" w:hint="eastAsia"/>
          <w:color w:val="000000"/>
          <w:sz w:val="32"/>
          <w:szCs w:val="32"/>
        </w:rPr>
        <w:t>政拨款支</w:t>
      </w:r>
      <w:r>
        <w:rPr>
          <w:rFonts w:ascii="仿宋_GB2312" w:eastAsia="仿宋_GB2312" w:hAnsi="仿宋_GB2312" w:cs="仿宋_GB2312" w:hint="eastAsia"/>
          <w:sz w:val="32"/>
          <w:szCs w:val="32"/>
        </w:rPr>
        <w:t>出</w:t>
      </w:r>
      <w:r>
        <w:rPr>
          <w:rFonts w:ascii="仿宋_GB2312" w:eastAsia="仿宋_GB2312" w:hAnsi="仿宋_GB2312" w:cs="仿宋_GB2312" w:hint="eastAsia"/>
          <w:sz w:val="32"/>
          <w:szCs w:val="32"/>
          <w:lang w:val="en-US" w:eastAsia="zh-CN"/>
        </w:rPr>
        <w:t>1113.21</w:t>
      </w:r>
      <w:r>
        <w:rPr>
          <w:rFonts w:ascii="仿宋_GB2312" w:eastAsia="仿宋_GB2312" w:hAnsi="仿宋_GB2312" w:cs="仿宋_GB2312" w:hint="eastAsia"/>
          <w:sz w:val="32"/>
          <w:szCs w:val="32"/>
        </w:rPr>
        <w:t>万元，支出决算</w:t>
      </w:r>
      <w:r>
        <w:rPr>
          <w:rFonts w:ascii="仿宋_GB2312" w:eastAsia="仿宋_GB2312" w:hAnsi="仿宋_GB2312" w:cs="仿宋_GB2312" w:hint="eastAsia"/>
          <w:sz w:val="32"/>
          <w:szCs w:val="32"/>
          <w:lang w:val="en-US" w:eastAsia="zh-CN"/>
        </w:rPr>
        <w:t>5790.16</w:t>
      </w:r>
      <w:r>
        <w:rPr>
          <w:rFonts w:ascii="仿宋_GB2312" w:eastAsia="仿宋_GB2312" w:hAnsi="仿宋_GB2312" w:cs="仿宋_GB2312" w:hint="eastAsia"/>
          <w:sz w:val="32"/>
          <w:szCs w:val="32"/>
        </w:rPr>
        <w:t>万元，比年初预算</w:t>
      </w:r>
      <w:r>
        <w:rPr>
          <w:rFonts w:ascii="仿宋_GB2312" w:eastAsia="仿宋_GB2312" w:hAnsi="仿宋_GB2312" w:cs="仿宋_GB2312" w:hint="eastAsia"/>
          <w:sz w:val="32"/>
          <w:szCs w:val="32"/>
          <w:lang w:eastAsia="zh-CN"/>
        </w:rPr>
        <w:t>增加</w:t>
      </w:r>
      <w:r>
        <w:rPr>
          <w:rFonts w:ascii="仿宋_GB2312" w:eastAsia="仿宋_GB2312" w:hAnsi="仿宋_GB2312" w:cs="仿宋_GB2312" w:hint="eastAsia"/>
          <w:sz w:val="32"/>
          <w:szCs w:val="32"/>
          <w:lang w:val="en-US" w:eastAsia="zh-CN"/>
        </w:rPr>
        <w:t>4676.95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lang w:eastAsia="zh-CN"/>
        </w:rPr>
        <w:t>增加</w:t>
      </w:r>
      <w:r>
        <w:rPr>
          <w:rFonts w:ascii="仿宋_GB2312" w:eastAsia="仿宋_GB2312" w:hAnsi="仿宋_GB2312" w:cs="仿宋_GB2312" w:hint="eastAsia"/>
          <w:sz w:val="32"/>
          <w:szCs w:val="32"/>
          <w:lang w:val="en-US" w:eastAsia="zh-CN"/>
        </w:rPr>
        <w:t>420.13%</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highlight w:val="none"/>
        </w:rPr>
        <w:t>原因：年初预算未包括</w:t>
      </w:r>
      <w:r>
        <w:rPr>
          <w:rFonts w:ascii="仿宋_GB2312" w:eastAsia="仿宋_GB2312" w:hAnsi="仿宋_GB2312" w:cs="仿宋_GB2312" w:hint="eastAsia"/>
          <w:color w:val="000000"/>
          <w:sz w:val="32"/>
          <w:szCs w:val="32"/>
          <w:highlight w:val="none"/>
          <w:lang w:eastAsia="zh-CN"/>
        </w:rPr>
        <w:t>政府性基金收入</w:t>
      </w:r>
      <w:r>
        <w:rPr>
          <w:rFonts w:ascii="仿宋_GB2312" w:eastAsia="仿宋_GB2312" w:hAnsi="仿宋_GB2312" w:cs="仿宋_GB2312" w:hint="eastAsia"/>
          <w:color w:val="000000"/>
          <w:sz w:val="32"/>
          <w:szCs w:val="32"/>
          <w:highlight w:val="none"/>
        </w:rPr>
        <w:t>。</w:t>
      </w:r>
    </w:p>
    <w:p>
      <w:pPr>
        <w:keepNext w:val="0"/>
        <w:keepLines w:val="0"/>
        <w:pageBreakBefore w:val="0"/>
        <w:kinsoku/>
        <w:wordWrap/>
        <w:overflowPunct/>
        <w:topLinePunct w:val="0"/>
        <w:autoSpaceDE/>
        <w:autoSpaceDN/>
        <w:bidi w:val="0"/>
        <w:adjustRightInd/>
        <w:snapToGrid w:val="0"/>
        <w:spacing w:line="520" w:lineRule="exact"/>
        <w:ind w:right="0" w:firstLine="640" w:rightChars="0" w:firstLineChars="200"/>
        <w:textAlignment w:val="auto"/>
        <w:outlineLvl w:val="9"/>
        <w:rPr>
          <w:rFonts w:ascii="仿宋_GB2312" w:eastAsia="仿宋_GB2312" w:hAnsi="仿宋_GB2312" w:cs="仿宋_GB2312" w:hint="eastAsia"/>
          <w:color w:val="auto"/>
          <w:sz w:val="32"/>
          <w:szCs w:val="32"/>
          <w:highlight w:val="none"/>
        </w:rPr>
      </w:pPr>
      <w:r>
        <w:rPr>
          <w:rFonts w:ascii="仿宋_GB2312" w:eastAsia="仿宋_GB2312" w:hAnsi="仿宋_GB2312" w:cs="仿宋_GB2312" w:hint="eastAsia"/>
          <w:color w:val="000000"/>
          <w:sz w:val="32"/>
          <w:szCs w:val="32"/>
        </w:rPr>
        <w:t>年初一般公共预算财政拨款收入</w:t>
      </w:r>
      <w:r>
        <w:rPr>
          <w:rFonts w:ascii="仿宋_GB2312" w:eastAsia="仿宋_GB2312" w:hAnsi="仿宋_GB2312" w:cs="仿宋_GB2312" w:hint="eastAsia"/>
          <w:color w:val="000000"/>
          <w:sz w:val="32"/>
          <w:szCs w:val="32"/>
          <w:lang w:eastAsia="zh-CN"/>
        </w:rPr>
        <w:t>预算</w:t>
      </w:r>
      <w:r>
        <w:rPr>
          <w:rFonts w:ascii="仿宋_GB2312" w:eastAsia="仿宋_GB2312" w:hAnsi="仿宋_GB2312" w:cs="仿宋_GB2312" w:hint="eastAsia"/>
          <w:color w:val="000000"/>
          <w:sz w:val="32"/>
          <w:szCs w:val="32"/>
          <w:lang w:val="en-US" w:eastAsia="zh-CN"/>
        </w:rPr>
        <w:t>1113.21</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一般公共预算</w:t>
      </w:r>
      <w:r>
        <w:rPr>
          <w:rFonts w:ascii="仿宋_GB2312" w:eastAsia="仿宋_GB2312" w:hAnsi="仿宋_GB2312" w:cs="仿宋_GB2312" w:hint="eastAsia"/>
          <w:color w:val="000000"/>
          <w:sz w:val="32"/>
          <w:szCs w:val="32"/>
          <w:lang w:eastAsia="zh-CN"/>
        </w:rPr>
        <w:t>财政</w:t>
      </w:r>
      <w:r>
        <w:rPr>
          <w:rFonts w:ascii="仿宋_GB2312" w:eastAsia="仿宋_GB2312" w:hAnsi="仿宋_GB2312" w:cs="仿宋_GB2312" w:hint="eastAsia"/>
          <w:color w:val="000000"/>
          <w:sz w:val="32"/>
          <w:szCs w:val="32"/>
        </w:rPr>
        <w:t>拨款收入决算</w:t>
      </w:r>
      <w:r>
        <w:rPr>
          <w:rFonts w:ascii="仿宋_GB2312" w:eastAsia="仿宋_GB2312" w:hAnsi="仿宋_GB2312" w:cs="仿宋_GB2312" w:hint="eastAsia"/>
          <w:color w:val="000000"/>
          <w:sz w:val="32"/>
          <w:szCs w:val="32"/>
          <w:lang w:eastAsia="zh-CN"/>
        </w:rPr>
        <w:t>数</w:t>
      </w:r>
      <w:r>
        <w:rPr>
          <w:rFonts w:ascii="仿宋_GB2312" w:eastAsia="仿宋_GB2312" w:hAnsi="仿宋_GB2312" w:cs="仿宋_GB2312" w:hint="eastAsia"/>
          <w:color w:val="000000"/>
          <w:sz w:val="32"/>
          <w:szCs w:val="32"/>
          <w:lang w:val="en-US" w:eastAsia="zh-CN"/>
        </w:rPr>
        <w:t>2943.27</w:t>
      </w:r>
      <w:r>
        <w:rPr>
          <w:rFonts w:ascii="仿宋_GB2312" w:eastAsia="仿宋_GB2312" w:hAnsi="仿宋_GB2312" w:cs="仿宋_GB2312" w:hint="eastAsia"/>
          <w:color w:val="000000"/>
          <w:sz w:val="32"/>
          <w:szCs w:val="32"/>
        </w:rPr>
        <w:t>万元，比年初预算增加</w:t>
      </w:r>
      <w:r>
        <w:rPr>
          <w:rFonts w:ascii="仿宋_GB2312" w:eastAsia="仿宋_GB2312" w:hAnsi="仿宋_GB2312" w:cs="仿宋_GB2312" w:hint="eastAsia"/>
          <w:color w:val="000000"/>
          <w:sz w:val="32"/>
          <w:szCs w:val="32"/>
          <w:highlight w:val="none"/>
          <w:lang w:val="en-US" w:eastAsia="zh-CN"/>
        </w:rPr>
        <w:t>1830.06</w:t>
      </w:r>
      <w:r>
        <w:rPr>
          <w:rFonts w:ascii="仿宋_GB2312" w:eastAsia="仿宋_GB2312" w:hAnsi="仿宋_GB2312" w:cs="仿宋_GB2312" w:hint="eastAsia"/>
          <w:color w:val="000000"/>
          <w:sz w:val="32"/>
          <w:szCs w:val="32"/>
        </w:rPr>
        <w:t>万元，增长</w:t>
      </w:r>
      <w:r>
        <w:rPr>
          <w:rFonts w:ascii="仿宋_GB2312" w:eastAsia="仿宋_GB2312" w:hAnsi="仿宋_GB2312" w:cs="仿宋_GB2312" w:hint="eastAsia"/>
          <w:color w:val="000000"/>
          <w:sz w:val="32"/>
          <w:szCs w:val="32"/>
          <w:highlight w:val="none"/>
          <w:lang w:val="en-US" w:eastAsia="zh-CN"/>
        </w:rPr>
        <w:t>164.39</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auto"/>
          <w:sz w:val="32"/>
          <w:szCs w:val="32"/>
          <w:highlight w:val="none"/>
        </w:rPr>
        <w:t>原因：</w:t>
      </w:r>
      <w:r>
        <w:rPr>
          <w:rFonts w:ascii="仿宋_GB2312" w:eastAsia="仿宋_GB2312" w:hAnsi="仿宋_GB2312" w:cs="仿宋_GB2312" w:hint="eastAsia"/>
          <w:color w:val="auto"/>
          <w:sz w:val="32"/>
          <w:szCs w:val="32"/>
          <w:highlight w:val="none"/>
          <w:lang w:eastAsia="zh-CN"/>
        </w:rPr>
        <w:t>一</w:t>
      </w:r>
      <w:r>
        <w:rPr>
          <w:rFonts w:ascii="仿宋_GB2312" w:eastAsia="仿宋_GB2312" w:hAnsi="仿宋_GB2312" w:cs="仿宋_GB2312" w:hint="eastAsia"/>
          <w:color w:val="auto"/>
          <w:sz w:val="32"/>
          <w:szCs w:val="32"/>
          <w:highlight w:val="none"/>
        </w:rPr>
        <w:t>是</w:t>
      </w:r>
      <w:r>
        <w:rPr>
          <w:rFonts w:ascii="仿宋_GB2312" w:eastAsia="仿宋_GB2312" w:hAnsi="仿宋_GB2312" w:cs="仿宋_GB2312" w:hint="eastAsia"/>
          <w:color w:val="auto"/>
          <w:sz w:val="32"/>
          <w:szCs w:val="32"/>
          <w:highlight w:val="none"/>
          <w:lang w:eastAsia="zh-CN"/>
        </w:rPr>
        <w:t>增加</w:t>
      </w:r>
      <w:r>
        <w:rPr>
          <w:rFonts w:ascii="仿宋_GB2312" w:eastAsia="仿宋_GB2312" w:hAnsi="仿宋_GB2312" w:cs="仿宋_GB2312" w:hint="eastAsia"/>
          <w:color w:val="auto"/>
          <w:sz w:val="32"/>
          <w:szCs w:val="32"/>
          <w:highlight w:val="none"/>
          <w:lang w:val="en-US" w:eastAsia="zh-CN"/>
        </w:rPr>
        <w:t>2018年地质灾害滑坡避让资金，二</w:t>
      </w:r>
      <w:r>
        <w:rPr>
          <w:rFonts w:ascii="仿宋_GB2312" w:eastAsia="仿宋_GB2312" w:hAnsi="仿宋_GB2312" w:cs="仿宋_GB2312" w:hint="eastAsia"/>
          <w:color w:val="auto"/>
          <w:sz w:val="32"/>
          <w:szCs w:val="32"/>
          <w:highlight w:val="none"/>
          <w:lang w:eastAsia="zh-CN"/>
        </w:rPr>
        <w:t>是工资性增加调资</w:t>
      </w:r>
      <w:r>
        <w:rPr>
          <w:rFonts w:ascii="仿宋_GB2312" w:eastAsia="仿宋_GB2312" w:hAnsi="仿宋_GB2312" w:cs="仿宋_GB2312" w:hint="eastAsia"/>
          <w:color w:val="auto"/>
          <w:sz w:val="32"/>
          <w:szCs w:val="32"/>
          <w:highlight w:val="none"/>
        </w:rPr>
        <w:t>，</w:t>
      </w:r>
      <w:r>
        <w:rPr>
          <w:rFonts w:ascii="仿宋_GB2312" w:eastAsia="仿宋_GB2312" w:hAnsi="仿宋_GB2312" w:cs="仿宋_GB2312" w:hint="eastAsia"/>
          <w:color w:val="auto"/>
          <w:sz w:val="32"/>
          <w:szCs w:val="32"/>
          <w:highlight w:val="none"/>
          <w:lang w:eastAsia="zh-CN"/>
        </w:rPr>
        <w:t>三</w:t>
      </w:r>
      <w:r>
        <w:rPr>
          <w:rFonts w:ascii="仿宋_GB2312" w:eastAsia="仿宋_GB2312" w:hAnsi="仿宋_GB2312" w:cs="仿宋_GB2312" w:hint="eastAsia"/>
          <w:color w:val="auto"/>
          <w:sz w:val="32"/>
          <w:szCs w:val="32"/>
          <w:highlight w:val="none"/>
        </w:rPr>
        <w:t>是征地补偿等拨款</w:t>
      </w:r>
      <w:r>
        <w:rPr>
          <w:rFonts w:ascii="仿宋_GB2312" w:eastAsia="仿宋_GB2312" w:hAnsi="仿宋_GB2312" w:cs="仿宋_GB2312" w:hint="eastAsia"/>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20" w:lineRule="exact"/>
        <w:ind w:right="0" w:firstLine="640" w:rightChars="0" w:firstLineChars="200"/>
        <w:textAlignment w:val="auto"/>
        <w:outlineLvl w:val="9"/>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年初无政府性基金预算财政拨款，年末政府性基金预算财政拨款收入</w:t>
      </w:r>
      <w:r>
        <w:rPr>
          <w:rFonts w:ascii="仿宋_GB2312" w:eastAsia="仿宋_GB2312" w:hAnsi="仿宋_GB2312" w:cs="仿宋_GB2312" w:hint="eastAsia"/>
          <w:color w:val="000000"/>
          <w:sz w:val="32"/>
          <w:szCs w:val="32"/>
          <w:lang w:val="en-US" w:eastAsia="zh-CN"/>
        </w:rPr>
        <w:t>1675.34</w:t>
      </w:r>
      <w:r>
        <w:rPr>
          <w:rFonts w:ascii="仿宋_GB2312" w:eastAsia="仿宋_GB2312" w:hAnsi="仿宋_GB2312" w:cs="仿宋_GB2312" w:hint="eastAsia"/>
          <w:color w:val="000000"/>
          <w:sz w:val="32"/>
          <w:szCs w:val="32"/>
        </w:rPr>
        <w:t>万元。原因：</w:t>
      </w:r>
      <w:r>
        <w:rPr>
          <w:rFonts w:ascii="仿宋_GB2312" w:eastAsia="仿宋_GB2312" w:hAnsi="仿宋_GB2312" w:cs="仿宋_GB2312" w:hint="eastAsia"/>
          <w:color w:val="000000"/>
          <w:sz w:val="32"/>
          <w:szCs w:val="32"/>
          <w:lang w:eastAsia="zh-CN"/>
        </w:rPr>
        <w:t>新增建设用地有偿使用费，城镇建设用地报件费增加，</w:t>
      </w:r>
      <w:r>
        <w:rPr>
          <w:rFonts w:ascii="仿宋_GB2312" w:eastAsia="仿宋_GB2312" w:hAnsi="仿宋_GB2312" w:cs="仿宋_GB2312" w:hint="eastAsia"/>
          <w:color w:val="000000"/>
          <w:sz w:val="32"/>
          <w:szCs w:val="32"/>
        </w:rPr>
        <w:t>其他国有土地使用权出让收入安排的支出</w:t>
      </w:r>
      <w:r>
        <w:rPr>
          <w:rFonts w:ascii="仿宋_GB2312" w:eastAsia="仿宋_GB2312" w:hAnsi="仿宋_GB2312" w:cs="仿宋_GB2312" w:hint="eastAsia"/>
          <w:color w:val="000000"/>
          <w:sz w:val="32"/>
          <w:szCs w:val="32"/>
          <w:lang w:eastAsia="zh-CN"/>
        </w:rPr>
        <w:t>增加。</w:t>
      </w:r>
    </w:p>
    <w:p>
      <w:pPr>
        <w:keepNext w:val="0"/>
        <w:keepLines w:val="0"/>
        <w:pageBreakBefore w:val="0"/>
        <w:kinsoku/>
        <w:wordWrap/>
        <w:overflowPunct/>
        <w:topLinePunct w:val="0"/>
        <w:autoSpaceDE/>
        <w:autoSpaceDN/>
        <w:bidi w:val="0"/>
        <w:adjustRightInd/>
        <w:snapToGrid w:val="0"/>
        <w:spacing w:line="520" w:lineRule="exact"/>
        <w:ind w:right="0" w:firstLine="640" w:rightChars="0" w:firstLineChars="200"/>
        <w:textAlignment w:val="auto"/>
        <w:outlineLvl w:val="9"/>
        <w:rPr>
          <w:rFonts w:ascii="仿宋_GB2312" w:eastAsia="仿宋_GB2312" w:hAnsi="仿宋_GB2312" w:cs="仿宋_GB2312" w:hint="eastAsia"/>
          <w:color w:val="auto"/>
          <w:sz w:val="32"/>
          <w:szCs w:val="32"/>
          <w:highlight w:val="none"/>
          <w:shd w:val="clear" w:color="FFFFFF" w:fill="FFFFFF"/>
        </w:rPr>
      </w:pPr>
      <w:r>
        <w:rPr>
          <w:rFonts w:ascii="仿宋_GB2312" w:eastAsia="仿宋_GB2312" w:hAnsi="仿宋_GB2312" w:cs="仿宋_GB2312" w:hint="eastAsia"/>
          <w:color w:val="000000"/>
          <w:sz w:val="32"/>
          <w:szCs w:val="32"/>
        </w:rPr>
        <w:t>人员经费预算</w:t>
      </w:r>
      <w:r>
        <w:rPr>
          <w:rFonts w:ascii="仿宋_GB2312" w:eastAsia="仿宋_GB2312" w:hAnsi="仿宋_GB2312" w:cs="仿宋_GB2312" w:hint="eastAsia"/>
          <w:color w:val="000000"/>
          <w:sz w:val="32"/>
          <w:szCs w:val="32"/>
          <w:lang w:val="en-US" w:eastAsia="zh-CN"/>
        </w:rPr>
        <w:t>726.28</w:t>
      </w:r>
      <w:r>
        <w:rPr>
          <w:rFonts w:ascii="仿宋_GB2312" w:eastAsia="仿宋_GB2312" w:hAnsi="仿宋_GB2312" w:cs="仿宋_GB2312" w:hint="eastAsia"/>
          <w:color w:val="000000"/>
          <w:sz w:val="32"/>
          <w:szCs w:val="32"/>
        </w:rPr>
        <w:t>万元，决算支出</w:t>
      </w:r>
      <w:r>
        <w:rPr>
          <w:rFonts w:ascii="仿宋_GB2312" w:eastAsia="仿宋_GB2312" w:hAnsi="仿宋_GB2312" w:cs="仿宋_GB2312" w:hint="eastAsia"/>
          <w:color w:val="000000"/>
          <w:sz w:val="32"/>
          <w:szCs w:val="32"/>
          <w:lang w:val="en-US" w:eastAsia="zh-CN"/>
        </w:rPr>
        <w:t>837.45</w:t>
      </w:r>
      <w:r>
        <w:rPr>
          <w:rFonts w:ascii="仿宋_GB2312" w:eastAsia="仿宋_GB2312" w:hAnsi="仿宋_GB2312" w:cs="仿宋_GB2312" w:hint="eastAsia"/>
          <w:color w:val="000000"/>
          <w:sz w:val="32"/>
          <w:szCs w:val="32"/>
        </w:rPr>
        <w:t>万元，增加</w:t>
      </w:r>
      <w:r>
        <w:rPr>
          <w:rFonts w:ascii="仿宋_GB2312" w:eastAsia="仿宋_GB2312" w:hAnsi="仿宋_GB2312" w:cs="仿宋_GB2312" w:hint="eastAsia"/>
          <w:color w:val="000000"/>
          <w:sz w:val="32"/>
          <w:szCs w:val="32"/>
          <w:lang w:val="en-US" w:eastAsia="zh-CN"/>
        </w:rPr>
        <w:t>111.17</w:t>
      </w:r>
      <w:r>
        <w:rPr>
          <w:rFonts w:ascii="仿宋_GB2312" w:eastAsia="仿宋_GB2312" w:hAnsi="仿宋_GB2312" w:cs="仿宋_GB2312" w:hint="eastAsia"/>
          <w:color w:val="000000"/>
          <w:sz w:val="32"/>
          <w:szCs w:val="32"/>
        </w:rPr>
        <w:t>万元，增长</w:t>
      </w:r>
      <w:r>
        <w:rPr>
          <w:rFonts w:ascii="仿宋_GB2312" w:eastAsia="仿宋_GB2312" w:hAnsi="仿宋_GB2312" w:cs="仿宋_GB2312" w:hint="eastAsia"/>
          <w:color w:val="000000"/>
          <w:sz w:val="32"/>
          <w:szCs w:val="32"/>
          <w:lang w:val="en-US" w:eastAsia="zh-CN"/>
        </w:rPr>
        <w:t>15.31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auto"/>
          <w:sz w:val="32"/>
          <w:szCs w:val="32"/>
          <w:highlight w:val="none"/>
          <w:shd w:val="clear" w:color="FFFFFF" w:fill="FFFFFF"/>
        </w:rPr>
        <w:t>原因：政策性调整增加工资。</w:t>
      </w:r>
    </w:p>
    <w:p>
      <w:pPr>
        <w:widowControl/>
        <w:snapToGrid w:val="0"/>
        <w:spacing w:before="100" w:after="100" w:line="600" w:lineRule="exact"/>
        <w:ind w:firstLine="538"/>
        <w:jc w:val="left"/>
        <w:rPr>
          <w:rFonts w:ascii="仿宋_GB2312" w:eastAsia="仿宋_GB2312" w:hAnsi="仿宋_GB2312" w:cs="仿宋_GB2312" w:hint="eastAsia"/>
          <w:color w:val="000000"/>
          <w:sz w:val="32"/>
          <w:szCs w:val="32"/>
          <w:highlight w:val="none"/>
        </w:rPr>
      </w:pPr>
      <w:r>
        <w:rPr>
          <w:rFonts w:ascii="仿宋_GB2312" w:eastAsia="仿宋_GB2312" w:hAnsi="仿宋_GB2312" w:cs="仿宋_GB2312" w:hint="eastAsia"/>
          <w:color w:val="000000"/>
          <w:sz w:val="32"/>
          <w:szCs w:val="32"/>
        </w:rPr>
        <w:t>日常公用经费预算</w:t>
      </w:r>
      <w:r>
        <w:rPr>
          <w:rFonts w:ascii="仿宋_GB2312" w:eastAsia="仿宋_GB2312" w:hAnsi="仿宋_GB2312" w:cs="仿宋_GB2312" w:hint="eastAsia"/>
          <w:color w:val="000000"/>
          <w:sz w:val="32"/>
          <w:szCs w:val="32"/>
          <w:lang w:val="en-US" w:eastAsia="zh-CN"/>
        </w:rPr>
        <w:t>107.67</w:t>
      </w:r>
      <w:r>
        <w:rPr>
          <w:rFonts w:ascii="仿宋_GB2312" w:eastAsia="仿宋_GB2312" w:hAnsi="仿宋_GB2312" w:cs="仿宋_GB2312" w:hint="eastAsia"/>
          <w:color w:val="000000"/>
          <w:sz w:val="32"/>
          <w:szCs w:val="32"/>
        </w:rPr>
        <w:t>万元，决算支出</w:t>
      </w:r>
      <w:r>
        <w:rPr>
          <w:rFonts w:ascii="仿宋_GB2312" w:eastAsia="仿宋_GB2312" w:hAnsi="仿宋_GB2312" w:cs="仿宋_GB2312" w:hint="eastAsia"/>
          <w:color w:val="000000"/>
          <w:sz w:val="32"/>
          <w:szCs w:val="32"/>
          <w:lang w:val="en-US" w:eastAsia="zh-CN"/>
        </w:rPr>
        <w:t>108.89</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lang w:eastAsia="zh-CN"/>
        </w:rPr>
        <w:t>增加</w:t>
      </w:r>
      <w:r>
        <w:rPr>
          <w:rFonts w:ascii="仿宋_GB2312" w:eastAsia="仿宋_GB2312" w:hAnsi="仿宋_GB2312" w:cs="仿宋_GB2312" w:hint="eastAsia"/>
          <w:color w:val="000000"/>
          <w:sz w:val="32"/>
          <w:szCs w:val="32"/>
          <w:lang w:val="en-US" w:eastAsia="zh-CN"/>
        </w:rPr>
        <w:t>1.22</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lang w:eastAsia="zh-CN"/>
        </w:rPr>
        <w:t>增加</w:t>
      </w:r>
      <w:r>
        <w:rPr>
          <w:rFonts w:ascii="仿宋_GB2312" w:eastAsia="仿宋_GB2312" w:hAnsi="仿宋_GB2312" w:cs="仿宋_GB2312" w:hint="eastAsia"/>
          <w:color w:val="000000"/>
          <w:sz w:val="32"/>
          <w:szCs w:val="32"/>
          <w:lang w:val="en-US" w:eastAsia="zh-CN"/>
        </w:rPr>
        <w:t>1.13</w:t>
      </w:r>
      <w:r>
        <w:rPr>
          <w:rFonts w:ascii="仿宋_GB2312" w:eastAsia="仿宋_GB2312" w:hAnsi="仿宋_GB2312" w:cs="仿宋_GB2312" w:hint="eastAsia"/>
          <w:color w:val="000000"/>
          <w:sz w:val="32"/>
          <w:szCs w:val="32"/>
        </w:rPr>
        <w:t>%。主要原因是</w:t>
      </w:r>
      <w:r>
        <w:rPr>
          <w:rFonts w:ascii="仿宋_GB2312" w:eastAsia="仿宋_GB2312" w:hAnsi="仿宋_GB2312" w:cs="仿宋_GB2312" w:hint="eastAsia"/>
          <w:color w:val="000000"/>
          <w:sz w:val="32"/>
          <w:szCs w:val="32"/>
          <w:lang w:eastAsia="zh-CN"/>
        </w:rPr>
        <w:t>公务用车年度已达报废年限，所以增加了公务用车修理费及保险。</w:t>
      </w:r>
    </w:p>
    <w:p>
      <w:pPr>
        <w:ind w:firstLine="600" w:firstLineChars="200"/>
        <w:jc w:val="left"/>
        <w:rPr>
          <w:rFonts w:ascii="黑体" w:eastAsia="黑体" w:hAnsi="黑体" w:hint="eastAsia"/>
          <w:sz w:val="30"/>
          <w:szCs w:val="30"/>
        </w:rPr>
      </w:pPr>
      <w:r>
        <w:rPr>
          <w:rFonts w:ascii="黑体" w:eastAsia="黑体" w:hAnsi="黑体" w:hint="eastAsia"/>
          <w:sz w:val="30"/>
          <w:szCs w:val="30"/>
        </w:rPr>
        <w:t>二、支出决算情况说明</w:t>
      </w:r>
    </w:p>
    <w:p>
      <w:pPr>
        <w:spacing w:line="600" w:lineRule="exact"/>
        <w:ind w:firstLine="600" w:firstLineChars="200"/>
        <w:rPr>
          <w:rFonts w:ascii="仿宋_GB2312" w:eastAsia="仿宋_GB2312" w:hAnsi="宋体" w:cs="Arial" w:hint="eastAsia"/>
          <w:kern w:val="0"/>
          <w:sz w:val="30"/>
          <w:szCs w:val="30"/>
        </w:rPr>
      </w:pPr>
      <w:r>
        <w:rPr>
          <w:rFonts w:ascii="仿宋_GB2312" w:eastAsia="仿宋_GB2312" w:hint="eastAsia"/>
          <w:sz w:val="30"/>
          <w:szCs w:val="30"/>
          <w:lang w:eastAsia="zh-CN"/>
        </w:rPr>
        <w:t>西畴县国土资源局</w:t>
      </w:r>
      <w:r>
        <w:rPr>
          <w:rFonts w:ascii="仿宋_GB2312" w:eastAsia="仿宋_GB2312" w:hint="eastAsia"/>
          <w:sz w:val="30"/>
          <w:szCs w:val="30"/>
          <w:lang w:val="en-US" w:eastAsia="zh-CN"/>
        </w:rPr>
        <w:t>2018</w:t>
      </w:r>
      <w:r>
        <w:rPr>
          <w:rFonts w:ascii="仿宋_GB2312" w:eastAsia="仿宋_GB2312" w:hint="eastAsia"/>
          <w:sz w:val="30"/>
          <w:szCs w:val="30"/>
        </w:rPr>
        <w:t>年度支出合计</w:t>
      </w:r>
      <w:r>
        <w:rPr>
          <w:rFonts w:ascii="仿宋_GB2312" w:eastAsia="仿宋_GB2312" w:hint="eastAsia"/>
          <w:sz w:val="30"/>
          <w:szCs w:val="30"/>
          <w:lang w:val="en-US" w:eastAsia="zh-CN"/>
        </w:rPr>
        <w:t>5790.16</w:t>
      </w:r>
      <w:r>
        <w:rPr>
          <w:rFonts w:ascii="仿宋_GB2312" w:eastAsia="仿宋_GB2312" w:hint="eastAsia"/>
          <w:sz w:val="30"/>
          <w:szCs w:val="30"/>
        </w:rPr>
        <w:t>万元。其中：</w:t>
      </w:r>
      <w:r>
        <w:rPr>
          <w:rFonts w:ascii="仿宋_GB2312" w:eastAsia="仿宋_GB2312" w:hAnsi="宋体" w:cs="Arial" w:hint="eastAsia"/>
          <w:kern w:val="0"/>
          <w:sz w:val="30"/>
          <w:szCs w:val="30"/>
        </w:rPr>
        <w:t>基本支出</w:t>
      </w:r>
      <w:r>
        <w:rPr>
          <w:rFonts w:ascii="仿宋_GB2312" w:eastAsia="仿宋_GB2312" w:hAnsi="宋体" w:cs="Arial" w:hint="eastAsia"/>
          <w:kern w:val="0"/>
          <w:sz w:val="30"/>
          <w:szCs w:val="30"/>
          <w:lang w:val="en-US" w:eastAsia="zh-CN"/>
        </w:rPr>
        <w:t>837.45</w:t>
      </w:r>
      <w:r>
        <w:rPr>
          <w:rFonts w:ascii="仿宋_GB2312" w:eastAsia="仿宋_GB2312" w:hAnsi="宋体" w:cs="Arial" w:hint="eastAsia"/>
          <w:kern w:val="0"/>
          <w:sz w:val="30"/>
          <w:szCs w:val="30"/>
        </w:rPr>
        <w:t>万元，占总支出的</w:t>
      </w:r>
      <w:r>
        <w:rPr>
          <w:rFonts w:ascii="仿宋_GB2312" w:eastAsia="仿宋_GB2312" w:hAnsi="宋体" w:cs="Arial" w:hint="eastAsia"/>
          <w:kern w:val="0"/>
          <w:sz w:val="30"/>
          <w:szCs w:val="30"/>
          <w:lang w:val="en-US" w:eastAsia="zh-CN"/>
        </w:rPr>
        <w:t>14.46</w:t>
      </w:r>
      <w:r>
        <w:rPr>
          <w:rFonts w:ascii="仿宋_GB2312" w:eastAsia="仿宋_GB2312" w:hAnsi="宋体" w:cs="Arial" w:hint="eastAsia"/>
          <w:kern w:val="0"/>
          <w:sz w:val="30"/>
          <w:szCs w:val="30"/>
        </w:rPr>
        <w:t>％；项目支出</w:t>
      </w:r>
      <w:r>
        <w:rPr>
          <w:rFonts w:ascii="仿宋_GB2312" w:eastAsia="仿宋_GB2312" w:hint="eastAsia"/>
          <w:sz w:val="30"/>
          <w:szCs w:val="30"/>
          <w:lang w:val="en-US" w:eastAsia="zh-CN"/>
        </w:rPr>
        <w:t>4952.70</w:t>
      </w:r>
      <w:r>
        <w:rPr>
          <w:rFonts w:ascii="仿宋_GB2312" w:eastAsia="仿宋_GB2312" w:hAnsi="宋体" w:cs="Arial" w:hint="eastAsia"/>
          <w:kern w:val="0"/>
          <w:sz w:val="30"/>
          <w:szCs w:val="30"/>
        </w:rPr>
        <w:t>万元，占总支出的</w:t>
      </w:r>
      <w:r>
        <w:rPr>
          <w:rFonts w:ascii="仿宋_GB2312" w:eastAsia="仿宋_GB2312" w:hint="eastAsia"/>
          <w:sz w:val="30"/>
          <w:szCs w:val="30"/>
          <w:lang w:val="en-US" w:eastAsia="zh-CN"/>
        </w:rPr>
        <w:t>85.54</w:t>
      </w:r>
      <w:r>
        <w:rPr>
          <w:rFonts w:ascii="仿宋_GB2312" w:eastAsia="仿宋_GB2312" w:hAnsi="宋体" w:cs="Arial" w:hint="eastAsia"/>
          <w:kern w:val="0"/>
          <w:sz w:val="30"/>
          <w:szCs w:val="30"/>
        </w:rPr>
        <w:t>％；</w:t>
      </w:r>
      <w:r>
        <w:rPr>
          <w:rFonts w:ascii="仿宋_GB2312" w:eastAsia="仿宋_GB2312" w:hAnsi="仿宋_GB2312" w:cs="仿宋_GB2312" w:hint="eastAsia"/>
          <w:kern w:val="0"/>
          <w:sz w:val="30"/>
          <w:szCs w:val="30"/>
        </w:rPr>
        <w:t>上缴上级支出、经营支出、对附属单位补助支出共</w:t>
      </w:r>
      <w:r>
        <w:rPr>
          <w:rFonts w:ascii="仿宋_GB2312" w:eastAsia="仿宋_GB2312" w:hAnsi="仿宋_GB2312" w:cs="仿宋_GB2312" w:hint="eastAsia"/>
          <w:sz w:val="30"/>
          <w:szCs w:val="30"/>
          <w:lang w:val="en-US" w:eastAsia="zh-CN"/>
        </w:rPr>
        <w:t>0</w:t>
      </w:r>
      <w:r>
        <w:rPr>
          <w:rFonts w:ascii="仿宋_GB2312" w:eastAsia="仿宋_GB2312" w:hAnsi="仿宋_GB2312" w:cs="仿宋_GB2312" w:hint="eastAsia"/>
          <w:kern w:val="0"/>
          <w:sz w:val="30"/>
          <w:szCs w:val="30"/>
        </w:rPr>
        <w:t>万元，占总支出的</w:t>
      </w:r>
      <w:r>
        <w:rPr>
          <w:rFonts w:ascii="仿宋_GB2312" w:eastAsia="仿宋_GB2312" w:hAnsi="仿宋_GB2312" w:cs="仿宋_GB2312" w:hint="eastAsia"/>
          <w:sz w:val="30"/>
          <w:szCs w:val="30"/>
          <w:lang w:val="en-US" w:eastAsia="zh-CN"/>
        </w:rPr>
        <w:t>0</w:t>
      </w:r>
      <w:r>
        <w:rPr>
          <w:rFonts w:ascii="仿宋_GB2312" w:eastAsia="仿宋_GB2312" w:hAnsi="仿宋_GB2312" w:cs="仿宋_GB2312" w:hint="eastAsia"/>
          <w:kern w:val="0"/>
          <w:sz w:val="30"/>
          <w:szCs w:val="30"/>
        </w:rPr>
        <w:t>％。</w:t>
      </w:r>
      <w:r>
        <w:rPr>
          <w:rFonts w:ascii="仿宋_GB2312" w:eastAsia="仿宋_GB2312" w:hAnsi="仿宋_GB2312" w:cs="仿宋_GB2312" w:hint="eastAsia"/>
          <w:sz w:val="30"/>
          <w:szCs w:val="30"/>
        </w:rPr>
        <w:t>与上年对比</w:t>
      </w:r>
      <w:r>
        <w:rPr>
          <w:rFonts w:ascii="仿宋_GB2312" w:eastAsia="仿宋_GB2312" w:hAnsi="仿宋_GB2312" w:cs="仿宋_GB2312" w:hint="eastAsia"/>
          <w:sz w:val="30"/>
          <w:szCs w:val="30"/>
          <w:lang w:eastAsia="zh-CN"/>
        </w:rPr>
        <w:t>支出减少</w:t>
      </w:r>
      <w:r>
        <w:rPr>
          <w:rFonts w:ascii="仿宋_GB2312" w:eastAsia="仿宋_GB2312" w:hAnsi="仿宋_GB2312" w:cs="仿宋_GB2312" w:hint="eastAsia"/>
          <w:sz w:val="30"/>
          <w:szCs w:val="30"/>
          <w:lang w:val="en-US" w:eastAsia="zh-CN"/>
        </w:rPr>
        <w:t>265.67万元</w:t>
      </w:r>
      <w:r>
        <w:rPr>
          <w:rFonts w:ascii="仿宋_GB2312" w:eastAsia="仿宋_GB2312" w:hAnsi="仿宋_GB2312" w:cs="仿宋_GB2312" w:hint="eastAsia"/>
          <w:sz w:val="30"/>
          <w:szCs w:val="30"/>
        </w:rPr>
        <w:t>,主要</w:t>
      </w:r>
      <w:r>
        <w:rPr>
          <w:rFonts w:ascii="仿宋_GB2312" w:eastAsia="仿宋_GB2312" w:hAnsi="仿宋_GB2312" w:cs="仿宋_GB2312" w:hint="eastAsia"/>
          <w:sz w:val="30"/>
          <w:szCs w:val="30"/>
          <w:lang w:eastAsia="zh-CN"/>
        </w:rPr>
        <w:t>减少</w:t>
      </w:r>
      <w:r>
        <w:rPr>
          <w:rFonts w:ascii="仿宋_GB2312" w:eastAsia="仿宋_GB2312" w:hAnsi="仿宋_GB2312" w:cs="仿宋_GB2312" w:hint="eastAsia"/>
          <w:sz w:val="30"/>
          <w:szCs w:val="30"/>
        </w:rPr>
        <w:t>原因分析</w:t>
      </w:r>
      <w:r>
        <w:rPr>
          <w:rFonts w:ascii="仿宋_GB2312" w:eastAsia="仿宋_GB2312" w:hAnsi="仿宋_GB2312" w:cs="仿宋_GB2312" w:hint="eastAsia"/>
          <w:sz w:val="30"/>
          <w:szCs w:val="30"/>
          <w:lang w:eastAsia="zh-CN"/>
        </w:rPr>
        <w:t>：一是土地整治项目只有两个新开工的土地整治项目，县级财政整合资金，被财政收回以前年度结余资金；二是有</w:t>
      </w:r>
      <w:r>
        <w:rPr>
          <w:rFonts w:ascii="仿宋_GB2312" w:eastAsia="仿宋_GB2312" w:hAnsi="仿宋_GB2312" w:cs="仿宋_GB2312" w:hint="eastAsia"/>
          <w:sz w:val="30"/>
          <w:szCs w:val="30"/>
          <w:lang w:val="en-US" w:eastAsia="zh-CN"/>
        </w:rPr>
        <w:t>5个项目已完工等待审计验收；三是征地补偿费大部分都从西畴县新新投融资公司拨，摆往来款做，四是增减挂钩项目工作正在准备项目前期工作，支付26.7万元方案编制费，其余资金尚未支付，未做收支结算。</w:t>
      </w:r>
    </w:p>
    <w:p>
      <w:pPr>
        <w:widowControl/>
        <w:snapToGrid w:val="0"/>
        <w:spacing w:before="100" w:after="100" w:line="600" w:lineRule="exact"/>
        <w:ind w:firstLine="600" w:firstLineChars="200"/>
        <w:jc w:val="left"/>
        <w:rPr>
          <w:rFonts w:ascii="楷体" w:eastAsia="楷体" w:hAnsi="楷体" w:hint="eastAsia"/>
          <w:sz w:val="30"/>
          <w:szCs w:val="30"/>
        </w:rPr>
      </w:pPr>
      <w:r>
        <w:rPr>
          <w:rFonts w:ascii="楷体" w:eastAsia="楷体" w:hAnsi="楷体" w:hint="eastAsia"/>
          <w:sz w:val="30"/>
          <w:szCs w:val="30"/>
        </w:rPr>
        <w:t>（一）基本支出情况</w:t>
      </w:r>
    </w:p>
    <w:p>
      <w:pPr>
        <w:widowControl/>
        <w:snapToGrid w:val="0"/>
        <w:spacing w:before="100" w:after="100" w:line="600" w:lineRule="exact"/>
        <w:ind w:firstLine="600" w:firstLineChars="200"/>
        <w:jc w:val="left"/>
        <w:rPr>
          <w:rFonts w:ascii="仿宋_GB2312" w:eastAsia="仿宋_GB2312" w:hint="eastAsia"/>
          <w:sz w:val="30"/>
          <w:szCs w:val="30"/>
        </w:rPr>
      </w:pPr>
      <w:r>
        <w:rPr>
          <w:rFonts w:ascii="仿宋_GB2312" w:eastAsia="仿宋_GB2312" w:hAnsi="仿宋_GB2312" w:cs="仿宋_GB2312" w:hint="eastAsia"/>
          <w:sz w:val="30"/>
          <w:szCs w:val="30"/>
          <w:lang w:val="en-US" w:eastAsia="zh-CN"/>
        </w:rPr>
        <w:t>2018</w:t>
      </w:r>
      <w:r>
        <w:rPr>
          <w:rFonts w:ascii="仿宋_GB2312" w:eastAsia="仿宋_GB2312" w:hAnsi="仿宋_GB2312" w:cs="仿宋_GB2312" w:hint="eastAsia"/>
          <w:sz w:val="30"/>
          <w:szCs w:val="30"/>
        </w:rPr>
        <w:t>年度用于保障</w:t>
      </w:r>
      <w:r>
        <w:rPr>
          <w:rFonts w:ascii="仿宋_GB2312" w:eastAsia="仿宋_GB2312" w:hAnsi="仿宋_GB2312" w:cs="仿宋_GB2312" w:hint="eastAsia"/>
          <w:sz w:val="30"/>
          <w:szCs w:val="30"/>
          <w:lang w:eastAsia="zh-CN"/>
        </w:rPr>
        <w:t>国土</w:t>
      </w:r>
      <w:r>
        <w:rPr>
          <w:rFonts w:ascii="仿宋_GB2312" w:eastAsia="仿宋_GB2312" w:hAnsi="仿宋_GB2312" w:cs="仿宋_GB2312" w:hint="eastAsia"/>
          <w:sz w:val="30"/>
          <w:szCs w:val="30"/>
        </w:rPr>
        <w:t>机关、下属事业单位等机构正常运转的日常支出</w:t>
      </w:r>
      <w:r>
        <w:rPr>
          <w:rFonts w:ascii="仿宋_GB2312" w:eastAsia="仿宋_GB2312" w:hAnsi="仿宋_GB2312" w:cs="仿宋_GB2312" w:hint="eastAsia"/>
          <w:sz w:val="30"/>
          <w:szCs w:val="30"/>
          <w:lang w:val="en-US" w:eastAsia="zh-CN"/>
        </w:rPr>
        <w:t>837.45</w:t>
      </w:r>
      <w:r>
        <w:rPr>
          <w:rFonts w:ascii="仿宋_GB2312" w:eastAsia="仿宋_GB2312" w:hAnsi="仿宋_GB2312" w:cs="仿宋_GB2312" w:hint="eastAsia"/>
          <w:sz w:val="30"/>
          <w:szCs w:val="30"/>
        </w:rPr>
        <w:t>万元。与上年对比</w:t>
      </w:r>
      <w:r>
        <w:rPr>
          <w:rFonts w:ascii="仿宋_GB2312" w:eastAsia="仿宋_GB2312" w:hAnsi="仿宋_GB2312" w:cs="仿宋_GB2312" w:hint="eastAsia"/>
          <w:sz w:val="30"/>
          <w:szCs w:val="30"/>
          <w:lang w:eastAsia="zh-CN"/>
        </w:rPr>
        <w:t>减少</w:t>
      </w:r>
      <w:r>
        <w:rPr>
          <w:rFonts w:ascii="仿宋_GB2312" w:eastAsia="仿宋_GB2312" w:hAnsi="仿宋_GB2312" w:cs="仿宋_GB2312" w:hint="eastAsia"/>
          <w:sz w:val="30"/>
          <w:szCs w:val="30"/>
          <w:lang w:val="en-US" w:eastAsia="zh-CN"/>
        </w:rPr>
        <w:t>27.75万元</w:t>
      </w:r>
      <w:r>
        <w:rPr>
          <w:rFonts w:ascii="仿宋_GB2312" w:eastAsia="仿宋_GB2312" w:hAnsi="仿宋_GB2312" w:cs="仿宋_GB2312" w:hint="eastAsia"/>
          <w:sz w:val="30"/>
          <w:szCs w:val="30"/>
        </w:rPr>
        <w:t>,主要原因分析</w:t>
      </w:r>
      <w:r>
        <w:rPr>
          <w:rFonts w:ascii="仿宋_GB2312" w:eastAsia="仿宋_GB2312" w:hAnsi="仿宋_GB2312" w:cs="仿宋_GB2312" w:hint="eastAsia"/>
          <w:sz w:val="30"/>
          <w:szCs w:val="30"/>
          <w:lang w:eastAsia="zh-CN"/>
        </w:rPr>
        <w:t>执行中央八项规定，厉行节约开支减少对个人和家庭的补助支出</w:t>
      </w:r>
      <w:r>
        <w:rPr>
          <w:rFonts w:ascii="仿宋_GB2312" w:eastAsia="仿宋_GB2312" w:hAnsi="仿宋_GB2312" w:cs="仿宋_GB2312" w:hint="eastAsia"/>
          <w:sz w:val="30"/>
          <w:szCs w:val="30"/>
        </w:rPr>
        <w:t>。包括基本工资、津贴补贴等人员经费支出占基本支出的</w:t>
      </w:r>
      <w:r>
        <w:rPr>
          <w:rFonts w:ascii="仿宋_GB2312" w:eastAsia="仿宋_GB2312" w:hAnsi="仿宋_GB2312" w:cs="仿宋_GB2312" w:hint="eastAsia"/>
          <w:sz w:val="30"/>
          <w:szCs w:val="30"/>
          <w:lang w:val="en-US" w:eastAsia="zh-CN"/>
        </w:rPr>
        <w:t>86.72</w:t>
      </w:r>
      <w:r>
        <w:rPr>
          <w:rFonts w:ascii="仿宋_GB2312" w:eastAsia="仿宋_GB2312" w:hAnsi="仿宋_GB2312" w:cs="仿宋_GB2312" w:hint="eastAsia"/>
          <w:sz w:val="30"/>
          <w:szCs w:val="30"/>
        </w:rPr>
        <w:t>％；办公费、印刷费、水电费、办公设备购置等日常公用经费占基本支出的</w:t>
      </w:r>
      <w:r>
        <w:rPr>
          <w:rFonts w:ascii="仿宋_GB2312" w:eastAsia="仿宋_GB2312" w:hAnsi="仿宋_GB2312" w:cs="仿宋_GB2312" w:hint="eastAsia"/>
          <w:sz w:val="30"/>
          <w:szCs w:val="30"/>
          <w:lang w:val="en-US" w:eastAsia="zh-CN"/>
        </w:rPr>
        <w:t>13.28</w:t>
      </w:r>
      <w:r>
        <w:rPr>
          <w:rFonts w:ascii="仿宋_GB2312" w:eastAsia="仿宋_GB2312" w:hAnsi="仿宋_GB2312" w:cs="仿宋_GB2312" w:hint="eastAsia"/>
          <w:sz w:val="30"/>
          <w:szCs w:val="30"/>
        </w:rPr>
        <w:t>％。</w:t>
      </w:r>
    </w:p>
    <w:p>
      <w:pPr>
        <w:widowControl/>
        <w:snapToGrid w:val="0"/>
        <w:spacing w:before="100" w:after="100" w:line="600" w:lineRule="exact"/>
        <w:ind w:firstLine="600" w:firstLineChars="200"/>
        <w:jc w:val="left"/>
        <w:rPr>
          <w:rFonts w:ascii="楷体" w:eastAsia="楷体" w:hAnsi="楷体" w:hint="eastAsia"/>
          <w:sz w:val="30"/>
          <w:szCs w:val="30"/>
        </w:rPr>
      </w:pPr>
      <w:r>
        <w:rPr>
          <w:rFonts w:ascii="楷体" w:eastAsia="楷体" w:hAnsi="楷体" w:hint="eastAsia"/>
          <w:sz w:val="30"/>
          <w:szCs w:val="30"/>
        </w:rPr>
        <w:t>（二）项目支出情况</w:t>
      </w:r>
    </w:p>
    <w:p>
      <w:pPr>
        <w:widowControl/>
        <w:snapToGrid w:val="0"/>
        <w:spacing w:before="100" w:after="100" w:line="600" w:lineRule="exact"/>
        <w:ind w:firstLine="600" w:firstLineChars="2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lang w:val="en-US" w:eastAsia="zh-CN"/>
        </w:rPr>
        <w:t>2018</w:t>
      </w:r>
      <w:r>
        <w:rPr>
          <w:rFonts w:ascii="仿宋_GB2312" w:eastAsia="仿宋_GB2312" w:hAnsi="仿宋_GB2312" w:cs="仿宋_GB2312" w:hint="eastAsia"/>
          <w:sz w:val="30"/>
          <w:szCs w:val="30"/>
        </w:rPr>
        <w:t>年度用于保障</w:t>
      </w:r>
      <w:r>
        <w:rPr>
          <w:rFonts w:ascii="仿宋_GB2312" w:eastAsia="仿宋_GB2312" w:hAnsi="仿宋_GB2312" w:cs="仿宋_GB2312" w:hint="eastAsia"/>
          <w:sz w:val="30"/>
          <w:szCs w:val="30"/>
          <w:lang w:eastAsia="zh-CN"/>
        </w:rPr>
        <w:t>国土</w:t>
      </w:r>
      <w:r>
        <w:rPr>
          <w:rFonts w:ascii="仿宋_GB2312" w:eastAsia="仿宋_GB2312" w:hAnsi="仿宋_GB2312" w:cs="仿宋_GB2312" w:hint="eastAsia"/>
          <w:sz w:val="30"/>
          <w:szCs w:val="30"/>
        </w:rPr>
        <w:t>机构、下属事业单位等机构为完成特定的行政工作任务或事业发展目标，用于专项业务工作的经费支出</w:t>
      </w:r>
      <w:r>
        <w:rPr>
          <w:rFonts w:ascii="仿宋_GB2312" w:eastAsia="仿宋_GB2312" w:hAnsi="仿宋_GB2312" w:cs="仿宋_GB2312" w:hint="eastAsia"/>
          <w:sz w:val="30"/>
          <w:szCs w:val="30"/>
          <w:lang w:val="en-US" w:eastAsia="zh-CN"/>
        </w:rPr>
        <w:t>4952.70</w:t>
      </w:r>
      <w:r>
        <w:rPr>
          <w:rFonts w:ascii="仿宋_GB2312" w:eastAsia="仿宋_GB2312" w:hAnsi="仿宋_GB2312" w:cs="仿宋_GB2312" w:hint="eastAsia"/>
          <w:sz w:val="30"/>
          <w:szCs w:val="30"/>
        </w:rPr>
        <w:t>万元。与上年对比</w:t>
      </w:r>
      <w:r>
        <w:rPr>
          <w:rFonts w:ascii="仿宋_GB2312" w:eastAsia="仿宋_GB2312" w:hAnsi="仿宋_GB2312" w:cs="仿宋_GB2312" w:hint="eastAsia"/>
          <w:sz w:val="30"/>
          <w:szCs w:val="30"/>
          <w:lang w:eastAsia="zh-CN"/>
        </w:rPr>
        <w:t>减少</w:t>
      </w:r>
      <w:r>
        <w:rPr>
          <w:rFonts w:ascii="仿宋_GB2312" w:eastAsia="仿宋_GB2312" w:hAnsi="仿宋_GB2312" w:cs="仿宋_GB2312" w:hint="eastAsia"/>
          <w:sz w:val="30"/>
          <w:szCs w:val="30"/>
          <w:lang w:val="en-US" w:eastAsia="zh-CN"/>
        </w:rPr>
        <w:t>237.93万元</w:t>
      </w:r>
      <w:r>
        <w:rPr>
          <w:rFonts w:ascii="仿宋_GB2312" w:eastAsia="仿宋_GB2312" w:hAnsi="仿宋_GB2312" w:cs="仿宋_GB2312" w:hint="eastAsia"/>
          <w:sz w:val="30"/>
          <w:szCs w:val="30"/>
        </w:rPr>
        <w:t>,主要原因分析</w:t>
      </w:r>
      <w:r>
        <w:rPr>
          <w:rFonts w:ascii="仿宋_GB2312" w:eastAsia="仿宋_GB2312" w:hAnsi="仿宋_GB2312" w:cs="仿宋_GB2312" w:hint="eastAsia"/>
          <w:sz w:val="30"/>
          <w:szCs w:val="30"/>
          <w:lang w:eastAsia="zh-CN"/>
        </w:rPr>
        <w:t>有</w:t>
      </w:r>
      <w:r>
        <w:rPr>
          <w:rFonts w:ascii="仿宋_GB2312" w:eastAsia="仿宋_GB2312" w:hAnsi="仿宋_GB2312" w:cs="仿宋_GB2312" w:hint="eastAsia"/>
          <w:sz w:val="30"/>
          <w:szCs w:val="30"/>
          <w:lang w:val="en-US" w:eastAsia="zh-CN"/>
        </w:rPr>
        <w:t>7个土地整治项目已完工，等待审计最后终验，去年审计了兴街三光麻栗山。</w:t>
      </w:r>
      <w:r>
        <w:rPr>
          <w:rFonts w:ascii="仿宋_GB2312" w:eastAsia="仿宋_GB2312" w:hAnsi="仿宋_GB2312" w:cs="仿宋_GB2312" w:hint="eastAsia"/>
          <w:sz w:val="30"/>
          <w:szCs w:val="30"/>
        </w:rPr>
        <w:t>具体项目开支及开展工作情况</w:t>
      </w:r>
      <w:r>
        <w:rPr>
          <w:rFonts w:ascii="仿宋_GB2312" w:eastAsia="仿宋_GB2312" w:hAnsi="仿宋_GB2312" w:cs="仿宋_GB2312" w:hint="eastAsia"/>
          <w:sz w:val="30"/>
          <w:szCs w:val="30"/>
          <w:lang w:eastAsia="zh-CN"/>
        </w:rPr>
        <w:t>：去年新开工的有两个土地整治项目，已完成总工程量的</w:t>
      </w:r>
      <w:r>
        <w:rPr>
          <w:rFonts w:ascii="仿宋_GB2312" w:eastAsia="仿宋_GB2312" w:hAnsi="仿宋_GB2312" w:cs="仿宋_GB2312" w:hint="eastAsia"/>
          <w:sz w:val="30"/>
          <w:szCs w:val="30"/>
          <w:lang w:val="en-US" w:eastAsia="zh-CN"/>
        </w:rPr>
        <w:t>60%；其他项目正在终验；增减挂钩扶贫工作正在勘测定界、选址工作作准备。</w:t>
      </w:r>
    </w:p>
    <w:p>
      <w:pPr>
        <w:widowControl/>
        <w:snapToGrid w:val="0"/>
        <w:spacing w:before="100" w:after="100" w:line="600" w:lineRule="exact"/>
        <w:ind w:firstLine="600" w:firstLineChars="200"/>
        <w:jc w:val="left"/>
        <w:rPr>
          <w:rFonts w:ascii="黑体" w:eastAsia="黑体" w:hAnsi="黑体" w:hint="eastAsia"/>
          <w:sz w:val="30"/>
          <w:szCs w:val="30"/>
        </w:rPr>
      </w:pPr>
      <w:r>
        <w:rPr>
          <w:rFonts w:ascii="黑体" w:eastAsia="黑体" w:hAnsi="黑体" w:hint="eastAsia"/>
          <w:sz w:val="30"/>
          <w:szCs w:val="30"/>
        </w:rPr>
        <w:t>三、一般公共预算财政拨款支出决算情况说明</w:t>
      </w:r>
    </w:p>
    <w:p>
      <w:pPr>
        <w:widowControl/>
        <w:snapToGrid w:val="0"/>
        <w:spacing w:before="100" w:after="100" w:line="600" w:lineRule="exact"/>
        <w:ind w:firstLine="600" w:firstLineChars="2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（一）一般公共预算财政拨款支出决算总体情况</w:t>
      </w:r>
    </w:p>
    <w:p>
      <w:pPr>
        <w:widowControl/>
        <w:snapToGrid w:val="0"/>
        <w:spacing w:before="100" w:after="100" w:line="600" w:lineRule="exact"/>
        <w:ind w:firstLine="600" w:firstLineChars="2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sz w:val="30"/>
          <w:szCs w:val="30"/>
          <w:lang w:eastAsia="zh-CN"/>
        </w:rPr>
        <w:t>西畴县国土资源局</w:t>
      </w:r>
      <w:r>
        <w:rPr>
          <w:rFonts w:ascii="仿宋_GB2312" w:eastAsia="仿宋_GB2312" w:hAnsi="仿宋_GB2312" w:cs="仿宋_GB2312" w:hint="eastAsia"/>
          <w:sz w:val="30"/>
          <w:szCs w:val="30"/>
          <w:lang w:val="en-US" w:eastAsia="zh-CN"/>
        </w:rPr>
        <w:t>2018</w:t>
      </w:r>
      <w:r>
        <w:rPr>
          <w:rFonts w:ascii="仿宋_GB2312" w:eastAsia="仿宋_GB2312" w:hAnsi="仿宋_GB2312" w:cs="仿宋_GB2312" w:hint="eastAsia"/>
          <w:sz w:val="30"/>
          <w:szCs w:val="30"/>
        </w:rPr>
        <w:t>年度一般公共预算财政拨款支出</w:t>
      </w:r>
      <w:r>
        <w:rPr>
          <w:rFonts w:ascii="仿宋_GB2312" w:eastAsia="仿宋_GB2312" w:hAnsi="仿宋_GB2312" w:cs="仿宋_GB2312" w:hint="eastAsia"/>
          <w:kern w:val="0"/>
          <w:sz w:val="30"/>
          <w:szCs w:val="30"/>
          <w:lang w:val="en-US" w:eastAsia="zh-CN"/>
        </w:rPr>
        <w:t>1569.2</w:t>
      </w:r>
      <w:r>
        <w:rPr>
          <w:rFonts w:ascii="仿宋_GB2312" w:eastAsia="仿宋_GB2312" w:hAnsi="仿宋_GB2312" w:cs="仿宋_GB2312" w:hint="eastAsia"/>
          <w:kern w:val="0"/>
          <w:sz w:val="30"/>
          <w:szCs w:val="30"/>
        </w:rPr>
        <w:t>万元,占本年支出合计的</w:t>
      </w:r>
      <w:r>
        <w:rPr>
          <w:rFonts w:ascii="仿宋_GB2312" w:eastAsia="仿宋_GB2312" w:hAnsi="仿宋_GB2312" w:cs="仿宋_GB2312" w:hint="eastAsia"/>
          <w:sz w:val="30"/>
          <w:szCs w:val="30"/>
          <w:lang w:val="en-US" w:eastAsia="zh-CN"/>
        </w:rPr>
        <w:t>27.1</w:t>
      </w:r>
      <w:r>
        <w:rPr>
          <w:rFonts w:ascii="仿宋_GB2312" w:eastAsia="仿宋_GB2312" w:hAnsi="仿宋_GB2312" w:cs="仿宋_GB2312" w:hint="eastAsia"/>
          <w:kern w:val="0"/>
          <w:sz w:val="30"/>
          <w:szCs w:val="30"/>
        </w:rPr>
        <w:t>%。与上年对比</w:t>
      </w:r>
      <w:r>
        <w:rPr>
          <w:rFonts w:ascii="仿宋_GB2312" w:eastAsia="仿宋_GB2312" w:hAnsi="仿宋_GB2312" w:cs="仿宋_GB2312" w:hint="eastAsia"/>
          <w:kern w:val="0"/>
          <w:sz w:val="30"/>
          <w:szCs w:val="30"/>
          <w:lang w:eastAsia="zh-CN"/>
        </w:rPr>
        <w:t>减少了</w:t>
      </w:r>
      <w:r>
        <w:rPr>
          <w:rFonts w:ascii="仿宋_GB2312" w:eastAsia="仿宋_GB2312" w:hAnsi="仿宋_GB2312" w:cs="仿宋_GB2312" w:hint="eastAsia"/>
          <w:kern w:val="0"/>
          <w:sz w:val="30"/>
          <w:szCs w:val="30"/>
          <w:lang w:val="en-US" w:eastAsia="zh-CN"/>
        </w:rPr>
        <w:t>2431.08万元</w:t>
      </w:r>
      <w:r>
        <w:rPr>
          <w:rFonts w:ascii="仿宋_GB2312" w:eastAsia="仿宋_GB2312" w:hAnsi="仿宋_GB2312" w:cs="仿宋_GB2312" w:hint="eastAsia"/>
          <w:sz w:val="30"/>
          <w:szCs w:val="30"/>
        </w:rPr>
        <w:t>,主要</w:t>
      </w:r>
      <w:r>
        <w:rPr>
          <w:rFonts w:ascii="仿宋_GB2312" w:eastAsia="仿宋_GB2312" w:hAnsi="仿宋_GB2312" w:cs="仿宋_GB2312" w:hint="eastAsia"/>
          <w:kern w:val="0"/>
          <w:sz w:val="30"/>
          <w:szCs w:val="30"/>
        </w:rPr>
        <w:t>原因分析</w:t>
      </w:r>
      <w:r>
        <w:rPr>
          <w:rFonts w:ascii="仿宋_GB2312" w:eastAsia="仿宋_GB2312" w:hAnsi="仿宋_GB2312" w:cs="仿宋_GB2312" w:hint="eastAsia"/>
          <w:kern w:val="0"/>
          <w:sz w:val="30"/>
          <w:szCs w:val="30"/>
          <w:lang w:eastAsia="zh-CN"/>
        </w:rPr>
        <w:t>是严格执行中央八项规定厉行节约表开支，</w:t>
      </w:r>
      <w:r>
        <w:rPr>
          <w:rFonts w:ascii="仿宋_GB2312" w:eastAsia="仿宋_GB2312" w:hAnsi="仿宋_GB2312" w:cs="仿宋_GB2312" w:hint="eastAsia"/>
          <w:kern w:val="0"/>
          <w:sz w:val="30"/>
          <w:szCs w:val="30"/>
          <w:lang w:val="en-US" w:eastAsia="zh-CN"/>
        </w:rPr>
        <w:t>2017年发放州级文明单位奖金</w:t>
      </w:r>
      <w:r>
        <w:rPr>
          <w:rFonts w:ascii="仿宋_GB2312" w:eastAsia="仿宋_GB2312" w:hAnsi="仿宋_GB2312" w:cs="仿宋_GB2312" w:hint="eastAsia"/>
          <w:kern w:val="0"/>
          <w:sz w:val="30"/>
          <w:szCs w:val="30"/>
        </w:rPr>
        <w:t>。</w:t>
      </w:r>
    </w:p>
    <w:p>
      <w:pPr>
        <w:widowControl/>
        <w:snapToGrid w:val="0"/>
        <w:spacing w:before="100" w:after="100" w:line="600" w:lineRule="exact"/>
        <w:ind w:firstLine="600" w:firstLineChars="2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（二）一般公共预算财政拨款支出决算具体情况</w:t>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r>
    </w:p>
    <w:p>
      <w:pPr>
        <w:widowControl/>
        <w:snapToGrid w:val="0"/>
        <w:spacing w:before="100" w:after="100" w:line="360" w:lineRule="auto"/>
        <w:ind w:firstLine="600" w:firstLineChars="2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1.一般公共服务（类）支出</w:t>
      </w:r>
      <w:r>
        <w:rPr>
          <w:rFonts w:ascii="仿宋_GB2312" w:eastAsia="仿宋_GB2312" w:hAnsi="仿宋_GB2312" w:cs="仿宋_GB2312" w:hint="eastAsia"/>
          <w:kern w:val="0"/>
          <w:sz w:val="30"/>
          <w:szCs w:val="30"/>
          <w:lang w:val="en-US" w:eastAsia="zh-CN"/>
        </w:rPr>
        <w:t>1569.2</w:t>
      </w:r>
      <w:r>
        <w:rPr>
          <w:rFonts w:ascii="仿宋_GB2312" w:eastAsia="仿宋_GB2312" w:hAnsi="仿宋_GB2312" w:cs="仿宋_GB2312" w:hint="eastAsia"/>
          <w:kern w:val="0"/>
          <w:sz w:val="30"/>
          <w:szCs w:val="30"/>
        </w:rPr>
        <w:t>万元，</w:t>
      </w:r>
      <w:r>
        <w:rPr>
          <w:rFonts w:ascii="仿宋_GB2312" w:eastAsia="仿宋_GB2312" w:hAnsi="仿宋_GB2312" w:cs="仿宋_GB2312" w:hint="eastAsia"/>
          <w:sz w:val="30"/>
          <w:szCs w:val="30"/>
        </w:rPr>
        <w:t>占一般公共预算财政拨款总支出的</w:t>
      </w:r>
      <w:r>
        <w:rPr>
          <w:rFonts w:ascii="仿宋_GB2312" w:eastAsia="仿宋_GB2312" w:hAnsi="仿宋_GB2312" w:cs="仿宋_GB2312" w:hint="eastAsia"/>
          <w:sz w:val="30"/>
          <w:szCs w:val="30"/>
          <w:lang w:val="en-US" w:eastAsia="zh-CN"/>
        </w:rPr>
        <w:t>53.31</w:t>
      </w:r>
      <w:r>
        <w:rPr>
          <w:rFonts w:ascii="仿宋_GB2312" w:eastAsia="仿宋_GB2312" w:hAnsi="仿宋_GB2312" w:cs="仿宋_GB2312" w:hint="eastAsia"/>
          <w:sz w:val="30"/>
          <w:szCs w:val="30"/>
        </w:rPr>
        <w:t>%。</w:t>
      </w:r>
      <w:r>
        <w:rPr>
          <w:rFonts w:ascii="仿宋_GB2312" w:eastAsia="仿宋_GB2312" w:hAnsi="仿宋_GB2312" w:cs="仿宋_GB2312" w:hint="eastAsia"/>
          <w:kern w:val="0"/>
          <w:sz w:val="30"/>
          <w:szCs w:val="30"/>
        </w:rPr>
        <w:t>主要用于</w:t>
      </w:r>
      <w:r>
        <w:rPr>
          <w:rFonts w:ascii="仿宋_GB2312" w:eastAsia="仿宋_GB2312" w:hAnsi="仿宋_GB2312" w:cs="仿宋_GB2312" w:hint="eastAsia"/>
          <w:kern w:val="0"/>
          <w:sz w:val="30"/>
          <w:szCs w:val="30"/>
          <w:lang w:eastAsia="zh-CN"/>
        </w:rPr>
        <w:t>土地整治项目资金</w:t>
      </w:r>
      <w:r>
        <w:rPr>
          <w:rFonts w:ascii="仿宋_GB2312" w:eastAsia="仿宋_GB2312" w:hAnsi="仿宋_GB2312" w:cs="仿宋_GB2312" w:hint="eastAsia"/>
          <w:kern w:val="0"/>
          <w:sz w:val="30"/>
          <w:szCs w:val="30"/>
        </w:rPr>
        <w:t>；</w:t>
      </w:r>
    </w:p>
    <w:p>
      <w:pPr>
        <w:widowControl/>
        <w:snapToGrid w:val="0"/>
        <w:spacing w:before="100" w:after="100" w:line="360" w:lineRule="auto"/>
        <w:ind w:firstLine="600" w:firstLineChars="2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2.外交（类）支出</w:t>
      </w:r>
      <w:r>
        <w:rPr>
          <w:rFonts w:ascii="仿宋_GB2312" w:eastAsia="仿宋_GB2312" w:hAnsi="仿宋_GB2312" w:cs="仿宋_GB2312" w:hint="eastAsia"/>
          <w:sz w:val="30"/>
          <w:szCs w:val="30"/>
          <w:lang w:val="en-US" w:eastAsia="zh-CN"/>
        </w:rPr>
        <w:t>0</w:t>
      </w:r>
      <w:r>
        <w:rPr>
          <w:rFonts w:ascii="仿宋_GB2312" w:eastAsia="仿宋_GB2312" w:hAnsi="仿宋_GB2312" w:cs="仿宋_GB2312" w:hint="eastAsia"/>
          <w:kern w:val="0"/>
          <w:sz w:val="30"/>
          <w:szCs w:val="30"/>
        </w:rPr>
        <w:t>万元，</w:t>
      </w:r>
      <w:r>
        <w:rPr>
          <w:rFonts w:ascii="仿宋_GB2312" w:eastAsia="仿宋_GB2312" w:hAnsi="仿宋_GB2312" w:cs="仿宋_GB2312" w:hint="eastAsia"/>
          <w:sz w:val="30"/>
          <w:szCs w:val="30"/>
        </w:rPr>
        <w:t>占一般公共预算财政拨款总支出的</w:t>
      </w:r>
      <w:r>
        <w:rPr>
          <w:rFonts w:ascii="仿宋_GB2312" w:eastAsia="仿宋_GB2312" w:hAnsi="仿宋_GB2312" w:cs="仿宋_GB2312" w:hint="eastAsia"/>
          <w:sz w:val="30"/>
          <w:szCs w:val="30"/>
          <w:lang w:val="en-US" w:eastAsia="zh-CN"/>
        </w:rPr>
        <w:t>0</w:t>
      </w:r>
      <w:r>
        <w:rPr>
          <w:rFonts w:ascii="仿宋_GB2312" w:eastAsia="仿宋_GB2312" w:hAnsi="仿宋_GB2312" w:cs="仿宋_GB2312" w:hint="eastAsia"/>
          <w:sz w:val="30"/>
          <w:szCs w:val="30"/>
        </w:rPr>
        <w:t>%。</w:t>
      </w:r>
      <w:r>
        <w:rPr>
          <w:rFonts w:ascii="仿宋_GB2312" w:eastAsia="仿宋_GB2312" w:hAnsi="仿宋_GB2312" w:cs="仿宋_GB2312" w:hint="eastAsia"/>
          <w:kern w:val="0"/>
          <w:sz w:val="30"/>
          <w:szCs w:val="30"/>
          <w:lang w:val="en-US" w:eastAsia="zh-CN"/>
        </w:rPr>
        <w:t>0</w:t>
      </w:r>
    </w:p>
    <w:p>
      <w:pPr>
        <w:widowControl/>
        <w:snapToGrid w:val="0"/>
        <w:spacing w:before="100" w:after="100" w:line="360" w:lineRule="auto"/>
        <w:ind w:firstLine="600" w:firstLineChars="2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3.国防（类）支出</w:t>
      </w:r>
      <w:r>
        <w:rPr>
          <w:rFonts w:ascii="仿宋_GB2312" w:eastAsia="仿宋_GB2312" w:hAnsi="仿宋_GB2312" w:cs="仿宋_GB2312" w:hint="eastAsia"/>
          <w:sz w:val="30"/>
          <w:szCs w:val="30"/>
          <w:lang w:val="en-US" w:eastAsia="zh-CN"/>
        </w:rPr>
        <w:t>0</w:t>
      </w:r>
      <w:r>
        <w:rPr>
          <w:rFonts w:ascii="仿宋_GB2312" w:eastAsia="仿宋_GB2312" w:hAnsi="仿宋_GB2312" w:cs="仿宋_GB2312" w:hint="eastAsia"/>
          <w:kern w:val="0"/>
          <w:sz w:val="30"/>
          <w:szCs w:val="30"/>
        </w:rPr>
        <w:t>万元，</w:t>
      </w:r>
      <w:r>
        <w:rPr>
          <w:rFonts w:ascii="仿宋_GB2312" w:eastAsia="仿宋_GB2312" w:hAnsi="仿宋_GB2312" w:cs="仿宋_GB2312" w:hint="eastAsia"/>
          <w:sz w:val="30"/>
          <w:szCs w:val="30"/>
        </w:rPr>
        <w:t>占一般公共预算财政拨款总支出的</w:t>
      </w:r>
      <w:r>
        <w:rPr>
          <w:rFonts w:ascii="仿宋_GB2312" w:eastAsia="仿宋_GB2312" w:hAnsi="仿宋_GB2312" w:cs="仿宋_GB2312" w:hint="eastAsia"/>
          <w:sz w:val="30"/>
          <w:szCs w:val="30"/>
          <w:lang w:val="en-US" w:eastAsia="zh-CN"/>
        </w:rPr>
        <w:t>0</w:t>
      </w:r>
      <w:r>
        <w:rPr>
          <w:rFonts w:ascii="仿宋_GB2312" w:eastAsia="仿宋_GB2312" w:hAnsi="仿宋_GB2312" w:cs="仿宋_GB2312" w:hint="eastAsia"/>
          <w:sz w:val="30"/>
          <w:szCs w:val="30"/>
        </w:rPr>
        <w:t>%。</w:t>
      </w:r>
    </w:p>
    <w:p>
      <w:pPr>
        <w:widowControl/>
        <w:snapToGrid w:val="0"/>
        <w:spacing w:before="100" w:after="100" w:line="360" w:lineRule="auto"/>
        <w:ind w:firstLine="600" w:firstLineChars="2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4.公共安全（类）支出</w:t>
      </w:r>
      <w:r>
        <w:rPr>
          <w:rFonts w:ascii="仿宋_GB2312" w:eastAsia="仿宋_GB2312" w:hAnsi="仿宋_GB2312" w:cs="仿宋_GB2312" w:hint="eastAsia"/>
          <w:sz w:val="30"/>
          <w:szCs w:val="30"/>
          <w:lang w:val="en-US" w:eastAsia="zh-CN"/>
        </w:rPr>
        <w:t>0</w:t>
      </w:r>
      <w:r>
        <w:rPr>
          <w:rFonts w:ascii="仿宋_GB2312" w:eastAsia="仿宋_GB2312" w:hAnsi="仿宋_GB2312" w:cs="仿宋_GB2312" w:hint="eastAsia"/>
          <w:kern w:val="0"/>
          <w:sz w:val="30"/>
          <w:szCs w:val="30"/>
        </w:rPr>
        <w:t>万元，</w:t>
      </w:r>
      <w:r>
        <w:rPr>
          <w:rFonts w:ascii="仿宋_GB2312" w:eastAsia="仿宋_GB2312" w:hAnsi="仿宋_GB2312" w:cs="仿宋_GB2312" w:hint="eastAsia"/>
          <w:sz w:val="30"/>
          <w:szCs w:val="30"/>
        </w:rPr>
        <w:t>占一般公共预算财政拨款总支出的</w:t>
      </w:r>
      <w:r>
        <w:rPr>
          <w:rFonts w:ascii="仿宋_GB2312" w:eastAsia="仿宋_GB2312" w:hAnsi="仿宋_GB2312" w:cs="仿宋_GB2312" w:hint="eastAsia"/>
          <w:sz w:val="30"/>
          <w:szCs w:val="30"/>
          <w:lang w:val="en-US" w:eastAsia="zh-CN"/>
        </w:rPr>
        <w:t>0</w:t>
      </w:r>
      <w:r>
        <w:rPr>
          <w:rFonts w:ascii="仿宋_GB2312" w:eastAsia="仿宋_GB2312" w:hAnsi="仿宋_GB2312" w:cs="仿宋_GB2312" w:hint="eastAsia"/>
          <w:sz w:val="30"/>
          <w:szCs w:val="30"/>
        </w:rPr>
        <w:t>%。</w:t>
      </w:r>
    </w:p>
    <w:p>
      <w:pPr>
        <w:widowControl/>
        <w:snapToGrid w:val="0"/>
        <w:spacing w:before="100" w:after="100" w:line="360" w:lineRule="auto"/>
        <w:ind w:firstLine="600" w:firstLineChars="200"/>
        <w:jc w:val="left"/>
        <w:rPr>
          <w:rFonts w:ascii="黑体" w:eastAsia="黑体" w:hAnsi="黑体" w:hint="eastAsia"/>
          <w:sz w:val="30"/>
          <w:szCs w:val="30"/>
        </w:rPr>
      </w:pPr>
      <w:r>
        <w:rPr>
          <w:rFonts w:ascii="黑体" w:eastAsia="黑体" w:hAnsi="黑体" w:hint="eastAsia"/>
          <w:sz w:val="30"/>
          <w:szCs w:val="30"/>
        </w:rPr>
        <w:t>四、一般公共预算财政拨款“三公”经费支出决算情况说明</w:t>
      </w:r>
    </w:p>
    <w:p>
      <w:pPr>
        <w:widowControl/>
        <w:snapToGrid w:val="0"/>
        <w:spacing w:before="100" w:after="100" w:line="360" w:lineRule="auto"/>
        <w:ind w:firstLine="600" w:firstLineChars="200"/>
        <w:jc w:val="left"/>
        <w:rPr>
          <w:rFonts w:ascii="仿宋_GB2312" w:eastAsia="仿宋_GB2312" w:hAnsi="仿宋_GB2312" w:cs="仿宋_GB2312" w:hint="eastAsia"/>
          <w:b w:val="0"/>
          <w:bCs w:val="0"/>
          <w:sz w:val="30"/>
          <w:szCs w:val="30"/>
        </w:rPr>
      </w:pPr>
      <w:r>
        <w:rPr>
          <w:rFonts w:ascii="仿宋_GB2312" w:eastAsia="仿宋_GB2312" w:hAnsi="仿宋_GB2312" w:cs="仿宋_GB2312" w:hint="eastAsia"/>
          <w:b w:val="0"/>
          <w:bCs w:val="0"/>
          <w:sz w:val="30"/>
          <w:szCs w:val="30"/>
        </w:rPr>
        <w:t>(一) 一般公共预算财政拨款“三公”经费支出决算总体情况</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b w:val="0"/>
          <w:bCs w:val="0"/>
          <w:sz w:val="30"/>
          <w:szCs w:val="30"/>
          <w:lang w:eastAsia="zh-CN"/>
        </w:rPr>
        <w:t>西畴县国土资源局</w:t>
      </w:r>
      <w:r>
        <w:rPr>
          <w:rFonts w:ascii="仿宋_GB2312" w:eastAsia="仿宋_GB2312" w:hint="eastAsia"/>
          <w:b w:val="0"/>
          <w:bCs w:val="0"/>
          <w:sz w:val="30"/>
          <w:szCs w:val="30"/>
          <w:lang w:val="en-US" w:eastAsia="zh-CN"/>
        </w:rPr>
        <w:t>2018</w:t>
      </w:r>
      <w:r>
        <w:rPr>
          <w:rFonts w:ascii="仿宋_GB2312" w:eastAsia="仿宋_GB2312" w:hint="eastAsia"/>
          <w:b w:val="0"/>
          <w:bCs w:val="0"/>
          <w:sz w:val="30"/>
          <w:szCs w:val="30"/>
        </w:rPr>
        <w:t>年度一般公共预算财政拨款“三公”经</w:t>
      </w:r>
      <w:r>
        <w:rPr>
          <w:rFonts w:ascii="仿宋_GB2312" w:eastAsia="仿宋_GB2312" w:hint="eastAsia"/>
          <w:sz w:val="30"/>
          <w:szCs w:val="30"/>
        </w:rPr>
        <w:t>费支出预算为</w:t>
      </w:r>
      <w:r>
        <w:rPr>
          <w:rFonts w:ascii="仿宋_GB2312" w:eastAsia="仿宋_GB2312" w:hint="eastAsia"/>
          <w:sz w:val="30"/>
          <w:szCs w:val="30"/>
          <w:lang w:val="en-US" w:eastAsia="zh-CN"/>
        </w:rPr>
        <w:t>7.55</w:t>
      </w:r>
      <w:r>
        <w:rPr>
          <w:rFonts w:ascii="仿宋_GB2312" w:eastAsia="仿宋_GB2312" w:hint="eastAsia"/>
          <w:sz w:val="30"/>
          <w:szCs w:val="30"/>
        </w:rPr>
        <w:t>万元，支出决算为</w:t>
      </w:r>
      <w:r>
        <w:rPr>
          <w:rFonts w:ascii="仿宋_GB2312" w:eastAsia="仿宋_GB2312" w:hint="eastAsia"/>
          <w:sz w:val="30"/>
          <w:szCs w:val="30"/>
          <w:lang w:val="en-US" w:eastAsia="zh-CN"/>
        </w:rPr>
        <w:t>4.48</w:t>
      </w:r>
      <w:r>
        <w:rPr>
          <w:rFonts w:ascii="仿宋_GB2312" w:eastAsia="仿宋_GB2312" w:hint="eastAsia"/>
          <w:sz w:val="30"/>
          <w:szCs w:val="30"/>
        </w:rPr>
        <w:t>万元，完成预算的</w:t>
      </w:r>
      <w:r>
        <w:rPr>
          <w:rFonts w:ascii="仿宋_GB2312" w:eastAsia="仿宋_GB2312" w:hint="eastAsia"/>
          <w:sz w:val="30"/>
          <w:szCs w:val="30"/>
          <w:lang w:val="en-US" w:eastAsia="zh-CN"/>
        </w:rPr>
        <w:t>59.34</w:t>
      </w:r>
      <w:r>
        <w:rPr>
          <w:rFonts w:ascii="仿宋_GB2312" w:eastAsia="仿宋_GB2312" w:hint="eastAsia"/>
          <w:sz w:val="30"/>
          <w:szCs w:val="30"/>
        </w:rPr>
        <w:t>%。其中：因公出国（境）费支出决算为</w:t>
      </w:r>
      <w:r>
        <w:rPr>
          <w:rFonts w:ascii="仿宋_GB2312" w:eastAsia="仿宋_GB2312" w:hint="eastAsia"/>
          <w:sz w:val="30"/>
          <w:szCs w:val="30"/>
          <w:lang w:val="en-US" w:eastAsia="zh-CN"/>
        </w:rPr>
        <w:t>0</w:t>
      </w:r>
      <w:r>
        <w:rPr>
          <w:rFonts w:ascii="仿宋_GB2312" w:eastAsia="仿宋_GB2312" w:hint="eastAsia"/>
          <w:sz w:val="30"/>
          <w:szCs w:val="30"/>
        </w:rPr>
        <w:t>万元，完成预算的</w:t>
      </w:r>
      <w:r>
        <w:rPr>
          <w:rFonts w:ascii="仿宋_GB2312" w:eastAsia="仿宋_GB2312" w:hint="eastAsia"/>
          <w:sz w:val="30"/>
          <w:szCs w:val="30"/>
          <w:lang w:val="en-US" w:eastAsia="zh-CN"/>
        </w:rPr>
        <w:t>0</w:t>
      </w:r>
      <w:r>
        <w:rPr>
          <w:rFonts w:ascii="仿宋_GB2312" w:eastAsia="仿宋_GB2312" w:hint="eastAsia"/>
          <w:sz w:val="30"/>
          <w:szCs w:val="30"/>
        </w:rPr>
        <w:t>%；公务用车购置及运行费支出决算为</w:t>
      </w:r>
      <w:r>
        <w:rPr>
          <w:rFonts w:ascii="仿宋_GB2312" w:eastAsia="仿宋_GB2312" w:hint="eastAsia"/>
          <w:sz w:val="30"/>
          <w:szCs w:val="30"/>
          <w:lang w:val="en-US" w:eastAsia="zh-CN"/>
        </w:rPr>
        <w:t>6</w:t>
      </w:r>
      <w:r>
        <w:rPr>
          <w:rFonts w:ascii="仿宋_GB2312" w:eastAsia="仿宋_GB2312" w:hint="eastAsia"/>
          <w:sz w:val="30"/>
          <w:szCs w:val="30"/>
        </w:rPr>
        <w:t>万元，完成预算的</w:t>
      </w:r>
      <w:r>
        <w:rPr>
          <w:rFonts w:ascii="仿宋_GB2312" w:eastAsia="仿宋_GB2312" w:hint="eastAsia"/>
          <w:sz w:val="30"/>
          <w:szCs w:val="30"/>
          <w:lang w:val="en-US" w:eastAsia="zh-CN"/>
        </w:rPr>
        <w:t>61.17</w:t>
      </w:r>
      <w:r>
        <w:rPr>
          <w:rFonts w:ascii="仿宋_GB2312" w:eastAsia="仿宋_GB2312" w:hint="eastAsia"/>
          <w:sz w:val="30"/>
          <w:szCs w:val="30"/>
        </w:rPr>
        <w:t>%；公务接待费支出决算为</w:t>
      </w:r>
      <w:r>
        <w:rPr>
          <w:rFonts w:ascii="仿宋_GB2312" w:eastAsia="仿宋_GB2312" w:hint="eastAsia"/>
          <w:sz w:val="30"/>
          <w:szCs w:val="30"/>
          <w:lang w:val="en-US" w:eastAsia="zh-CN"/>
        </w:rPr>
        <w:t>0.9</w:t>
      </w:r>
      <w:r>
        <w:rPr>
          <w:rFonts w:ascii="仿宋_GB2312" w:eastAsia="仿宋_GB2312" w:hint="eastAsia"/>
          <w:sz w:val="30"/>
          <w:szCs w:val="30"/>
        </w:rPr>
        <w:t>万元，完成预算的</w:t>
      </w:r>
      <w:r>
        <w:rPr>
          <w:rFonts w:ascii="仿宋_GB2312" w:eastAsia="仿宋_GB2312" w:hint="eastAsia"/>
          <w:sz w:val="30"/>
          <w:szCs w:val="30"/>
          <w:lang w:val="en-US" w:eastAsia="zh-CN"/>
        </w:rPr>
        <w:t>58.71</w:t>
      </w:r>
      <w:r>
        <w:rPr>
          <w:rFonts w:ascii="仿宋_GB2312" w:eastAsia="仿宋_GB2312" w:hint="eastAsia"/>
          <w:sz w:val="30"/>
          <w:szCs w:val="30"/>
        </w:rPr>
        <w:t>%。</w:t>
      </w:r>
      <w:r>
        <w:rPr>
          <w:rFonts w:ascii="仿宋_GB2312" w:eastAsia="仿宋_GB2312" w:hint="eastAsia"/>
          <w:sz w:val="30"/>
          <w:szCs w:val="30"/>
          <w:lang w:val="en-US" w:eastAsia="zh-CN"/>
        </w:rPr>
        <w:t>2018</w:t>
      </w:r>
      <w:r>
        <w:rPr>
          <w:rFonts w:ascii="仿宋_GB2312" w:eastAsia="仿宋_GB2312" w:hint="eastAsia"/>
          <w:sz w:val="30"/>
          <w:szCs w:val="30"/>
        </w:rPr>
        <w:t>年度一般公共预算财政拨款“三公”经费支出决算数小于预算数的主要原因</w:t>
      </w:r>
      <w:r>
        <w:rPr>
          <w:rFonts w:ascii="仿宋_GB2312" w:eastAsia="仿宋_GB2312" w:hint="eastAsia"/>
          <w:sz w:val="30"/>
          <w:szCs w:val="30"/>
          <w:lang w:eastAsia="zh-CN"/>
        </w:rPr>
        <w:t>：一是有部分接待费支付不及时；二是因单位资金比较紧张有部分公务用车燃油在土地整治项目上报销</w:t>
      </w:r>
      <w:r>
        <w:rPr>
          <w:rFonts w:ascii="仿宋_GB2312" w:eastAsia="仿宋_GB2312" w:hint="eastAsia"/>
          <w:sz w:val="30"/>
          <w:szCs w:val="30"/>
        </w:rPr>
        <w:t>。</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sz w:val="30"/>
          <w:szCs w:val="30"/>
          <w:lang w:val="en-US" w:eastAsia="zh-CN"/>
        </w:rPr>
        <w:t>2018</w:t>
      </w:r>
      <w:r>
        <w:rPr>
          <w:rFonts w:ascii="仿宋_GB2312" w:eastAsia="仿宋_GB2312" w:hint="eastAsia"/>
          <w:sz w:val="30"/>
          <w:szCs w:val="30"/>
        </w:rPr>
        <w:t>年度一般公共预算财政拨款“三公”经费支出决算数比</w:t>
      </w:r>
      <w:r>
        <w:rPr>
          <w:rFonts w:ascii="仿宋_GB2312" w:eastAsia="仿宋_GB2312" w:hint="eastAsia"/>
          <w:sz w:val="30"/>
          <w:szCs w:val="30"/>
          <w:lang w:val="en-US" w:eastAsia="zh-CN"/>
        </w:rPr>
        <w:t>2017</w:t>
      </w:r>
      <w:r>
        <w:rPr>
          <w:rFonts w:ascii="仿宋_GB2312" w:eastAsia="仿宋_GB2312" w:hint="eastAsia"/>
          <w:sz w:val="30"/>
          <w:szCs w:val="30"/>
        </w:rPr>
        <w:t>年减少</w:t>
      </w:r>
      <w:r>
        <w:rPr>
          <w:rFonts w:ascii="仿宋_GB2312" w:eastAsia="仿宋_GB2312" w:hint="eastAsia"/>
          <w:sz w:val="30"/>
          <w:szCs w:val="30"/>
          <w:lang w:val="en-US" w:eastAsia="zh-CN"/>
        </w:rPr>
        <w:t>8.65</w:t>
      </w:r>
      <w:r>
        <w:rPr>
          <w:rFonts w:ascii="仿宋_GB2312" w:eastAsia="仿宋_GB2312" w:hint="eastAsia"/>
          <w:sz w:val="30"/>
          <w:szCs w:val="30"/>
        </w:rPr>
        <w:t>万元，下降</w:t>
      </w:r>
      <w:r>
        <w:rPr>
          <w:rFonts w:ascii="仿宋_GB2312" w:eastAsia="仿宋_GB2312" w:hint="eastAsia"/>
          <w:sz w:val="30"/>
          <w:szCs w:val="30"/>
          <w:lang w:val="en-US" w:eastAsia="zh-CN"/>
        </w:rPr>
        <w:t>113.57</w:t>
      </w:r>
      <w:r>
        <w:rPr>
          <w:rFonts w:ascii="仿宋_GB2312" w:eastAsia="仿宋_GB2312" w:hint="eastAsia"/>
          <w:sz w:val="30"/>
          <w:szCs w:val="30"/>
        </w:rPr>
        <w:t>%。其中：因公出国（境）费支出决算增加</w:t>
      </w:r>
      <w:r>
        <w:rPr>
          <w:rFonts w:ascii="仿宋_GB2312" w:eastAsia="仿宋_GB2312" w:hint="eastAsia"/>
          <w:sz w:val="30"/>
          <w:szCs w:val="30"/>
          <w:lang w:val="en-US" w:eastAsia="zh-CN"/>
        </w:rPr>
        <w:t>0</w:t>
      </w:r>
      <w:r>
        <w:rPr>
          <w:rFonts w:ascii="仿宋_GB2312" w:eastAsia="仿宋_GB2312" w:hint="eastAsia"/>
          <w:sz w:val="30"/>
          <w:szCs w:val="30"/>
        </w:rPr>
        <w:t>万元，增长</w:t>
      </w:r>
      <w:r>
        <w:rPr>
          <w:rFonts w:ascii="仿宋_GB2312" w:eastAsia="仿宋_GB2312" w:hint="eastAsia"/>
          <w:sz w:val="30"/>
          <w:szCs w:val="30"/>
          <w:lang w:val="en-US" w:eastAsia="zh-CN"/>
        </w:rPr>
        <w:t>0</w:t>
      </w:r>
      <w:r>
        <w:rPr>
          <w:rFonts w:ascii="仿宋_GB2312" w:eastAsia="仿宋_GB2312" w:hint="eastAsia"/>
          <w:sz w:val="30"/>
          <w:szCs w:val="30"/>
        </w:rPr>
        <w:t>%；公务用车购置及运行费支出决算</w:t>
      </w:r>
      <w:r>
        <w:rPr>
          <w:rFonts w:ascii="仿宋_GB2312" w:eastAsia="仿宋_GB2312" w:hint="eastAsia"/>
          <w:sz w:val="30"/>
          <w:szCs w:val="30"/>
          <w:lang w:val="en-US" w:eastAsia="zh-CN"/>
        </w:rPr>
        <w:t>0</w:t>
      </w:r>
      <w:r>
        <w:rPr>
          <w:rFonts w:ascii="仿宋_GB2312" w:eastAsia="仿宋_GB2312" w:hint="eastAsia"/>
          <w:sz w:val="30"/>
          <w:szCs w:val="30"/>
        </w:rPr>
        <w:t>万</w:t>
      </w:r>
      <w:r>
        <w:rPr>
          <w:rFonts w:ascii="仿宋_GB2312" w:eastAsia="仿宋_GB2312" w:hint="eastAsia"/>
          <w:sz w:val="30"/>
          <w:szCs w:val="30"/>
          <w:lang w:eastAsia="zh-CN"/>
        </w:rPr>
        <w:t>元；</w:t>
      </w:r>
      <w:r>
        <w:rPr>
          <w:rFonts w:ascii="仿宋_GB2312" w:eastAsia="仿宋_GB2312" w:hint="eastAsia"/>
          <w:sz w:val="30"/>
          <w:szCs w:val="30"/>
        </w:rPr>
        <w:t>公务接待费支出决算减少</w:t>
      </w:r>
      <w:r>
        <w:rPr>
          <w:rFonts w:ascii="仿宋_GB2312" w:eastAsia="仿宋_GB2312" w:hint="eastAsia"/>
          <w:sz w:val="30"/>
          <w:szCs w:val="30"/>
          <w:lang w:val="en-US" w:eastAsia="zh-CN"/>
        </w:rPr>
        <w:t>3.93</w:t>
      </w:r>
      <w:r>
        <w:rPr>
          <w:rFonts w:ascii="仿宋_GB2312" w:eastAsia="仿宋_GB2312" w:hint="eastAsia"/>
          <w:sz w:val="30"/>
          <w:szCs w:val="30"/>
        </w:rPr>
        <w:t>万元，</w:t>
      </w:r>
      <w:r>
        <w:rPr>
          <w:rFonts w:ascii="仿宋_GB2312" w:eastAsia="仿宋_GB2312" w:hint="eastAsia"/>
          <w:sz w:val="30"/>
          <w:szCs w:val="30"/>
          <w:lang w:val="en-US" w:eastAsia="zh-CN"/>
        </w:rPr>
        <w:t>91.</w:t>
      </w:r>
      <w:r>
        <w:rPr>
          <w:rFonts w:ascii="仿宋_GB2312" w:eastAsia="仿宋_GB2312" w:hint="eastAsia"/>
          <w:sz w:val="30"/>
          <w:szCs w:val="30"/>
        </w:rPr>
        <w:t>下降</w:t>
      </w:r>
      <w:r>
        <w:rPr>
          <w:rFonts w:ascii="仿宋_GB2312" w:eastAsia="仿宋_GB2312" w:hint="eastAsia"/>
          <w:sz w:val="30"/>
          <w:szCs w:val="30"/>
          <w:lang w:val="en-US" w:eastAsia="zh-CN"/>
        </w:rPr>
        <w:t>81.2</w:t>
      </w:r>
      <w:r>
        <w:rPr>
          <w:rFonts w:ascii="仿宋_GB2312" w:eastAsia="仿宋_GB2312" w:hint="eastAsia"/>
          <w:sz w:val="30"/>
          <w:szCs w:val="30"/>
        </w:rPr>
        <w:t>%。</w:t>
      </w:r>
      <w:r>
        <w:rPr>
          <w:rFonts w:ascii="仿宋_GB2312" w:eastAsia="仿宋_GB2312" w:hint="eastAsia"/>
          <w:sz w:val="30"/>
          <w:szCs w:val="30"/>
          <w:lang w:val="en-US" w:eastAsia="zh-CN"/>
        </w:rPr>
        <w:t>2018</w:t>
      </w:r>
      <w:r>
        <w:rPr>
          <w:rFonts w:ascii="仿宋_GB2312" w:eastAsia="仿宋_GB2312" w:hint="eastAsia"/>
          <w:sz w:val="30"/>
          <w:szCs w:val="30"/>
        </w:rPr>
        <w:t>年度一般公共预算财政拨款“三公”经费支出决算减少的主要原因</w:t>
      </w:r>
      <w:r>
        <w:rPr>
          <w:rFonts w:ascii="仿宋_GB2312" w:eastAsia="仿宋_GB2312" w:hint="eastAsia"/>
          <w:sz w:val="30"/>
          <w:szCs w:val="30"/>
          <w:lang w:eastAsia="zh-CN"/>
        </w:rPr>
        <w:t>一是有部分接待费支付不及时；二是因单位资金比较紧张有部分公务用车燃油在土地整治项目上报销</w:t>
      </w:r>
      <w:r>
        <w:rPr>
          <w:rFonts w:ascii="仿宋_GB2312" w:eastAsia="仿宋_GB2312" w:hint="eastAsia"/>
          <w:sz w:val="30"/>
          <w:szCs w:val="30"/>
        </w:rPr>
        <w:t>。</w:t>
      </w:r>
    </w:p>
    <w:p>
      <w:pPr>
        <w:widowControl/>
        <w:snapToGrid w:val="0"/>
        <w:spacing w:before="100" w:after="100" w:line="360" w:lineRule="auto"/>
        <w:ind w:firstLine="600" w:firstLineChars="200"/>
        <w:jc w:val="left"/>
        <w:rPr>
          <w:rFonts w:ascii="楷体" w:eastAsia="楷体" w:hAnsi="楷体" w:hint="eastAsia"/>
          <w:sz w:val="30"/>
          <w:szCs w:val="30"/>
        </w:rPr>
      </w:pPr>
      <w:r>
        <w:rPr>
          <w:rFonts w:ascii="楷体" w:eastAsia="楷体" w:hAnsi="楷体" w:hint="eastAsia"/>
          <w:sz w:val="30"/>
          <w:szCs w:val="30"/>
        </w:rPr>
        <w:t>(二)</w:t>
      </w:r>
      <w:r>
        <w:rPr>
          <w:rFonts w:ascii="仿宋_GB2312" w:eastAsia="仿宋_GB2312" w:hint="eastAsia"/>
          <w:sz w:val="30"/>
          <w:szCs w:val="30"/>
        </w:rPr>
        <w:t xml:space="preserve"> </w:t>
      </w:r>
      <w:r>
        <w:rPr>
          <w:rFonts w:ascii="楷体" w:eastAsia="楷体" w:hAnsi="楷体" w:hint="eastAsia"/>
          <w:sz w:val="30"/>
          <w:szCs w:val="30"/>
        </w:rPr>
        <w:t>一般公共预算财政拨款“三公”经费支出决算具体情况</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sz w:val="30"/>
          <w:szCs w:val="30"/>
          <w:lang w:val="en-US" w:eastAsia="zh-CN"/>
        </w:rPr>
        <w:t>2018</w:t>
      </w:r>
      <w:r>
        <w:rPr>
          <w:rFonts w:ascii="仿宋_GB2312" w:eastAsia="仿宋_GB2312" w:hint="eastAsia"/>
          <w:sz w:val="30"/>
          <w:szCs w:val="30"/>
        </w:rPr>
        <w:t>年度一般公共预算财政拨款“三公”经费支出决算中，因公出国（境）费支出</w:t>
      </w:r>
      <w:r>
        <w:rPr>
          <w:rFonts w:ascii="仿宋_GB2312" w:eastAsia="仿宋_GB2312" w:hint="eastAsia"/>
          <w:sz w:val="30"/>
          <w:szCs w:val="30"/>
          <w:lang w:val="en-US" w:eastAsia="zh-CN"/>
        </w:rPr>
        <w:t>0</w:t>
      </w:r>
      <w:r>
        <w:rPr>
          <w:rFonts w:ascii="仿宋_GB2312" w:eastAsia="仿宋_GB2312" w:hint="eastAsia"/>
          <w:sz w:val="30"/>
          <w:szCs w:val="30"/>
        </w:rPr>
        <w:t>万元，占</w:t>
      </w:r>
      <w:r>
        <w:rPr>
          <w:rFonts w:ascii="仿宋_GB2312" w:eastAsia="仿宋_GB2312" w:hint="eastAsia"/>
          <w:sz w:val="30"/>
          <w:szCs w:val="30"/>
          <w:lang w:val="en-US" w:eastAsia="zh-CN"/>
        </w:rPr>
        <w:t>0</w:t>
      </w:r>
      <w:r>
        <w:rPr>
          <w:rFonts w:ascii="仿宋_GB2312" w:eastAsia="仿宋_GB2312" w:hint="eastAsia"/>
          <w:sz w:val="30"/>
          <w:szCs w:val="30"/>
        </w:rPr>
        <w:t>%；公务用车购置及运行维护费支出</w:t>
      </w:r>
      <w:r>
        <w:rPr>
          <w:rFonts w:ascii="仿宋_GB2312" w:eastAsia="仿宋_GB2312" w:hint="eastAsia"/>
          <w:sz w:val="30"/>
          <w:szCs w:val="30"/>
          <w:lang w:val="en-US" w:eastAsia="zh-CN"/>
        </w:rPr>
        <w:t>0</w:t>
      </w:r>
      <w:r>
        <w:rPr>
          <w:rFonts w:ascii="仿宋_GB2312" w:eastAsia="仿宋_GB2312" w:hint="eastAsia"/>
          <w:sz w:val="30"/>
          <w:szCs w:val="30"/>
        </w:rPr>
        <w:t>万元，占</w:t>
      </w:r>
      <w:r>
        <w:rPr>
          <w:rFonts w:ascii="仿宋_GB2312" w:eastAsia="仿宋_GB2312" w:hint="eastAsia"/>
          <w:sz w:val="30"/>
          <w:szCs w:val="30"/>
          <w:lang w:val="en-US" w:eastAsia="zh-CN"/>
        </w:rPr>
        <w:t>0</w:t>
      </w:r>
      <w:r>
        <w:rPr>
          <w:rFonts w:ascii="仿宋_GB2312" w:eastAsia="仿宋_GB2312" w:hint="eastAsia"/>
          <w:sz w:val="30"/>
          <w:szCs w:val="30"/>
        </w:rPr>
        <w:t>%；公务接待费支出</w:t>
      </w:r>
      <w:r>
        <w:rPr>
          <w:rFonts w:ascii="仿宋_GB2312" w:eastAsia="仿宋_GB2312" w:hint="eastAsia"/>
          <w:sz w:val="30"/>
          <w:szCs w:val="30"/>
          <w:lang w:val="en-US" w:eastAsia="zh-CN"/>
        </w:rPr>
        <w:t>0.91</w:t>
      </w:r>
      <w:r>
        <w:rPr>
          <w:rFonts w:ascii="仿宋_GB2312" w:eastAsia="仿宋_GB2312" w:hint="eastAsia"/>
          <w:sz w:val="30"/>
          <w:szCs w:val="30"/>
        </w:rPr>
        <w:t>万元，占</w:t>
      </w:r>
      <w:r>
        <w:rPr>
          <w:rFonts w:ascii="仿宋_GB2312" w:eastAsia="仿宋_GB2312" w:hint="eastAsia"/>
          <w:sz w:val="30"/>
          <w:szCs w:val="30"/>
          <w:lang w:val="en-US" w:eastAsia="zh-CN"/>
        </w:rPr>
        <w:t>20.3</w:t>
      </w:r>
      <w:r>
        <w:rPr>
          <w:rFonts w:ascii="仿宋_GB2312" w:eastAsia="仿宋_GB2312" w:hint="eastAsia"/>
          <w:sz w:val="30"/>
          <w:szCs w:val="30"/>
        </w:rPr>
        <w:t>%。具体情况如下：</w:t>
      </w:r>
    </w:p>
    <w:p>
      <w:pPr>
        <w:widowControl/>
        <w:numPr>
          <w:ilvl w:val="0"/>
          <w:numId w:val="2"/>
        </w:numPr>
        <w:snapToGrid w:val="0"/>
        <w:spacing w:before="100" w:after="100" w:line="360" w:lineRule="auto"/>
        <w:ind w:firstLine="600" w:firstLineChars="200"/>
        <w:jc w:val="left"/>
        <w:rPr>
          <w:rFonts w:ascii="仿宋_GB2312" w:eastAsia="仿宋_GB2312" w:hint="eastAsia"/>
          <w:b w:val="0"/>
          <w:bCs/>
          <w:sz w:val="30"/>
          <w:szCs w:val="30"/>
        </w:rPr>
      </w:pPr>
      <w:r>
        <w:rPr>
          <w:rFonts w:ascii="仿宋_GB2312" w:eastAsia="仿宋_GB2312" w:hint="eastAsia"/>
          <w:b w:val="0"/>
          <w:bCs/>
          <w:sz w:val="30"/>
          <w:szCs w:val="30"/>
        </w:rPr>
        <w:t>因公出国（境）费支出</w:t>
      </w:r>
      <w:r>
        <w:rPr>
          <w:rFonts w:ascii="仿宋_GB2312" w:eastAsia="仿宋_GB2312" w:hint="eastAsia"/>
          <w:b w:val="0"/>
          <w:bCs/>
          <w:sz w:val="30"/>
          <w:szCs w:val="30"/>
          <w:lang w:val="en-US" w:eastAsia="zh-CN"/>
        </w:rPr>
        <w:t>0</w:t>
      </w:r>
      <w:r>
        <w:rPr>
          <w:rFonts w:ascii="仿宋_GB2312" w:eastAsia="仿宋_GB2312" w:hint="eastAsia"/>
          <w:b w:val="0"/>
          <w:bCs/>
          <w:sz w:val="30"/>
          <w:szCs w:val="30"/>
        </w:rPr>
        <w:t>万元，共安排因公出国（境）团组</w:t>
      </w:r>
      <w:r>
        <w:rPr>
          <w:rFonts w:ascii="仿宋_GB2312" w:eastAsia="仿宋_GB2312" w:hint="eastAsia"/>
          <w:b w:val="0"/>
          <w:bCs/>
          <w:sz w:val="30"/>
          <w:szCs w:val="30"/>
          <w:lang w:val="en-US" w:eastAsia="zh-CN"/>
        </w:rPr>
        <w:t>0</w:t>
      </w:r>
      <w:r>
        <w:rPr>
          <w:rFonts w:ascii="仿宋_GB2312" w:eastAsia="仿宋_GB2312" w:hint="eastAsia"/>
          <w:b w:val="0"/>
          <w:bCs/>
          <w:sz w:val="30"/>
          <w:szCs w:val="30"/>
        </w:rPr>
        <w:t>个，累计</w:t>
      </w:r>
      <w:r>
        <w:rPr>
          <w:rFonts w:ascii="仿宋_GB2312" w:eastAsia="仿宋_GB2312" w:hint="eastAsia"/>
          <w:b w:val="0"/>
          <w:bCs/>
          <w:sz w:val="30"/>
          <w:szCs w:val="30"/>
          <w:lang w:val="en-US" w:eastAsia="zh-CN"/>
        </w:rPr>
        <w:t>0</w:t>
      </w:r>
      <w:r>
        <w:rPr>
          <w:rFonts w:ascii="仿宋_GB2312" w:eastAsia="仿宋_GB2312" w:hint="eastAsia"/>
          <w:b w:val="0"/>
          <w:bCs/>
          <w:sz w:val="30"/>
          <w:szCs w:val="30"/>
        </w:rPr>
        <w:t>人次。</w:t>
      </w:r>
    </w:p>
    <w:p>
      <w:pPr>
        <w:widowControl/>
        <w:numPr>
          <w:ilvl w:val="0"/>
          <w:numId w:val="2"/>
        </w:numPr>
        <w:snapToGrid w:val="0"/>
        <w:spacing w:before="100" w:after="100" w:line="360" w:lineRule="auto"/>
        <w:ind w:firstLine="600" w:firstLineChars="200"/>
        <w:jc w:val="left"/>
        <w:rPr>
          <w:rFonts w:ascii="仿宋_GB2312" w:eastAsia="仿宋_GB2312" w:hint="eastAsia"/>
          <w:b w:val="0"/>
          <w:bCs/>
          <w:sz w:val="30"/>
          <w:szCs w:val="30"/>
        </w:rPr>
      </w:pPr>
      <w:r>
        <w:rPr>
          <w:rFonts w:ascii="仿宋_GB2312" w:eastAsia="仿宋_GB2312" w:hint="eastAsia"/>
          <w:b w:val="0"/>
          <w:bCs/>
          <w:sz w:val="30"/>
          <w:szCs w:val="30"/>
        </w:rPr>
        <w:t>2. 公务用车购置及运行维护费支出</w:t>
      </w:r>
      <w:r>
        <w:rPr>
          <w:rFonts w:ascii="仿宋_GB2312" w:eastAsia="仿宋_GB2312" w:hint="eastAsia"/>
          <w:b w:val="0"/>
          <w:bCs/>
          <w:sz w:val="30"/>
          <w:szCs w:val="30"/>
          <w:lang w:val="en-US" w:eastAsia="zh-CN"/>
        </w:rPr>
        <w:t>3.67</w:t>
      </w:r>
      <w:r>
        <w:rPr>
          <w:rFonts w:ascii="仿宋_GB2312" w:eastAsia="仿宋_GB2312" w:hint="eastAsia"/>
          <w:b w:val="0"/>
          <w:bCs/>
          <w:sz w:val="30"/>
          <w:szCs w:val="30"/>
        </w:rPr>
        <w:t>万元。其中：</w:t>
      </w:r>
    </w:p>
    <w:p>
      <w:pPr>
        <w:widowControl/>
        <w:snapToGrid w:val="0"/>
        <w:spacing w:before="100" w:after="100" w:line="360" w:lineRule="auto"/>
        <w:ind w:firstLine="600" w:firstLineChars="200"/>
        <w:jc w:val="left"/>
        <w:rPr>
          <w:rFonts w:ascii="仿宋_GB2312" w:eastAsia="仿宋_GB2312" w:hint="eastAsia"/>
          <w:b w:val="0"/>
          <w:bCs/>
          <w:sz w:val="30"/>
          <w:szCs w:val="30"/>
        </w:rPr>
      </w:pPr>
      <w:r>
        <w:rPr>
          <w:rFonts w:ascii="仿宋_GB2312" w:eastAsia="仿宋_GB2312" w:hint="eastAsia"/>
          <w:b w:val="0"/>
          <w:bCs/>
          <w:sz w:val="30"/>
          <w:szCs w:val="30"/>
        </w:rPr>
        <w:t>公务用车购置支出</w:t>
      </w:r>
      <w:r>
        <w:rPr>
          <w:rFonts w:ascii="仿宋_GB2312" w:eastAsia="仿宋_GB2312" w:hint="eastAsia"/>
          <w:b w:val="0"/>
          <w:bCs/>
          <w:sz w:val="30"/>
          <w:szCs w:val="30"/>
          <w:lang w:val="en-US" w:eastAsia="zh-CN"/>
        </w:rPr>
        <w:t>0</w:t>
      </w:r>
      <w:r>
        <w:rPr>
          <w:rFonts w:ascii="仿宋_GB2312" w:eastAsia="仿宋_GB2312" w:hint="eastAsia"/>
          <w:b w:val="0"/>
          <w:bCs/>
          <w:sz w:val="30"/>
          <w:szCs w:val="30"/>
        </w:rPr>
        <w:t>万元，购置车辆</w:t>
      </w:r>
      <w:r>
        <w:rPr>
          <w:rFonts w:ascii="仿宋_GB2312" w:eastAsia="仿宋_GB2312" w:hint="eastAsia"/>
          <w:b w:val="0"/>
          <w:bCs/>
          <w:sz w:val="30"/>
          <w:szCs w:val="30"/>
          <w:lang w:val="en-US" w:eastAsia="zh-CN"/>
        </w:rPr>
        <w:t>0</w:t>
      </w:r>
      <w:r>
        <w:rPr>
          <w:rFonts w:ascii="仿宋_GB2312" w:eastAsia="仿宋_GB2312" w:hint="eastAsia"/>
          <w:b w:val="0"/>
          <w:bCs/>
          <w:sz w:val="30"/>
          <w:szCs w:val="30"/>
        </w:rPr>
        <w:t>辆。</w:t>
      </w:r>
    </w:p>
    <w:p>
      <w:pPr>
        <w:widowControl/>
        <w:snapToGrid w:val="0"/>
        <w:spacing w:before="100" w:after="100" w:line="360" w:lineRule="auto"/>
        <w:ind w:firstLine="600" w:firstLineChars="200"/>
        <w:jc w:val="left"/>
        <w:rPr>
          <w:rFonts w:ascii="仿宋_GB2312" w:eastAsia="仿宋_GB2312" w:hint="eastAsia"/>
          <w:b w:val="0"/>
          <w:bCs/>
          <w:sz w:val="30"/>
          <w:szCs w:val="30"/>
        </w:rPr>
      </w:pPr>
      <w:r>
        <w:rPr>
          <w:rFonts w:ascii="仿宋_GB2312" w:eastAsia="仿宋_GB2312" w:hint="eastAsia"/>
          <w:b w:val="0"/>
          <w:bCs/>
          <w:sz w:val="30"/>
          <w:szCs w:val="30"/>
        </w:rPr>
        <w:t>公务用车运行维护支出</w:t>
      </w:r>
      <w:r>
        <w:rPr>
          <w:rFonts w:ascii="仿宋_GB2312" w:eastAsia="仿宋_GB2312" w:hint="eastAsia"/>
          <w:b w:val="0"/>
          <w:bCs/>
          <w:sz w:val="30"/>
          <w:szCs w:val="30"/>
          <w:lang w:val="en-US" w:eastAsia="zh-CN"/>
        </w:rPr>
        <w:t>3.67</w:t>
      </w:r>
      <w:r>
        <w:rPr>
          <w:rFonts w:ascii="仿宋_GB2312" w:eastAsia="仿宋_GB2312" w:hint="eastAsia"/>
          <w:b w:val="0"/>
          <w:bCs/>
          <w:sz w:val="30"/>
          <w:szCs w:val="30"/>
        </w:rPr>
        <w:t>万元，开支一般公共预算财政拨款的公务用车保有量为</w:t>
      </w:r>
      <w:r>
        <w:rPr>
          <w:rFonts w:ascii="仿宋_GB2312" w:eastAsia="仿宋_GB2312" w:hint="eastAsia"/>
          <w:b w:val="0"/>
          <w:bCs/>
          <w:sz w:val="30"/>
          <w:szCs w:val="30"/>
          <w:lang w:val="en-US" w:eastAsia="zh-CN"/>
        </w:rPr>
        <w:t>2</w:t>
      </w:r>
      <w:r>
        <w:rPr>
          <w:rFonts w:ascii="仿宋_GB2312" w:eastAsia="仿宋_GB2312" w:hint="eastAsia"/>
          <w:b w:val="0"/>
          <w:bCs/>
          <w:sz w:val="30"/>
          <w:szCs w:val="30"/>
        </w:rPr>
        <w:t>辆。主要用于</w:t>
      </w:r>
      <w:r>
        <w:rPr>
          <w:rFonts w:ascii="仿宋_GB2312" w:eastAsia="仿宋_GB2312" w:hint="eastAsia"/>
          <w:b w:val="0"/>
          <w:bCs/>
          <w:sz w:val="30"/>
          <w:szCs w:val="30"/>
          <w:lang w:eastAsia="zh-CN"/>
        </w:rPr>
        <w:t>单位</w:t>
      </w:r>
      <w:r>
        <w:rPr>
          <w:rFonts w:ascii="仿宋_GB2312" w:eastAsia="仿宋_GB2312" w:hint="eastAsia"/>
          <w:b w:val="0"/>
          <w:bCs/>
          <w:sz w:val="30"/>
          <w:szCs w:val="30"/>
        </w:rPr>
        <w:t>相关</w:t>
      </w:r>
      <w:r>
        <w:rPr>
          <w:rFonts w:ascii="仿宋_GB2312" w:eastAsia="仿宋_GB2312" w:hint="eastAsia"/>
          <w:b w:val="0"/>
          <w:bCs/>
          <w:sz w:val="30"/>
          <w:szCs w:val="30"/>
          <w:lang w:eastAsia="zh-CN"/>
        </w:rPr>
        <w:t>业务</w:t>
      </w:r>
      <w:r>
        <w:rPr>
          <w:rFonts w:ascii="仿宋_GB2312" w:eastAsia="仿宋_GB2312" w:hint="eastAsia"/>
          <w:b w:val="0"/>
          <w:bCs/>
          <w:sz w:val="30"/>
          <w:szCs w:val="30"/>
        </w:rPr>
        <w:t>工作范围所需车辆燃料费、维修费、过路过桥费、保险费等。</w:t>
      </w:r>
    </w:p>
    <w:p>
      <w:pPr>
        <w:widowControl/>
        <w:snapToGrid w:val="0"/>
        <w:spacing w:before="100" w:after="100" w:line="360" w:lineRule="auto"/>
        <w:ind w:firstLine="600" w:firstLineChars="200"/>
        <w:jc w:val="left"/>
        <w:rPr>
          <w:rFonts w:ascii="仿宋_GB2312" w:eastAsia="仿宋_GB2312" w:hint="eastAsia"/>
          <w:b w:val="0"/>
          <w:bCs/>
          <w:sz w:val="30"/>
          <w:szCs w:val="30"/>
        </w:rPr>
      </w:pPr>
      <w:r>
        <w:rPr>
          <w:rFonts w:ascii="仿宋_GB2312" w:eastAsia="仿宋_GB2312" w:hint="eastAsia"/>
          <w:b w:val="0"/>
          <w:bCs/>
          <w:sz w:val="30"/>
          <w:szCs w:val="30"/>
        </w:rPr>
        <w:t>3.公务接待费支出</w:t>
      </w:r>
      <w:r>
        <w:rPr>
          <w:rFonts w:ascii="仿宋_GB2312" w:eastAsia="仿宋_GB2312" w:hint="eastAsia"/>
          <w:b w:val="0"/>
          <w:bCs/>
          <w:sz w:val="30"/>
          <w:szCs w:val="30"/>
          <w:lang w:val="en-US" w:eastAsia="zh-CN"/>
        </w:rPr>
        <w:t>0.91</w:t>
      </w:r>
      <w:r>
        <w:rPr>
          <w:rFonts w:ascii="仿宋_GB2312" w:eastAsia="仿宋_GB2312" w:hint="eastAsia"/>
          <w:b w:val="0"/>
          <w:bCs/>
          <w:sz w:val="30"/>
          <w:szCs w:val="30"/>
        </w:rPr>
        <w:t>万元。其中：</w:t>
      </w:r>
    </w:p>
    <w:p>
      <w:pPr>
        <w:widowControl/>
        <w:snapToGrid w:val="0"/>
        <w:spacing w:before="100" w:after="100" w:line="360" w:lineRule="auto"/>
        <w:ind w:firstLine="600" w:firstLineChars="200"/>
        <w:jc w:val="left"/>
        <w:rPr>
          <w:rFonts w:ascii="仿宋_GB2312" w:eastAsia="仿宋_GB2312" w:hint="eastAsia"/>
          <w:b w:val="0"/>
          <w:bCs/>
          <w:sz w:val="30"/>
          <w:szCs w:val="30"/>
        </w:rPr>
      </w:pPr>
      <w:r>
        <w:rPr>
          <w:rFonts w:ascii="仿宋_GB2312" w:eastAsia="仿宋_GB2312" w:hint="eastAsia"/>
          <w:b w:val="0"/>
          <w:bCs/>
          <w:sz w:val="30"/>
          <w:szCs w:val="30"/>
        </w:rPr>
        <w:t>国内接待费支出</w:t>
      </w:r>
      <w:r>
        <w:rPr>
          <w:rFonts w:ascii="仿宋_GB2312" w:eastAsia="仿宋_GB2312" w:hint="eastAsia"/>
          <w:b w:val="0"/>
          <w:bCs/>
          <w:sz w:val="30"/>
          <w:szCs w:val="30"/>
          <w:lang w:val="en-US" w:eastAsia="zh-CN"/>
        </w:rPr>
        <w:t>0.91</w:t>
      </w:r>
      <w:r>
        <w:rPr>
          <w:rFonts w:ascii="仿宋_GB2312" w:eastAsia="仿宋_GB2312" w:hint="eastAsia"/>
          <w:b w:val="0"/>
          <w:bCs/>
          <w:sz w:val="30"/>
          <w:szCs w:val="30"/>
        </w:rPr>
        <w:t>万元（其中：外事接待费支出</w:t>
      </w:r>
      <w:r>
        <w:rPr>
          <w:rFonts w:ascii="仿宋_GB2312" w:eastAsia="仿宋_GB2312" w:hint="eastAsia"/>
          <w:b w:val="0"/>
          <w:bCs/>
          <w:sz w:val="30"/>
          <w:szCs w:val="30"/>
          <w:lang w:val="en-US" w:eastAsia="zh-CN"/>
        </w:rPr>
        <w:t>0</w:t>
      </w:r>
      <w:r>
        <w:rPr>
          <w:rFonts w:ascii="仿宋_GB2312" w:eastAsia="仿宋_GB2312" w:hint="eastAsia"/>
          <w:b w:val="0"/>
          <w:bCs/>
          <w:sz w:val="30"/>
          <w:szCs w:val="30"/>
        </w:rPr>
        <w:t>万元），共安排国内公务接待</w:t>
      </w:r>
      <w:r>
        <w:rPr>
          <w:rFonts w:ascii="仿宋_GB2312" w:eastAsia="仿宋_GB2312" w:hint="eastAsia"/>
          <w:b w:val="0"/>
          <w:bCs/>
          <w:sz w:val="30"/>
          <w:szCs w:val="30"/>
          <w:lang w:val="en-US" w:eastAsia="zh-CN"/>
        </w:rPr>
        <w:t>50</w:t>
      </w:r>
      <w:r>
        <w:rPr>
          <w:rFonts w:ascii="仿宋_GB2312" w:eastAsia="仿宋_GB2312" w:hint="eastAsia"/>
          <w:b w:val="0"/>
          <w:bCs/>
          <w:sz w:val="30"/>
          <w:szCs w:val="30"/>
        </w:rPr>
        <w:t>批次（其中：外事接待</w:t>
      </w:r>
      <w:r>
        <w:rPr>
          <w:rFonts w:ascii="仿宋_GB2312" w:eastAsia="仿宋_GB2312" w:hint="eastAsia"/>
          <w:b w:val="0"/>
          <w:bCs/>
          <w:sz w:val="30"/>
          <w:szCs w:val="30"/>
          <w:lang w:val="en-US" w:eastAsia="zh-CN"/>
        </w:rPr>
        <w:t>0</w:t>
      </w:r>
      <w:r>
        <w:rPr>
          <w:rFonts w:ascii="仿宋_GB2312" w:eastAsia="仿宋_GB2312" w:hint="eastAsia"/>
          <w:b w:val="0"/>
          <w:bCs/>
          <w:sz w:val="30"/>
          <w:szCs w:val="30"/>
        </w:rPr>
        <w:t>批次），接待人次</w:t>
      </w:r>
      <w:r>
        <w:rPr>
          <w:rFonts w:ascii="仿宋_GB2312" w:eastAsia="仿宋_GB2312" w:hint="eastAsia"/>
          <w:b w:val="0"/>
          <w:bCs/>
          <w:sz w:val="30"/>
          <w:szCs w:val="30"/>
          <w:lang w:val="en-US" w:eastAsia="zh-CN"/>
        </w:rPr>
        <w:t>229</w:t>
      </w:r>
      <w:r>
        <w:rPr>
          <w:rFonts w:ascii="仿宋_GB2312" w:eastAsia="仿宋_GB2312" w:hint="eastAsia"/>
          <w:b w:val="0"/>
          <w:bCs/>
          <w:sz w:val="30"/>
          <w:szCs w:val="30"/>
        </w:rPr>
        <w:t>人。主要用于相关</w:t>
      </w:r>
      <w:r>
        <w:rPr>
          <w:rFonts w:ascii="仿宋_GB2312" w:eastAsia="仿宋_GB2312" w:hint="eastAsia"/>
          <w:b w:val="0"/>
          <w:bCs/>
          <w:sz w:val="30"/>
          <w:szCs w:val="30"/>
          <w:lang w:eastAsia="zh-CN"/>
        </w:rPr>
        <w:t>单位业务</w:t>
      </w:r>
      <w:r>
        <w:rPr>
          <w:rFonts w:ascii="仿宋_GB2312" w:eastAsia="仿宋_GB2312" w:hint="eastAsia"/>
          <w:b w:val="0"/>
          <w:bCs/>
          <w:sz w:val="30"/>
          <w:szCs w:val="30"/>
        </w:rPr>
        <w:t>工作，产生的接待批次及人次等发生的接待支出。</w:t>
      </w:r>
    </w:p>
    <w:p>
      <w:pPr>
        <w:widowControl/>
        <w:snapToGrid w:val="0"/>
        <w:spacing w:before="100" w:after="100" w:line="360" w:lineRule="auto"/>
        <w:ind w:firstLine="600" w:firstLineChars="200"/>
        <w:jc w:val="left"/>
        <w:rPr>
          <w:rFonts w:ascii="仿宋_GB2312" w:eastAsia="仿宋_GB2312" w:hint="eastAsia"/>
          <w:b w:val="0"/>
          <w:bCs/>
          <w:sz w:val="30"/>
          <w:szCs w:val="30"/>
        </w:rPr>
      </w:pPr>
      <w:r>
        <w:rPr>
          <w:rFonts w:ascii="仿宋_GB2312" w:eastAsia="仿宋_GB2312" w:hint="eastAsia"/>
          <w:b w:val="0"/>
          <w:bCs/>
          <w:sz w:val="30"/>
          <w:szCs w:val="30"/>
        </w:rPr>
        <w:t>国（境）外接待费支出</w:t>
      </w:r>
      <w:r>
        <w:rPr>
          <w:rFonts w:ascii="仿宋_GB2312" w:eastAsia="仿宋_GB2312" w:hint="eastAsia"/>
          <w:b w:val="0"/>
          <w:bCs/>
          <w:sz w:val="30"/>
          <w:szCs w:val="30"/>
          <w:lang w:val="en-US" w:eastAsia="zh-CN"/>
        </w:rPr>
        <w:t>0</w:t>
      </w:r>
      <w:r>
        <w:rPr>
          <w:rFonts w:ascii="仿宋_GB2312" w:eastAsia="仿宋_GB2312" w:hint="eastAsia"/>
          <w:b w:val="0"/>
          <w:bCs/>
          <w:sz w:val="30"/>
          <w:szCs w:val="30"/>
        </w:rPr>
        <w:t>万元，共安排国（境）外公务接待</w:t>
      </w:r>
      <w:r>
        <w:rPr>
          <w:rFonts w:ascii="仿宋_GB2312" w:eastAsia="仿宋_GB2312" w:hint="eastAsia"/>
          <w:b w:val="0"/>
          <w:bCs/>
          <w:sz w:val="30"/>
          <w:szCs w:val="30"/>
          <w:lang w:val="en-US" w:eastAsia="zh-CN"/>
        </w:rPr>
        <w:t>0</w:t>
      </w:r>
      <w:r>
        <w:rPr>
          <w:rFonts w:ascii="仿宋_GB2312" w:eastAsia="仿宋_GB2312" w:hint="eastAsia"/>
          <w:b w:val="0"/>
          <w:bCs/>
          <w:sz w:val="30"/>
          <w:szCs w:val="30"/>
        </w:rPr>
        <w:t>批次，接待人次</w:t>
      </w:r>
      <w:r>
        <w:rPr>
          <w:rFonts w:ascii="仿宋_GB2312" w:eastAsia="仿宋_GB2312" w:hint="eastAsia"/>
          <w:b w:val="0"/>
          <w:bCs/>
          <w:sz w:val="30"/>
          <w:szCs w:val="30"/>
          <w:lang w:val="en-US" w:eastAsia="zh-CN"/>
        </w:rPr>
        <w:t>0</w:t>
      </w:r>
      <w:r>
        <w:rPr>
          <w:rFonts w:ascii="仿宋_GB2312" w:eastAsia="仿宋_GB2312" w:hint="eastAsia"/>
          <w:b w:val="0"/>
          <w:bCs/>
          <w:sz w:val="30"/>
          <w:szCs w:val="30"/>
        </w:rPr>
        <w:t>人。</w:t>
      </w:r>
      <w:r>
        <w:rPr>
          <w:rFonts w:ascii="仿宋_GB2312" w:eastAsia="仿宋_GB2312" w:hint="eastAsia"/>
          <w:b w:val="0"/>
          <w:bCs/>
          <w:sz w:val="30"/>
          <w:szCs w:val="30"/>
          <w:lang w:eastAsia="zh-CN"/>
        </w:rPr>
        <w:t>本单位不存在国境内公务接待</w:t>
      </w:r>
      <w:r>
        <w:rPr>
          <w:rFonts w:ascii="仿宋_GB2312" w:eastAsia="仿宋_GB2312" w:hint="eastAsia"/>
          <w:b w:val="0"/>
          <w:bCs/>
          <w:sz w:val="30"/>
          <w:szCs w:val="30"/>
        </w:rPr>
        <w:t>。</w:t>
      </w:r>
    </w:p>
    <w:p>
      <w:pPr>
        <w:widowControl/>
        <w:snapToGrid w:val="0"/>
        <w:spacing w:before="100" w:after="100" w:line="360" w:lineRule="auto"/>
        <w:ind w:firstLine="640" w:firstLineChars="200"/>
        <w:jc w:val="left"/>
        <w:rPr>
          <w:rFonts w:ascii="仿宋_GB2312" w:eastAsia="仿宋_GB2312" w:hint="eastAsia"/>
          <w:sz w:val="32"/>
          <w:szCs w:val="32"/>
        </w:rPr>
      </w:pPr>
      <w:r>
        <w:rPr>
          <w:rFonts w:ascii="黑体" w:eastAsia="黑体" w:hAnsi="黑体" w:cs="方正小标宋简体" w:hint="eastAsia"/>
          <w:sz w:val="32"/>
          <w:szCs w:val="32"/>
        </w:rPr>
        <w:t xml:space="preserve">第四部分  </w:t>
      </w:r>
      <w:r>
        <w:rPr>
          <w:rFonts w:ascii="黑体" w:eastAsia="黑体" w:hAnsi="黑体" w:hint="eastAsia"/>
          <w:sz w:val="32"/>
          <w:szCs w:val="32"/>
        </w:rPr>
        <w:t>其他重要事项及相关口径情况说明</w:t>
      </w:r>
    </w:p>
    <w:p>
      <w:pPr>
        <w:ind w:firstLine="600" w:firstLineChars="200"/>
        <w:jc w:val="left"/>
        <w:rPr>
          <w:rFonts w:ascii="黑体" w:eastAsia="黑体" w:hAnsi="黑体" w:cs="黑体" w:hint="eastAsia"/>
          <w:sz w:val="30"/>
          <w:szCs w:val="30"/>
        </w:rPr>
      </w:pPr>
      <w:r>
        <w:rPr>
          <w:rFonts w:ascii="黑体" w:eastAsia="黑体" w:hAnsi="黑体" w:cs="黑体" w:hint="eastAsia"/>
          <w:sz w:val="30"/>
          <w:szCs w:val="30"/>
        </w:rPr>
        <w:t>一</w:t>
      </w:r>
      <w:r>
        <w:rPr>
          <w:rFonts w:ascii="黑体" w:eastAsia="黑体" w:hAnsi="黑体" w:cs="黑体" w:hint="eastAsia"/>
          <w:sz w:val="30"/>
          <w:szCs w:val="30"/>
          <w:lang w:eastAsia="zh-CN"/>
        </w:rPr>
        <w:t>、</w:t>
      </w:r>
      <w:r>
        <w:rPr>
          <w:rFonts w:ascii="黑体" w:eastAsia="黑体" w:hAnsi="黑体" w:cs="黑体" w:hint="eastAsia"/>
          <w:sz w:val="30"/>
          <w:szCs w:val="30"/>
        </w:rPr>
        <w:t>机关运行经费支出情况</w:t>
      </w:r>
    </w:p>
    <w:p>
      <w:pPr>
        <w:widowControl/>
        <w:snapToGrid w:val="0"/>
        <w:spacing w:before="100" w:after="100" w:line="600" w:lineRule="exact"/>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eastAsia="zh-CN"/>
        </w:rPr>
        <w:t>西畴县国土资源局</w:t>
      </w:r>
      <w:r>
        <w:rPr>
          <w:rFonts w:ascii="仿宋_GB2312" w:eastAsia="仿宋_GB2312" w:hAnsi="黑体" w:cs="方正小标宋简体" w:hint="eastAsia"/>
          <w:sz w:val="30"/>
          <w:szCs w:val="30"/>
        </w:rPr>
        <w:t>年机关运行经费支出</w:t>
      </w:r>
      <w:r>
        <w:rPr>
          <w:rFonts w:ascii="仿宋_GB2312" w:eastAsia="仿宋_GB2312" w:hAnsi="黑体" w:cs="方正小标宋简体" w:hint="eastAsia"/>
          <w:sz w:val="30"/>
          <w:szCs w:val="30"/>
          <w:lang w:val="en-US" w:eastAsia="zh-CN"/>
        </w:rPr>
        <w:t>107.67</w:t>
      </w:r>
      <w:r>
        <w:rPr>
          <w:rFonts w:ascii="仿宋_GB2312" w:eastAsia="仿宋_GB2312" w:hAnsi="黑体" w:cs="方正小标宋简体" w:hint="eastAsia"/>
          <w:sz w:val="30"/>
          <w:szCs w:val="30"/>
        </w:rPr>
        <w:t>万元，与上年对比</w:t>
      </w:r>
      <w:r>
        <w:rPr>
          <w:rFonts w:ascii="仿宋_GB2312" w:eastAsia="仿宋_GB2312" w:hAnsi="黑体" w:cs="方正小标宋简体" w:hint="eastAsia"/>
          <w:sz w:val="30"/>
          <w:szCs w:val="30"/>
          <w:lang w:eastAsia="zh-CN"/>
        </w:rPr>
        <w:t>减少</w:t>
      </w:r>
      <w:r>
        <w:rPr>
          <w:rFonts w:ascii="仿宋_GB2312" w:eastAsia="仿宋_GB2312" w:hAnsi="黑体" w:cs="方正小标宋简体" w:hint="eastAsia"/>
          <w:sz w:val="30"/>
          <w:szCs w:val="30"/>
          <w:lang w:val="en-US" w:eastAsia="zh-CN"/>
        </w:rPr>
        <w:t>6.78万元</w:t>
      </w:r>
      <w:r>
        <w:rPr>
          <w:rFonts w:ascii="仿宋_GB2312" w:eastAsia="仿宋_GB2312" w:hAnsi="黑体" w:cs="方正小标宋简体" w:hint="eastAsia"/>
          <w:sz w:val="30"/>
          <w:szCs w:val="30"/>
        </w:rPr>
        <w:t>,主要原因分析</w:t>
      </w:r>
      <w:r>
        <w:rPr>
          <w:rFonts w:ascii="仿宋_GB2312" w:eastAsia="仿宋_GB2312" w:hAnsi="仿宋_GB2312" w:cs="仿宋_GB2312" w:hint="eastAsia"/>
          <w:kern w:val="0"/>
          <w:sz w:val="30"/>
          <w:szCs w:val="30"/>
          <w:lang w:eastAsia="zh-CN"/>
        </w:rPr>
        <w:t>严格执行中央八项规定厉行节约表开支</w:t>
      </w:r>
      <w:r>
        <w:rPr>
          <w:rFonts w:ascii="仿宋_GB2312" w:eastAsia="仿宋_GB2312" w:hAnsi="仿宋_GB2312" w:cs="仿宋_GB2312" w:hint="eastAsia"/>
          <w:kern w:val="0"/>
          <w:sz w:val="30"/>
          <w:szCs w:val="30"/>
        </w:rPr>
        <w:t>。</w:t>
      </w:r>
      <w:r>
        <w:rPr>
          <w:rFonts w:ascii="仿宋_GB2312" w:eastAsia="仿宋_GB2312" w:hAnsi="黑体" w:cs="方正小标宋简体" w:hint="eastAsia"/>
          <w:sz w:val="30"/>
          <w:szCs w:val="30"/>
        </w:rPr>
        <w:t>部门机关运行经费主要用于</w:t>
      </w:r>
      <w:r>
        <w:rPr>
          <w:rFonts w:ascii="仿宋_GB2312" w:eastAsia="仿宋_GB2312" w:hAnsi="黑体" w:cs="方正小标宋简体" w:hint="eastAsia"/>
          <w:sz w:val="30"/>
          <w:szCs w:val="30"/>
          <w:lang w:eastAsia="zh-CN"/>
        </w:rPr>
        <w:t>单位日常业务工作运转。</w:t>
      </w:r>
    </w:p>
    <w:p>
      <w:pPr>
        <w:widowControl/>
        <w:ind w:firstLine="600" w:firstLineChars="200"/>
        <w:rPr>
          <w:rFonts w:ascii="黑体" w:eastAsia="黑体" w:hAnsi="黑体" w:cs="黑体" w:hint="eastAsia"/>
          <w:color w:val="000000"/>
          <w:kern w:val="0"/>
          <w:sz w:val="30"/>
          <w:szCs w:val="30"/>
        </w:rPr>
      </w:pPr>
      <w:r>
        <w:rPr>
          <w:rFonts w:ascii="黑体" w:eastAsia="黑体" w:hAnsi="黑体" w:cs="黑体" w:hint="eastAsia"/>
          <w:color w:val="000000"/>
          <w:kern w:val="0"/>
          <w:sz w:val="30"/>
          <w:szCs w:val="30"/>
          <w:lang w:eastAsia="zh-CN"/>
        </w:rPr>
        <w:t>二、</w:t>
      </w:r>
      <w:r>
        <w:rPr>
          <w:rFonts w:ascii="黑体" w:eastAsia="黑体" w:hAnsi="黑体" w:cs="黑体" w:hint="eastAsia"/>
          <w:color w:val="000000"/>
          <w:kern w:val="0"/>
          <w:sz w:val="30"/>
          <w:szCs w:val="30"/>
        </w:rPr>
        <w:t>国有资产占用情况</w:t>
      </w:r>
    </w:p>
    <w:p>
      <w:pPr>
        <w:widowControl/>
        <w:ind w:firstLine="600" w:firstLineChars="200"/>
        <w:rPr>
          <w:rFonts w:ascii="宋体" w:hAnsi="宋体" w:cs="宋体"/>
          <w:color w:val="000000"/>
          <w:kern w:val="0"/>
          <w:sz w:val="30"/>
          <w:szCs w:val="30"/>
        </w:rPr>
      </w:pPr>
      <w:r>
        <w:rPr>
          <w:rFonts w:ascii="仿宋_GB2312" w:eastAsia="仿宋_GB2312" w:hAnsi="黑体" w:cs="方正小标宋简体" w:hint="eastAsia"/>
          <w:color w:val="000000"/>
          <w:kern w:val="0"/>
          <w:sz w:val="30"/>
          <w:szCs w:val="30"/>
        </w:rPr>
        <w:t>截至</w:t>
      </w:r>
      <w:r>
        <w:rPr>
          <w:rFonts w:ascii="仿宋_GB2312" w:eastAsia="仿宋_GB2312" w:hAnsi="黑体" w:cs="方正小标宋简体" w:hint="eastAsia"/>
          <w:color w:val="000000"/>
          <w:kern w:val="0"/>
          <w:sz w:val="30"/>
          <w:szCs w:val="30"/>
          <w:lang w:val="en-US" w:eastAsia="zh-CN"/>
        </w:rPr>
        <w:t>2018</w:t>
      </w:r>
      <w:r>
        <w:rPr>
          <w:rFonts w:ascii="仿宋_GB2312" w:eastAsia="仿宋_GB2312" w:hAnsi="黑体" w:cs="方正小标宋简体" w:hint="eastAsia"/>
          <w:color w:val="000000"/>
          <w:kern w:val="0"/>
          <w:sz w:val="30"/>
          <w:szCs w:val="30"/>
        </w:rPr>
        <w:t>年</w:t>
      </w:r>
      <w:r>
        <w:rPr>
          <w:rFonts w:ascii="仿宋_GB2312" w:eastAsia="仿宋_GB2312" w:hAnsi="黑体" w:cs="方正小标宋简体" w:hint="eastAsia"/>
          <w:color w:val="000000"/>
          <w:kern w:val="0"/>
          <w:sz w:val="30"/>
          <w:szCs w:val="30"/>
          <w:lang w:val="en-US" w:eastAsia="zh-CN"/>
        </w:rPr>
        <w:t>12</w:t>
      </w:r>
      <w:r>
        <w:rPr>
          <w:rFonts w:ascii="仿宋_GB2312" w:eastAsia="仿宋_GB2312" w:hAnsi="黑体" w:cs="方正小标宋简体" w:hint="eastAsia"/>
          <w:color w:val="000000"/>
          <w:kern w:val="0"/>
          <w:sz w:val="30"/>
          <w:szCs w:val="30"/>
        </w:rPr>
        <w:t>月</w:t>
      </w:r>
      <w:r>
        <w:rPr>
          <w:rFonts w:ascii="仿宋_GB2312" w:eastAsia="仿宋_GB2312" w:hAnsi="黑体" w:cs="方正小标宋简体" w:hint="eastAsia"/>
          <w:color w:val="000000"/>
          <w:kern w:val="0"/>
          <w:sz w:val="30"/>
          <w:szCs w:val="30"/>
          <w:lang w:val="en-US" w:eastAsia="zh-CN"/>
        </w:rPr>
        <w:t>31</w:t>
      </w:r>
      <w:r>
        <w:rPr>
          <w:rFonts w:ascii="仿宋_GB2312" w:eastAsia="仿宋_GB2312" w:hAnsi="黑体" w:cs="方正小标宋简体" w:hint="eastAsia"/>
          <w:color w:val="000000"/>
          <w:kern w:val="0"/>
          <w:sz w:val="30"/>
          <w:szCs w:val="30"/>
        </w:rPr>
        <w:t>日，</w:t>
      </w:r>
      <w:r>
        <w:rPr>
          <w:rFonts w:ascii="仿宋_GB2312" w:eastAsia="仿宋_GB2312" w:hAnsi="黑体" w:cs="方正小标宋简体" w:hint="eastAsia"/>
          <w:color w:val="000000"/>
          <w:kern w:val="0"/>
          <w:sz w:val="30"/>
          <w:szCs w:val="30"/>
          <w:lang w:eastAsia="zh-CN"/>
        </w:rPr>
        <w:t>西畴县国土资源局</w:t>
      </w:r>
      <w:r>
        <w:rPr>
          <w:rFonts w:ascii="仿宋_GB2312" w:eastAsia="仿宋_GB2312" w:hAnsi="黑体" w:cs="方正小标宋简体" w:hint="eastAsia"/>
          <w:color w:val="000000"/>
          <w:kern w:val="0"/>
          <w:sz w:val="30"/>
          <w:szCs w:val="30"/>
        </w:rPr>
        <w:t>资产总额</w:t>
      </w:r>
      <w:r>
        <w:rPr>
          <w:rFonts w:ascii="仿宋_GB2312" w:eastAsia="仿宋_GB2312" w:hAnsi="黑体" w:cs="方正小标宋简体" w:hint="eastAsia"/>
          <w:color w:val="000000"/>
          <w:kern w:val="0"/>
          <w:sz w:val="30"/>
          <w:szCs w:val="30"/>
          <w:lang w:val="en-US" w:eastAsia="zh-CN"/>
        </w:rPr>
        <w:t>9538.28</w:t>
      </w:r>
      <w:r>
        <w:rPr>
          <w:rFonts w:ascii="仿宋_GB2312" w:eastAsia="仿宋_GB2312" w:hAnsi="黑体" w:cs="方正小标宋简体" w:hint="eastAsia"/>
          <w:color w:val="000000"/>
          <w:kern w:val="0"/>
          <w:sz w:val="30"/>
          <w:szCs w:val="30"/>
        </w:rPr>
        <w:t>万元，其中，流动资产</w:t>
      </w:r>
      <w:r>
        <w:rPr>
          <w:rFonts w:ascii="仿宋_GB2312" w:eastAsia="仿宋_GB2312" w:hAnsi="黑体" w:cs="方正小标宋简体" w:hint="eastAsia"/>
          <w:color w:val="000000"/>
          <w:kern w:val="0"/>
          <w:sz w:val="30"/>
          <w:szCs w:val="30"/>
          <w:lang w:val="en-US" w:eastAsia="zh-CN"/>
        </w:rPr>
        <w:t>8790.82</w:t>
      </w:r>
      <w:r>
        <w:rPr>
          <w:rFonts w:ascii="仿宋_GB2312" w:eastAsia="仿宋_GB2312" w:hAnsi="黑体" w:cs="方正小标宋简体" w:hint="eastAsia"/>
          <w:color w:val="000000"/>
          <w:kern w:val="0"/>
          <w:sz w:val="30"/>
          <w:szCs w:val="30"/>
        </w:rPr>
        <w:t>万元，固定资产</w:t>
      </w:r>
      <w:r>
        <w:rPr>
          <w:rFonts w:ascii="仿宋_GB2312" w:eastAsia="仿宋_GB2312" w:hAnsi="黑体" w:cs="方正小标宋简体" w:hint="eastAsia"/>
          <w:color w:val="000000"/>
          <w:kern w:val="0"/>
          <w:sz w:val="30"/>
          <w:szCs w:val="30"/>
          <w:lang w:val="en-US" w:eastAsia="zh-CN"/>
        </w:rPr>
        <w:t>736.18</w:t>
      </w:r>
      <w:r>
        <w:rPr>
          <w:rFonts w:ascii="仿宋_GB2312" w:eastAsia="仿宋_GB2312" w:hAnsi="黑体" w:cs="方正小标宋简体" w:hint="eastAsia"/>
          <w:color w:val="000000"/>
          <w:kern w:val="0"/>
          <w:sz w:val="30"/>
          <w:szCs w:val="30"/>
        </w:rPr>
        <w:t>万元，对外投资及有价证券</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万元，在建工程</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万元，无形资产</w:t>
      </w:r>
      <w:r>
        <w:rPr>
          <w:rFonts w:ascii="仿宋_GB2312" w:eastAsia="仿宋_GB2312" w:hAnsi="黑体" w:cs="方正小标宋简体" w:hint="eastAsia"/>
          <w:color w:val="000000"/>
          <w:kern w:val="0"/>
          <w:sz w:val="30"/>
          <w:szCs w:val="30"/>
          <w:lang w:val="en-US" w:eastAsia="zh-CN"/>
        </w:rPr>
        <w:t>11.28</w:t>
      </w:r>
      <w:r>
        <w:rPr>
          <w:rFonts w:ascii="仿宋_GB2312" w:eastAsia="仿宋_GB2312" w:hAnsi="黑体" w:cs="方正小标宋简体" w:hint="eastAsia"/>
          <w:color w:val="000000"/>
          <w:kern w:val="0"/>
          <w:sz w:val="30"/>
          <w:szCs w:val="30"/>
        </w:rPr>
        <w:t>万元，其他资产</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万元。与上年相比，本年资产总额</w:t>
      </w:r>
      <w:r>
        <w:rPr>
          <w:rFonts w:ascii="仿宋_GB2312" w:eastAsia="仿宋_GB2312" w:hAnsi="黑体" w:cs="方正小标宋简体" w:hint="eastAsia"/>
          <w:color w:val="000000"/>
          <w:kern w:val="0"/>
          <w:sz w:val="30"/>
          <w:szCs w:val="30"/>
          <w:lang w:eastAsia="zh-CN"/>
        </w:rPr>
        <w:t>增加</w:t>
      </w:r>
      <w:r>
        <w:rPr>
          <w:rFonts w:ascii="仿宋_GB2312" w:eastAsia="仿宋_GB2312" w:hAnsi="黑体" w:cs="方正小标宋简体" w:hint="eastAsia"/>
          <w:color w:val="000000"/>
          <w:kern w:val="0"/>
          <w:sz w:val="30"/>
          <w:szCs w:val="30"/>
          <w:lang w:val="en-US" w:eastAsia="zh-CN"/>
        </w:rPr>
        <w:t>1995.82</w:t>
      </w:r>
      <w:r>
        <w:rPr>
          <w:rFonts w:ascii="仿宋_GB2312" w:eastAsia="仿宋_GB2312" w:hAnsi="黑体" w:cs="方正小标宋简体" w:hint="eastAsia"/>
          <w:color w:val="000000"/>
          <w:kern w:val="0"/>
          <w:sz w:val="30"/>
          <w:szCs w:val="30"/>
        </w:rPr>
        <w:t>万元，其中固定资产减少</w:t>
      </w:r>
      <w:r>
        <w:rPr>
          <w:rFonts w:ascii="仿宋_GB2312" w:eastAsia="仿宋_GB2312" w:hAnsi="黑体" w:cs="方正小标宋简体" w:hint="eastAsia"/>
          <w:color w:val="000000"/>
          <w:kern w:val="0"/>
          <w:sz w:val="30"/>
          <w:szCs w:val="30"/>
          <w:lang w:val="en-US" w:eastAsia="zh-CN"/>
        </w:rPr>
        <w:t>47.79</w:t>
      </w:r>
      <w:r>
        <w:rPr>
          <w:rFonts w:ascii="仿宋_GB2312" w:eastAsia="仿宋_GB2312" w:hAnsi="黑体" w:cs="方正小标宋简体" w:hint="eastAsia"/>
          <w:color w:val="000000"/>
          <w:kern w:val="0"/>
          <w:sz w:val="30"/>
          <w:szCs w:val="30"/>
        </w:rPr>
        <w:t>万元。处置房屋建筑物</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平方米，账面原值</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万元；处置车辆</w:t>
      </w:r>
      <w:r>
        <w:rPr>
          <w:rFonts w:ascii="仿宋_GB2312" w:eastAsia="仿宋_GB2312" w:hAnsi="黑体" w:cs="方正小标宋简体" w:hint="eastAsia"/>
          <w:color w:val="000000"/>
          <w:kern w:val="0"/>
          <w:sz w:val="30"/>
          <w:szCs w:val="30"/>
          <w:lang w:val="en-US" w:eastAsia="zh-CN"/>
        </w:rPr>
        <w:t>1</w:t>
      </w:r>
      <w:r>
        <w:rPr>
          <w:rFonts w:ascii="仿宋_GB2312" w:eastAsia="仿宋_GB2312" w:hAnsi="黑体" w:cs="方正小标宋简体" w:hint="eastAsia"/>
          <w:color w:val="000000"/>
          <w:kern w:val="0"/>
          <w:sz w:val="30"/>
          <w:szCs w:val="30"/>
        </w:rPr>
        <w:t>辆，账面原值</w:t>
      </w:r>
      <w:r>
        <w:rPr>
          <w:rFonts w:ascii="仿宋_GB2312" w:eastAsia="仿宋_GB2312" w:hAnsi="黑体" w:cs="方正小标宋简体" w:hint="eastAsia"/>
          <w:color w:val="000000"/>
          <w:kern w:val="0"/>
          <w:sz w:val="30"/>
          <w:szCs w:val="30"/>
          <w:lang w:val="en-US" w:eastAsia="zh-CN"/>
        </w:rPr>
        <w:t>45.41</w:t>
      </w:r>
      <w:r>
        <w:rPr>
          <w:rFonts w:ascii="仿宋_GB2312" w:eastAsia="仿宋_GB2312" w:hAnsi="黑体" w:cs="方正小标宋简体" w:hint="eastAsia"/>
          <w:color w:val="000000"/>
          <w:kern w:val="0"/>
          <w:sz w:val="30"/>
          <w:szCs w:val="30"/>
        </w:rPr>
        <w:t>万元；报废报损资产</w:t>
      </w:r>
      <w:r>
        <w:rPr>
          <w:rFonts w:ascii="仿宋_GB2312" w:eastAsia="仿宋_GB2312" w:hAnsi="黑体" w:cs="方正小标宋简体" w:hint="eastAsia"/>
          <w:color w:val="000000"/>
          <w:kern w:val="0"/>
          <w:sz w:val="30"/>
          <w:szCs w:val="30"/>
          <w:lang w:val="en-US" w:eastAsia="zh-CN"/>
        </w:rPr>
        <w:t>42</w:t>
      </w:r>
      <w:r>
        <w:rPr>
          <w:rFonts w:ascii="仿宋_GB2312" w:eastAsia="仿宋_GB2312" w:hAnsi="黑体" w:cs="方正小标宋简体" w:hint="eastAsia"/>
          <w:color w:val="000000"/>
          <w:kern w:val="0"/>
          <w:sz w:val="30"/>
          <w:szCs w:val="30"/>
        </w:rPr>
        <w:t>项，账面原值</w:t>
      </w:r>
      <w:r>
        <w:rPr>
          <w:rFonts w:ascii="仿宋_GB2312" w:eastAsia="仿宋_GB2312" w:hAnsi="黑体" w:cs="方正小标宋简体" w:hint="eastAsia"/>
          <w:color w:val="000000"/>
          <w:kern w:val="0"/>
          <w:sz w:val="30"/>
          <w:szCs w:val="30"/>
          <w:lang w:val="en-US" w:eastAsia="zh-CN"/>
        </w:rPr>
        <w:t>10.92</w:t>
      </w:r>
      <w:r>
        <w:rPr>
          <w:rFonts w:ascii="仿宋_GB2312" w:eastAsia="仿宋_GB2312" w:hAnsi="黑体" w:cs="方正小标宋简体" w:hint="eastAsia"/>
          <w:color w:val="000000"/>
          <w:kern w:val="0"/>
          <w:sz w:val="30"/>
          <w:szCs w:val="30"/>
        </w:rPr>
        <w:t>万元，实现资产处置收入</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万元；出租房屋</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平方米，账面原值</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万元，实现资产使用收入</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w:t>
      </w:r>
    </w:p>
    <w:tbl>
      <w:tblPr>
        <w:tblStyle w:val="TableNormal"/>
        <w:tblpPr w:leftFromText="180" w:rightFromText="180" w:topFromText="100" w:bottomFromText="100" w:vertAnchor="text" w:horzAnchor="page" w:tblpX="534" w:tblpY="490"/>
        <w:tblOverlap w:val="never"/>
        <w:tblW w:w="10770" w:type="dxa"/>
        <w:tblInd w:w="0" w:type="dxa"/>
        <w:tblLayout w:type="fixed"/>
        <w:tblCellMar>
          <w:top w:w="0" w:type="dxa"/>
          <w:left w:w="0" w:type="dxa"/>
          <w:bottom w:w="0" w:type="dxa"/>
          <w:right w:w="0" w:type="dxa"/>
        </w:tblCellMar>
      </w:tblPr>
      <w:tblGrid>
        <w:gridCol w:w="715"/>
        <w:gridCol w:w="546"/>
        <w:gridCol w:w="811"/>
        <w:gridCol w:w="750"/>
        <w:gridCol w:w="297"/>
        <w:gridCol w:w="725"/>
        <w:gridCol w:w="769"/>
        <w:gridCol w:w="67"/>
        <w:gridCol w:w="865"/>
        <w:gridCol w:w="331"/>
        <w:gridCol w:w="643"/>
        <w:gridCol w:w="196"/>
        <w:gridCol w:w="978"/>
        <w:gridCol w:w="979"/>
        <w:gridCol w:w="360"/>
        <w:gridCol w:w="618"/>
        <w:gridCol w:w="360"/>
        <w:gridCol w:w="142"/>
        <w:gridCol w:w="476"/>
        <w:gridCol w:w="142"/>
      </w:tblGrid>
      <w:tr>
        <w:tblPrEx>
          <w:tblW w:w="10770" w:type="dxa"/>
          <w:tblInd w:w="0" w:type="dxa"/>
          <w:tblLayout w:type="fixed"/>
          <w:tblCellMar>
            <w:top w:w="0" w:type="dxa"/>
            <w:left w:w="0" w:type="dxa"/>
            <w:bottom w:w="0" w:type="dxa"/>
            <w:right w:w="0" w:type="dxa"/>
          </w:tblCellMar>
        </w:tblPrEx>
        <w:trPr>
          <w:trHeight w:val="495"/>
        </w:trPr>
        <w:tc>
          <w:tcPr>
            <w:tcW w:w="10628" w:type="dxa"/>
            <w:gridSpan w:val="19"/>
            <w:tcBorders>
              <w:top w:val="nil"/>
              <w:left w:val="nil"/>
              <w:bottom w:val="nil"/>
              <w:right w:val="nil"/>
            </w:tcBorders>
            <w:shd w:val="clear" w:color="auto" w:fill="FFFFFF"/>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仿宋_GB2312" w:eastAsia="仿宋_GB2312" w:hAnsi="方正小标宋_GBK" w:cs="方正小标宋_GBK" w:hint="eastAsia"/>
                <w:b/>
                <w:color w:val="000000"/>
                <w:kern w:val="0"/>
                <w:sz w:val="30"/>
                <w:szCs w:val="30"/>
                <w:lang w:bidi="ar"/>
              </w:rPr>
              <w:t>国有资产占有使用情况表</w:t>
            </w:r>
          </w:p>
        </w:tc>
        <w:tc>
          <w:tcPr>
            <w:tcW w:w="142" w:type="dxa"/>
            <w:tcBorders>
              <w:top w:val="nil"/>
              <w:left w:val="nil"/>
              <w:bottom w:val="nil"/>
              <w:right w:val="nil"/>
            </w:tcBorders>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347"/>
        </w:trPr>
        <w:tc>
          <w:tcPr>
            <w:tcW w:w="4680" w:type="dxa"/>
            <w:gridSpan w:val="8"/>
            <w:tcBorders>
              <w:top w:val="nil"/>
              <w:left w:val="nil"/>
              <w:bottom w:val="single" w:sz="4" w:space="0" w:color="808080"/>
              <w:right w:val="nil"/>
            </w:tcBorders>
            <w:shd w:val="clear" w:color="auto" w:fill="FFFFFF"/>
            <w:tcMar>
              <w:top w:w="15" w:type="dxa"/>
              <w:left w:w="15" w:type="dxa"/>
              <w:bottom w:w="15" w:type="dxa"/>
              <w:right w:w="15" w:type="dxa"/>
            </w:tcMar>
            <w:vAlign w:val="center"/>
          </w:tcPr>
          <w:p>
            <w:pPr>
              <w:widowControl/>
              <w:jc w:val="left"/>
              <w:textAlignment w:val="center"/>
              <w:rPr>
                <w:rFonts w:ascii="宋体" w:hAnsi="宋体" w:cs="宋体"/>
                <w:color w:val="000000"/>
                <w:kern w:val="0"/>
                <w:sz w:val="24"/>
                <w:szCs w:val="24"/>
              </w:rPr>
            </w:pPr>
            <w:r>
              <w:rPr>
                <w:rFonts w:ascii="宋体" w:hAnsi="宋体" w:cs="宋体" w:hint="eastAsia"/>
                <w:color w:val="000000"/>
                <w:kern w:val="0"/>
                <w:sz w:val="20"/>
                <w:szCs w:val="20"/>
              </w:rPr>
              <w:t> </w:t>
            </w:r>
          </w:p>
        </w:tc>
        <w:tc>
          <w:tcPr>
            <w:tcW w:w="865" w:type="dxa"/>
            <w:tcBorders>
              <w:top w:val="nil"/>
              <w:left w:val="nil"/>
              <w:bottom w:val="single" w:sz="4" w:space="0" w:color="808080"/>
              <w:right w:val="nil"/>
            </w:tcBorders>
            <w:shd w:val="clear" w:color="auto" w:fill="FFFFFF"/>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ascii="宋体" w:hAnsi="宋体" w:cs="宋体" w:hint="eastAsia"/>
                <w:color w:val="000000"/>
                <w:kern w:val="0"/>
                <w:sz w:val="20"/>
                <w:szCs w:val="20"/>
              </w:rPr>
              <w:t> </w:t>
            </w:r>
          </w:p>
        </w:tc>
        <w:tc>
          <w:tcPr>
            <w:tcW w:w="974" w:type="dxa"/>
            <w:gridSpan w:val="2"/>
            <w:tcBorders>
              <w:top w:val="nil"/>
              <w:left w:val="nil"/>
              <w:bottom w:val="single" w:sz="4" w:space="0" w:color="808080"/>
              <w:right w:val="nil"/>
            </w:tcBorders>
            <w:shd w:val="clear" w:color="auto" w:fill="FFFFFF"/>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ascii="宋体" w:hAnsi="宋体" w:cs="宋体" w:hint="eastAsia"/>
                <w:color w:val="000000"/>
                <w:kern w:val="0"/>
                <w:sz w:val="20"/>
                <w:szCs w:val="20"/>
              </w:rPr>
              <w:t> </w:t>
            </w:r>
          </w:p>
        </w:tc>
        <w:tc>
          <w:tcPr>
            <w:tcW w:w="196" w:type="dxa"/>
            <w:tcBorders>
              <w:top w:val="nil"/>
              <w:left w:val="nil"/>
              <w:bottom w:val="single" w:sz="4" w:space="0" w:color="808080"/>
              <w:right w:val="nil"/>
            </w:tcBorders>
            <w:shd w:val="clear" w:color="auto" w:fill="FFFFFF"/>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ascii="宋体" w:hAnsi="宋体" w:cs="宋体" w:hint="eastAsia"/>
                <w:color w:val="000000"/>
                <w:kern w:val="0"/>
                <w:sz w:val="20"/>
                <w:szCs w:val="20"/>
              </w:rPr>
              <w:t> </w:t>
            </w:r>
          </w:p>
        </w:tc>
        <w:tc>
          <w:tcPr>
            <w:tcW w:w="978" w:type="dxa"/>
            <w:tcBorders>
              <w:top w:val="nil"/>
              <w:left w:val="nil"/>
              <w:bottom w:val="single" w:sz="4" w:space="0" w:color="808080"/>
              <w:right w:val="nil"/>
            </w:tcBorders>
            <w:shd w:val="clear" w:color="auto" w:fill="FFFFFF"/>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ascii="宋体" w:hAnsi="宋体" w:cs="宋体" w:hint="eastAsia"/>
                <w:color w:val="000000"/>
                <w:kern w:val="0"/>
                <w:sz w:val="20"/>
                <w:szCs w:val="20"/>
              </w:rPr>
              <w:t> </w:t>
            </w:r>
          </w:p>
        </w:tc>
        <w:tc>
          <w:tcPr>
            <w:tcW w:w="979" w:type="dxa"/>
            <w:tcBorders>
              <w:top w:val="nil"/>
              <w:left w:val="nil"/>
              <w:bottom w:val="single" w:sz="4" w:space="0" w:color="808080"/>
              <w:right w:val="nil"/>
            </w:tcBorders>
            <w:shd w:val="clear" w:color="auto" w:fill="FFFFFF"/>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ascii="宋体" w:hAnsi="宋体" w:cs="宋体" w:hint="eastAsia"/>
                <w:color w:val="000000"/>
                <w:kern w:val="0"/>
                <w:sz w:val="20"/>
                <w:szCs w:val="20"/>
              </w:rPr>
              <w:t> </w:t>
            </w:r>
          </w:p>
        </w:tc>
        <w:tc>
          <w:tcPr>
            <w:tcW w:w="1956" w:type="dxa"/>
            <w:gridSpan w:val="5"/>
            <w:tcBorders>
              <w:top w:val="nil"/>
              <w:left w:val="nil"/>
              <w:bottom w:val="single" w:sz="4" w:space="0" w:color="808080"/>
              <w:right w:val="nil"/>
            </w:tcBorders>
            <w:shd w:val="clear" w:color="auto" w:fill="FFFFFF"/>
            <w:tcMar>
              <w:top w:w="15" w:type="dxa"/>
              <w:left w:w="15" w:type="dxa"/>
              <w:bottom w:w="15" w:type="dxa"/>
              <w:right w:w="15" w:type="dxa"/>
            </w:tcMar>
            <w:vAlign w:val="center"/>
          </w:tcPr>
          <w:p>
            <w:pPr>
              <w:widowControl/>
              <w:jc w:val="right"/>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单位：万元</w:t>
            </w:r>
          </w:p>
        </w:tc>
        <w:tc>
          <w:tcPr>
            <w:tcW w:w="142" w:type="dxa"/>
            <w:tcBorders>
              <w:top w:val="nil"/>
              <w:left w:val="nil"/>
              <w:bottom w:val="nil"/>
              <w:right w:val="nil"/>
            </w:tcBorders>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415"/>
        </w:trPr>
        <w:tc>
          <w:tcPr>
            <w:tcW w:w="71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项目</w:t>
            </w:r>
          </w:p>
        </w:tc>
        <w:tc>
          <w:tcPr>
            <w:tcW w:w="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行次</w:t>
            </w:r>
          </w:p>
        </w:tc>
        <w:tc>
          <w:tcPr>
            <w:tcW w:w="8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资产总额</w:t>
            </w:r>
          </w:p>
        </w:tc>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流动资产</w:t>
            </w:r>
          </w:p>
        </w:tc>
        <w:tc>
          <w:tcPr>
            <w:tcW w:w="3893"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固定资产</w:t>
            </w:r>
          </w:p>
        </w:tc>
        <w:tc>
          <w:tcPr>
            <w:tcW w:w="97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对外投资/有价证券</w:t>
            </w:r>
          </w:p>
        </w:tc>
        <w:tc>
          <w:tcPr>
            <w:tcW w:w="9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在建工程</w:t>
            </w:r>
          </w:p>
        </w:tc>
        <w:tc>
          <w:tcPr>
            <w:tcW w:w="978" w:type="dxa"/>
            <w:gridSpan w:val="2"/>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无形资产</w:t>
            </w:r>
          </w:p>
        </w:tc>
        <w:tc>
          <w:tcPr>
            <w:tcW w:w="978" w:type="dxa"/>
            <w:gridSpan w:val="3"/>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其他资产</w:t>
            </w:r>
          </w:p>
        </w:tc>
        <w:tc>
          <w:tcPr>
            <w:tcW w:w="142" w:type="dxa"/>
            <w:tcBorders>
              <w:top w:val="nil"/>
              <w:left w:val="nil"/>
              <w:bottom w:val="nil"/>
              <w:right w:val="nil"/>
            </w:tcBorders>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345"/>
        </w:trPr>
        <w:tc>
          <w:tcPr>
            <w:tcW w:w="715"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546"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29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小计</w:t>
            </w:r>
          </w:p>
        </w:tc>
        <w:tc>
          <w:tcPr>
            <w:tcW w:w="72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房屋构筑物</w:t>
            </w:r>
          </w:p>
        </w:tc>
        <w:tc>
          <w:tcPr>
            <w:tcW w:w="76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车辆</w:t>
            </w:r>
          </w:p>
        </w:tc>
        <w:tc>
          <w:tcPr>
            <w:tcW w:w="1263"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单价200万以上大型设备</w:t>
            </w:r>
          </w:p>
        </w:tc>
        <w:tc>
          <w:tcPr>
            <w:tcW w:w="83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其他固定资产</w:t>
            </w:r>
          </w:p>
        </w:tc>
        <w:tc>
          <w:tcPr>
            <w:tcW w:w="978"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979"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978" w:type="dxa"/>
            <w:gridSpan w:val="2"/>
            <w:vMerge/>
            <w:tcBorders>
              <w:top w:val="nil"/>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978" w:type="dxa"/>
            <w:gridSpan w:val="3"/>
            <w:vMerge/>
            <w:tcBorders>
              <w:top w:val="nil"/>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395"/>
        </w:trPr>
        <w:tc>
          <w:tcPr>
            <w:tcW w:w="715"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546"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297"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725"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1263" w:type="dxa"/>
            <w:gridSpan w:val="3"/>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839" w:type="dxa"/>
            <w:gridSpan w:val="2"/>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978"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979"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978" w:type="dxa"/>
            <w:gridSpan w:val="2"/>
            <w:vMerge/>
            <w:tcBorders>
              <w:top w:val="nil"/>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978" w:type="dxa"/>
            <w:gridSpan w:val="3"/>
            <w:vMerge/>
            <w:tcBorders>
              <w:top w:val="nil"/>
              <w:left w:val="single" w:sz="4" w:space="0" w:color="000000"/>
              <w:bottom w:val="single" w:sz="4" w:space="0" w:color="000000"/>
              <w:right w:val="single" w:sz="4" w:space="0" w:color="000000"/>
            </w:tcBorders>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358"/>
        </w:trPr>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栏次</w:t>
            </w:r>
          </w:p>
        </w:tc>
        <w:tc>
          <w:tcPr>
            <w:tcW w:w="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ascii="宋体" w:hAnsi="宋体" w:cs="宋体" w:hint="eastAsia"/>
                <w:color w:val="000000"/>
                <w:kern w:val="0"/>
                <w:sz w:val="20"/>
                <w:szCs w:val="20"/>
              </w:rPr>
              <w:t> </w:t>
            </w:r>
          </w:p>
        </w:tc>
        <w:tc>
          <w:tcPr>
            <w:tcW w:w="8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1</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2</w:t>
            </w:r>
          </w:p>
        </w:tc>
        <w:tc>
          <w:tcPr>
            <w:tcW w:w="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3</w:t>
            </w:r>
          </w:p>
        </w:tc>
        <w:tc>
          <w:tcPr>
            <w:tcW w:w="7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4</w:t>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5</w:t>
            </w:r>
          </w:p>
        </w:tc>
        <w:tc>
          <w:tcPr>
            <w:tcW w:w="1263"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6</w:t>
            </w:r>
          </w:p>
        </w:tc>
        <w:tc>
          <w:tcPr>
            <w:tcW w:w="83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7</w:t>
            </w:r>
          </w:p>
        </w:tc>
        <w:tc>
          <w:tcPr>
            <w:tcW w:w="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8</w:t>
            </w:r>
          </w:p>
        </w:tc>
        <w:tc>
          <w:tcPr>
            <w:tcW w:w="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9</w:t>
            </w:r>
          </w:p>
        </w:tc>
        <w:tc>
          <w:tcPr>
            <w:tcW w:w="97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10</w:t>
            </w:r>
          </w:p>
        </w:tc>
        <w:tc>
          <w:tcPr>
            <w:tcW w:w="9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11</w:t>
            </w:r>
          </w:p>
        </w:tc>
        <w:tc>
          <w:tcPr>
            <w:tcW w:w="142" w:type="dxa"/>
            <w:tcBorders>
              <w:top w:val="nil"/>
              <w:left w:val="nil"/>
              <w:bottom w:val="nil"/>
              <w:right w:val="nil"/>
            </w:tcBorders>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563"/>
        </w:trPr>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合计</w:t>
            </w:r>
          </w:p>
        </w:tc>
        <w:tc>
          <w:tcPr>
            <w:tcW w:w="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1</w:t>
            </w:r>
          </w:p>
        </w:tc>
        <w:tc>
          <w:tcPr>
            <w:tcW w:w="8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0"/>
                <w:szCs w:val="20"/>
                <w:lang w:val="en-US" w:eastAsia="zh-CN"/>
              </w:rPr>
              <w:t>9538.28</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0"/>
                <w:szCs w:val="20"/>
                <w:lang w:val="en-US" w:eastAsia="zh-CN"/>
              </w:rPr>
              <w:t>8790.82</w:t>
            </w:r>
          </w:p>
        </w:tc>
        <w:tc>
          <w:tcPr>
            <w:tcW w:w="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rPr>
                <w:rFonts w:ascii="宋体" w:hAnsi="宋体" w:cs="宋体"/>
                <w:color w:val="000000"/>
                <w:kern w:val="0"/>
                <w:sz w:val="24"/>
                <w:szCs w:val="24"/>
              </w:rPr>
            </w:pPr>
          </w:p>
        </w:tc>
        <w:tc>
          <w:tcPr>
            <w:tcW w:w="7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0"/>
                <w:szCs w:val="20"/>
                <w:lang w:val="en-US" w:eastAsia="zh-CN"/>
              </w:rPr>
              <w:t>515.38</w:t>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0"/>
                <w:szCs w:val="20"/>
                <w:lang w:val="en-US" w:eastAsia="zh-CN"/>
              </w:rPr>
              <w:t>33.08</w:t>
            </w:r>
          </w:p>
        </w:tc>
        <w:tc>
          <w:tcPr>
            <w:tcW w:w="1263"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rPr>
                <w:rFonts w:ascii="宋体" w:hAnsi="宋体" w:cs="宋体"/>
                <w:color w:val="000000"/>
                <w:kern w:val="0"/>
                <w:sz w:val="24"/>
                <w:szCs w:val="24"/>
              </w:rPr>
            </w:pPr>
          </w:p>
        </w:tc>
        <w:tc>
          <w:tcPr>
            <w:tcW w:w="83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rPr>
                <w:rFonts w:ascii="宋体" w:hAnsi="宋体" w:cs="宋体"/>
                <w:color w:val="000000"/>
                <w:kern w:val="0"/>
                <w:sz w:val="24"/>
                <w:szCs w:val="24"/>
              </w:rPr>
            </w:pPr>
          </w:p>
        </w:tc>
        <w:tc>
          <w:tcPr>
            <w:tcW w:w="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rPr>
                <w:rFonts w:ascii="宋体" w:hAnsi="宋体" w:cs="宋体"/>
                <w:color w:val="000000"/>
                <w:kern w:val="0"/>
                <w:sz w:val="24"/>
                <w:szCs w:val="24"/>
              </w:rPr>
            </w:pPr>
          </w:p>
        </w:tc>
        <w:tc>
          <w:tcPr>
            <w:tcW w:w="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rPr>
                <w:rFonts w:ascii="宋体" w:hAnsi="宋体" w:cs="宋体"/>
                <w:color w:val="000000"/>
                <w:kern w:val="0"/>
                <w:sz w:val="24"/>
                <w:szCs w:val="24"/>
              </w:rPr>
            </w:pPr>
          </w:p>
        </w:tc>
        <w:tc>
          <w:tcPr>
            <w:tcW w:w="97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0"/>
                <w:szCs w:val="20"/>
                <w:lang w:val="en-US" w:eastAsia="zh-CN"/>
              </w:rPr>
              <w:t>18.38</w:t>
            </w:r>
          </w:p>
        </w:tc>
        <w:tc>
          <w:tcPr>
            <w:tcW w:w="9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jc w:val="center"/>
              <w:rPr>
                <w:rFonts w:ascii="宋体" w:hAnsi="宋体" w:cs="宋体"/>
                <w:color w:val="000000"/>
                <w:kern w:val="0"/>
                <w:sz w:val="24"/>
                <w:szCs w:val="24"/>
              </w:rPr>
            </w:pPr>
          </w:p>
        </w:tc>
        <w:tc>
          <w:tcPr>
            <w:tcW w:w="142" w:type="dxa"/>
            <w:tcBorders>
              <w:top w:val="nil"/>
              <w:left w:val="nil"/>
              <w:bottom w:val="nil"/>
              <w:right w:val="nil"/>
            </w:tcBorders>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gridAfter w:val="2"/>
          <w:wAfter w:w="618" w:type="dxa"/>
          <w:trHeight w:val="259"/>
        </w:trPr>
        <w:tc>
          <w:tcPr>
            <w:tcW w:w="8672" w:type="dxa"/>
            <w:gridSpan w:val="14"/>
            <w:tcBorders>
              <w:top w:val="nil"/>
              <w:left w:val="nil"/>
              <w:bottom w:val="nil"/>
              <w:right w:val="nil"/>
            </w:tcBorders>
            <w:tcMar>
              <w:top w:w="15" w:type="dxa"/>
              <w:left w:w="15" w:type="dxa"/>
              <w:bottom w:w="15" w:type="dxa"/>
              <w:right w:w="15" w:type="dxa"/>
            </w:tcMar>
            <w:vAlign w:val="bottom"/>
          </w:tcPr>
          <w:p>
            <w:pPr>
              <w:widowControl/>
              <w:rPr>
                <w:rFonts w:ascii="宋体" w:hAnsi="宋体" w:cs="宋体"/>
                <w:color w:val="000000"/>
                <w:kern w:val="0"/>
                <w:sz w:val="24"/>
                <w:szCs w:val="24"/>
              </w:rPr>
            </w:pPr>
          </w:p>
        </w:tc>
        <w:tc>
          <w:tcPr>
            <w:tcW w:w="360" w:type="dxa"/>
            <w:tcBorders>
              <w:top w:val="nil"/>
              <w:left w:val="nil"/>
              <w:bottom w:val="nil"/>
              <w:right w:val="nil"/>
            </w:tcBorders>
            <w:tcMar>
              <w:top w:w="15" w:type="dxa"/>
              <w:left w:w="15" w:type="dxa"/>
              <w:bottom w:w="15" w:type="dxa"/>
              <w:right w:w="15" w:type="dxa"/>
            </w:tcMar>
            <w:vAlign w:val="bottom"/>
          </w:tcPr>
          <w:p>
            <w:pPr>
              <w:widowControl/>
              <w:rPr>
                <w:rFonts w:ascii="宋体" w:hAnsi="宋体" w:cs="宋体"/>
                <w:color w:val="000000"/>
                <w:kern w:val="0"/>
                <w:sz w:val="20"/>
                <w:lang w:bidi="ar"/>
              </w:rPr>
            </w:pPr>
          </w:p>
        </w:tc>
        <w:tc>
          <w:tcPr>
            <w:tcW w:w="978" w:type="dxa"/>
            <w:gridSpan w:val="2"/>
            <w:tcBorders>
              <w:top w:val="nil"/>
              <w:left w:val="nil"/>
              <w:bottom w:val="nil"/>
              <w:right w:val="nil"/>
            </w:tcBorders>
            <w:tcMar>
              <w:top w:w="15" w:type="dxa"/>
              <w:left w:w="15" w:type="dxa"/>
              <w:bottom w:w="15" w:type="dxa"/>
              <w:right w:w="15" w:type="dxa"/>
            </w:tcMar>
            <w:vAlign w:val="bottom"/>
          </w:tcPr>
          <w:p>
            <w:pPr>
              <w:widowControl/>
              <w:jc w:val="left"/>
              <w:rPr>
                <w:rFonts w:ascii="宋体" w:hAnsi="宋体" w:cs="宋体"/>
                <w:color w:val="000000"/>
                <w:kern w:val="0"/>
                <w:sz w:val="24"/>
                <w:szCs w:val="24"/>
              </w:rPr>
            </w:pPr>
          </w:p>
        </w:tc>
        <w:tc>
          <w:tcPr>
            <w:tcW w:w="142" w:type="dxa"/>
            <w:tcBorders>
              <w:top w:val="nil"/>
              <w:left w:val="nil"/>
              <w:bottom w:val="nil"/>
              <w:right w:val="nil"/>
            </w:tcBorders>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495"/>
        </w:trPr>
        <w:tc>
          <w:tcPr>
            <w:tcW w:w="9650" w:type="dxa"/>
            <w:gridSpan w:val="16"/>
            <w:tcBorders>
              <w:top w:val="nil"/>
              <w:left w:val="nil"/>
              <w:bottom w:val="nil"/>
              <w:right w:val="nil"/>
            </w:tcBorders>
            <w:tcMar>
              <w:top w:w="15" w:type="dxa"/>
              <w:left w:w="15" w:type="dxa"/>
              <w:bottom w:w="15" w:type="dxa"/>
              <w:right w:w="15" w:type="dxa"/>
            </w:tcMar>
            <w:vAlign w:val="bottom"/>
          </w:tcPr>
          <w:p>
            <w:pPr>
              <w:widowControl/>
              <w:rPr>
                <w:rFonts w:ascii="宋体" w:hAnsi="宋体" w:cs="宋体" w:hint="eastAsia"/>
                <w:color w:val="000000"/>
                <w:kern w:val="0"/>
                <w:sz w:val="20"/>
                <w:szCs w:val="20"/>
              </w:rPr>
            </w:pPr>
            <w:r>
              <w:rPr>
                <w:rFonts w:ascii="宋体" w:hAnsi="宋体" w:cs="宋体" w:hint="eastAsia"/>
                <w:color w:val="000000"/>
                <w:kern w:val="0"/>
                <w:sz w:val="20"/>
                <w:szCs w:val="20"/>
              </w:rPr>
              <w:t>填报说明：1.资产总额＝流动资产＋固定资产＋对外投资／有价证券＋在建工程＋无形资产＋其他资产</w:t>
            </w:r>
          </w:p>
          <w:p>
            <w:pPr>
              <w:widowControl/>
              <w:rPr>
                <w:rFonts w:ascii="宋体" w:hAnsi="宋体" w:cs="宋体"/>
                <w:color w:val="000000"/>
                <w:kern w:val="0"/>
                <w:sz w:val="20"/>
                <w:szCs w:val="20"/>
              </w:rPr>
            </w:pPr>
            <w:r>
              <w:rPr>
                <w:rFonts w:ascii="宋体" w:hAnsi="宋体" w:cs="宋体" w:hint="eastAsia"/>
                <w:color w:val="000000"/>
                <w:kern w:val="0"/>
                <w:sz w:val="20"/>
                <w:szCs w:val="20"/>
              </w:rPr>
              <w:t>2.固定资产＝房屋构筑物＋车辆＋单价200万元以上大型设备＋其他固定资产</w:t>
            </w:r>
          </w:p>
        </w:tc>
        <w:tc>
          <w:tcPr>
            <w:tcW w:w="978" w:type="dxa"/>
            <w:gridSpan w:val="3"/>
            <w:tcBorders>
              <w:top w:val="nil"/>
              <w:left w:val="nil"/>
              <w:bottom w:val="nil"/>
              <w:right w:val="nil"/>
            </w:tcBorders>
            <w:tcMar>
              <w:top w:w="15" w:type="dxa"/>
              <w:left w:w="15" w:type="dxa"/>
              <w:bottom w:w="15" w:type="dxa"/>
              <w:right w:w="15" w:type="dxa"/>
            </w:tcMar>
            <w:vAlign w:val="bottom"/>
          </w:tcPr>
          <w:p>
            <w:pPr>
              <w:widowControl/>
              <w:jc w:val="left"/>
              <w:rPr>
                <w:rFonts w:ascii="宋体" w:hAnsi="宋体" w:cs="宋体"/>
                <w:color w:val="000000"/>
                <w:kern w:val="0"/>
                <w:sz w:val="24"/>
                <w:szCs w:val="24"/>
              </w:rPr>
            </w:pPr>
            <w:r>
              <w:rPr>
                <w:rFonts w:ascii="Arial" w:hAnsi="Arial" w:cs="Arial"/>
                <w:color w:val="000000"/>
                <w:kern w:val="0"/>
                <w:sz w:val="20"/>
                <w:szCs w:val="20"/>
              </w:rPr>
              <w:t> </w:t>
            </w:r>
          </w:p>
        </w:tc>
        <w:tc>
          <w:tcPr>
            <w:tcW w:w="142" w:type="dxa"/>
            <w:vAlign w:val="center"/>
          </w:tcPr>
          <w:p>
            <w:pPr>
              <w:widowControl/>
              <w:jc w:val="left"/>
              <w:rPr>
                <w:rFonts w:ascii="Times New Roman" w:eastAsia="Times New Roman" w:hAnsi="Times New Roman"/>
                <w:kern w:val="0"/>
                <w:sz w:val="20"/>
                <w:szCs w:val="20"/>
              </w:rPr>
            </w:pPr>
          </w:p>
        </w:tc>
      </w:tr>
    </w:tbl>
    <w:p>
      <w:pPr>
        <w:ind w:firstLine="600" w:firstLineChars="200"/>
        <w:jc w:val="left"/>
        <w:rPr>
          <w:rFonts w:ascii="黑体" w:eastAsia="黑体" w:hAnsi="黑体" w:cs="黑体" w:hint="eastAsia"/>
          <w:sz w:val="30"/>
          <w:szCs w:val="30"/>
        </w:rPr>
      </w:pPr>
      <w:r>
        <w:rPr>
          <w:rFonts w:ascii="黑体" w:eastAsia="黑体" w:hAnsi="黑体" w:cs="黑体" w:hint="eastAsia"/>
          <w:sz w:val="30"/>
          <w:szCs w:val="30"/>
          <w:lang w:eastAsia="zh-CN"/>
        </w:rPr>
        <w:t>三、</w:t>
      </w:r>
      <w:r>
        <w:rPr>
          <w:rFonts w:ascii="黑体" w:eastAsia="黑体" w:hAnsi="黑体" w:cs="黑体" w:hint="eastAsia"/>
          <w:sz w:val="30"/>
          <w:szCs w:val="30"/>
        </w:rPr>
        <w:t>政府采购支出情况</w:t>
      </w:r>
    </w:p>
    <w:p>
      <w:pPr>
        <w:ind w:firstLine="600" w:firstLineChars="200"/>
        <w:rPr>
          <w:rFonts w:ascii="仿宋_GB2312" w:eastAsia="仿宋_GB2312" w:hAnsi="仿宋_GB2312" w:cs="仿宋_GB2312" w:hint="eastAsia"/>
          <w:sz w:val="30"/>
          <w:szCs w:val="30"/>
          <w:lang w:val="en-US" w:eastAsia="zh-CN"/>
        </w:rPr>
      </w:pPr>
      <w:r>
        <w:rPr>
          <w:rFonts w:ascii="仿宋_GB2312" w:eastAsia="仿宋_GB2312" w:hAnsi="仿宋_GB2312" w:cs="仿宋_GB2312" w:hint="eastAsia"/>
          <w:sz w:val="30"/>
          <w:szCs w:val="30"/>
          <w:lang w:val="en-US" w:eastAsia="zh-CN"/>
        </w:rPr>
        <w:t>2018年度，部门政府采购支出总额8.79万元，其中：政府采购货物支出8.79万元；政府采购工程支出0万元；政府采购服务支出0万元。授予中小企业合同金额0万元，占政府采购支出总额的0%。</w:t>
      </w:r>
    </w:p>
    <w:p>
      <w:pPr>
        <w:ind w:firstLine="600" w:firstLineChars="200"/>
        <w:jc w:val="left"/>
        <w:rPr>
          <w:rFonts w:ascii="黑体" w:eastAsia="黑体" w:hAnsi="黑体" w:cs="黑体" w:hint="eastAsia"/>
          <w:sz w:val="30"/>
          <w:szCs w:val="30"/>
          <w:lang w:val="en-US" w:eastAsia="zh-CN"/>
        </w:rPr>
      </w:pPr>
      <w:r>
        <w:rPr>
          <w:rFonts w:ascii="黑体" w:eastAsia="黑体" w:hAnsi="黑体" w:cs="黑体" w:hint="eastAsia"/>
          <w:sz w:val="30"/>
          <w:szCs w:val="30"/>
          <w:lang w:val="en-US" w:eastAsia="zh-CN"/>
        </w:rPr>
        <w:t>四、部门绩效自评情况</w:t>
      </w:r>
    </w:p>
    <w:p>
      <w:pPr>
        <w:pStyle w:val="ListParagraph"/>
        <w:keepNext w:val="0"/>
        <w:keepLines w:val="0"/>
        <w:pageBreakBefore w:val="0"/>
        <w:kinsoku/>
        <w:wordWrap/>
        <w:overflowPunct/>
        <w:topLinePunct w:val="0"/>
        <w:autoSpaceDE w:val="0"/>
        <w:autoSpaceDN w:val="0"/>
        <w:bidi w:val="0"/>
        <w:adjustRightInd/>
        <w:snapToGrid/>
        <w:spacing w:line="680" w:lineRule="exact"/>
        <w:ind w:left="420" w:right="0" w:firstLine="0" w:rightChars="0" w:firstLineChars="0"/>
        <w:jc w:val="both"/>
        <w:textAlignment w:val="auto"/>
        <w:outlineLvl w:val="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一</w:t>
      </w:r>
      <w:r>
        <w:rPr>
          <w:rFonts w:ascii="仿宋_GB2312" w:eastAsia="仿宋_GB2312" w:hAnsi="仿宋_GB2312" w:cs="仿宋_GB2312" w:hint="eastAsia"/>
          <w:sz w:val="32"/>
          <w:szCs w:val="32"/>
        </w:rPr>
        <w:t>）自评组织过程</w:t>
      </w:r>
    </w:p>
    <w:p>
      <w:pPr>
        <w:keepNext w:val="0"/>
        <w:keepLines w:val="0"/>
        <w:pageBreakBefore w:val="0"/>
        <w:kinsoku/>
        <w:wordWrap/>
        <w:overflowPunct/>
        <w:topLinePunct w:val="0"/>
        <w:autoSpaceDE w:val="0"/>
        <w:autoSpaceDN w:val="0"/>
        <w:bidi w:val="0"/>
        <w:adjustRightInd/>
        <w:snapToGrid/>
        <w:spacing w:line="680" w:lineRule="exact"/>
        <w:ind w:right="0" w:firstLine="640" w:rightChars="0" w:firstLineChars="200"/>
        <w:jc w:val="both"/>
        <w:textAlignment w:val="auto"/>
        <w:outlineLvl w:val="9"/>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rPr>
        <w:t>1.前期准备。一是制定了单位年初计划，要求各部门按照</w:t>
      </w:r>
      <w:r>
        <w:rPr>
          <w:rFonts w:ascii="仿宋_GB2312" w:eastAsia="仿宋_GB2312" w:hAnsi="仿宋_GB2312" w:cs="仿宋_GB2312" w:hint="eastAsia"/>
          <w:sz w:val="32"/>
          <w:szCs w:val="32"/>
          <w:lang w:eastAsia="zh-CN"/>
        </w:rPr>
        <w:t>年内工作任务要</w:t>
      </w:r>
      <w:r>
        <w:rPr>
          <w:rFonts w:ascii="仿宋_GB2312" w:eastAsia="仿宋_GB2312" w:hAnsi="仿宋_GB2312" w:cs="仿宋_GB2312" w:hint="eastAsia"/>
          <w:sz w:val="32"/>
          <w:szCs w:val="32"/>
        </w:rPr>
        <w:t>求，编制预算；二是按财政部门要求编制年初预算</w:t>
      </w:r>
      <w:r>
        <w:rPr>
          <w:rFonts w:ascii="仿宋_GB2312" w:eastAsia="仿宋_GB2312" w:hAnsi="仿宋_GB2312" w:cs="仿宋_GB2312" w:hint="eastAsia"/>
          <w:sz w:val="32"/>
          <w:szCs w:val="32"/>
          <w:lang w:eastAsia="zh-CN"/>
        </w:rPr>
        <w:t>。</w:t>
      </w:r>
    </w:p>
    <w:p>
      <w:pPr>
        <w:keepNext w:val="0"/>
        <w:keepLines w:val="0"/>
        <w:pageBreakBefore w:val="0"/>
        <w:kinsoku/>
        <w:wordWrap/>
        <w:overflowPunct/>
        <w:topLinePunct w:val="0"/>
        <w:autoSpaceDE w:val="0"/>
        <w:autoSpaceDN w:val="0"/>
        <w:bidi w:val="0"/>
        <w:adjustRightInd/>
        <w:snapToGrid/>
        <w:spacing w:line="680" w:lineRule="exact"/>
        <w:ind w:right="0" w:firstLine="640" w:rightChars="0" w:firstLineChars="200"/>
        <w:jc w:val="both"/>
        <w:textAlignment w:val="auto"/>
        <w:outlineLvl w:val="9"/>
        <w:rPr>
          <w:rFonts w:ascii="仿宋_GB2312" w:eastAsia="仿宋_GB2312" w:hAnsi="仿宋_GB2312" w:cs="仿宋_GB2312" w:hint="eastAsia"/>
          <w:kern w:val="2"/>
          <w:sz w:val="32"/>
          <w:szCs w:val="32"/>
          <w:lang w:val="en-US" w:eastAsia="zh-CN" w:bidi="ar-SA"/>
        </w:rPr>
      </w:pPr>
      <w:r>
        <w:rPr>
          <w:rFonts w:ascii="仿宋_GB2312" w:eastAsia="仿宋_GB2312" w:hAnsi="仿宋_GB2312" w:cs="仿宋_GB2312" w:hint="eastAsia"/>
          <w:sz w:val="32"/>
          <w:szCs w:val="32"/>
        </w:rPr>
        <w:t>2.组织实施</w:t>
      </w:r>
      <w:r>
        <w:rPr>
          <w:rFonts w:ascii="仿宋_GB2312" w:eastAsia="仿宋_GB2312" w:hAnsi="仿宋_GB2312" w:cs="仿宋_GB2312" w:hint="eastAsia"/>
          <w:sz w:val="32"/>
          <w:szCs w:val="32"/>
          <w:lang w:eastAsia="zh-CN"/>
        </w:rPr>
        <w:t>。各项目实施部门按照年初制定的目标和项目实施方案，签订项目施工合同，具体情况总结由负责项目的部门汇总上报。</w:t>
      </w:r>
      <w:r>
        <w:rPr>
          <w:rFonts w:ascii="仿宋_GB2312" w:eastAsia="仿宋_GB2312" w:hAnsi="仿宋_GB2312" w:cs="仿宋_GB2312" w:hint="eastAsia"/>
          <w:kern w:val="2"/>
          <w:sz w:val="32"/>
          <w:szCs w:val="32"/>
          <w:lang w:val="en-US" w:eastAsia="zh-CN" w:bidi="ar-SA"/>
        </w:rPr>
        <w:t>2018年西畴县国土资源局按照年初预算的目标，基本完成了相关项目。土地整治项目因涉及项目资金大，工程施工时间跨度过长，收尾工作资料面广，当年完成存在一定难度，无法按时完成，需跨年继续开展工作。</w:t>
      </w:r>
    </w:p>
    <w:p>
      <w:pPr>
        <w:pStyle w:val="ListParagraph"/>
        <w:keepNext w:val="0"/>
        <w:keepLines w:val="0"/>
        <w:pageBreakBefore w:val="0"/>
        <w:kinsoku/>
        <w:wordWrap/>
        <w:overflowPunct/>
        <w:topLinePunct w:val="0"/>
        <w:autoSpaceDE w:val="0"/>
        <w:autoSpaceDN w:val="0"/>
        <w:bidi w:val="0"/>
        <w:adjustRightInd/>
        <w:snapToGrid/>
        <w:spacing w:line="680" w:lineRule="exact"/>
        <w:ind w:right="0" w:rightChars="0"/>
        <w:jc w:val="both"/>
        <w:textAlignment w:val="auto"/>
        <w:outlineLvl w:val="9"/>
        <w:rPr>
          <w:rFonts w:ascii="仿宋_GB2312" w:eastAsia="仿宋_GB2312" w:hAnsi="仿宋_GB2312" w:cs="仿宋_GB2312" w:hint="eastAsia"/>
          <w:b w:val="0"/>
          <w:bCs w:val="0"/>
          <w:sz w:val="32"/>
          <w:szCs w:val="32"/>
        </w:rPr>
      </w:pPr>
      <w:r>
        <w:rPr>
          <w:rFonts w:ascii="仿宋_GB2312" w:eastAsia="仿宋_GB2312" w:hAnsi="仿宋_GB2312" w:cs="仿宋_GB2312" w:hint="eastAsia"/>
          <w:b w:val="0"/>
          <w:bCs w:val="0"/>
          <w:sz w:val="32"/>
          <w:szCs w:val="32"/>
          <w:lang w:eastAsia="zh-CN"/>
        </w:rPr>
        <w:t>（二）</w:t>
      </w:r>
      <w:r>
        <w:rPr>
          <w:rFonts w:ascii="仿宋_GB2312" w:eastAsia="仿宋_GB2312" w:hAnsi="仿宋_GB2312" w:cs="仿宋_GB2312" w:hint="eastAsia"/>
          <w:b w:val="0"/>
          <w:bCs w:val="0"/>
          <w:sz w:val="32"/>
          <w:szCs w:val="32"/>
        </w:rPr>
        <w:t>存在的问题和整改情况</w:t>
      </w:r>
    </w:p>
    <w:p>
      <w:pPr>
        <w:keepNext w:val="0"/>
        <w:keepLines w:val="0"/>
        <w:pageBreakBefore w:val="0"/>
        <w:kinsoku/>
        <w:wordWrap/>
        <w:overflowPunct/>
        <w:topLinePunct w:val="0"/>
        <w:autoSpaceDE w:val="0"/>
        <w:autoSpaceDN w:val="0"/>
        <w:bidi w:val="0"/>
        <w:adjustRightInd/>
        <w:snapToGrid/>
        <w:spacing w:line="680" w:lineRule="exact"/>
        <w:ind w:right="0" w:firstLine="640" w:rightChars="0"/>
        <w:jc w:val="both"/>
        <w:textAlignment w:val="auto"/>
        <w:outlineLvl w:val="9"/>
        <w:rPr>
          <w:rFonts w:ascii="仿宋_GB2312" w:eastAsia="仿宋_GB2312" w:hAnsi="仿宋_GB2312" w:cs="仿宋_GB2312" w:hint="eastAsia"/>
          <w:kern w:val="2"/>
          <w:sz w:val="32"/>
          <w:szCs w:val="32"/>
          <w:lang w:val="en-US" w:eastAsia="zh-CN" w:bidi="ar-SA"/>
        </w:rPr>
      </w:pPr>
      <w:r>
        <w:rPr>
          <w:rFonts w:ascii="仿宋_GB2312" w:eastAsia="仿宋_GB2312" w:hAnsi="仿宋_GB2312" w:cs="仿宋_GB2312" w:hint="eastAsia"/>
          <w:kern w:val="2"/>
          <w:sz w:val="32"/>
          <w:szCs w:val="32"/>
          <w:lang w:val="en-US" w:eastAsia="zh-CN" w:bidi="ar-SA"/>
        </w:rPr>
        <w:t>由于绩效自评是一项开展不久的工作任务，项目支出运行实践经验还欠缺，相关制度建设与执行还有待进一步加强。存在的问题：一是部分项目预算执行进度缓慢；二是部分项目资金到位时间较晚，无法提前开展工作。</w:t>
      </w:r>
    </w:p>
    <w:p>
      <w:pPr>
        <w:keepNext w:val="0"/>
        <w:keepLines w:val="0"/>
        <w:pageBreakBefore w:val="0"/>
        <w:kinsoku/>
        <w:wordWrap/>
        <w:overflowPunct/>
        <w:topLinePunct w:val="0"/>
        <w:autoSpaceDE w:val="0"/>
        <w:autoSpaceDN w:val="0"/>
        <w:bidi w:val="0"/>
        <w:adjustRightInd/>
        <w:snapToGrid/>
        <w:spacing w:line="680" w:lineRule="exact"/>
        <w:ind w:right="0" w:firstLine="640" w:rightChars="0"/>
        <w:jc w:val="both"/>
        <w:textAlignment w:val="auto"/>
        <w:outlineLvl w:val="9"/>
        <w:rPr>
          <w:rFonts w:ascii="仿宋_GB2312" w:eastAsia="仿宋_GB2312" w:hAnsi="仿宋_GB2312" w:cs="仿宋_GB2312" w:hint="eastAsia"/>
          <w:kern w:val="2"/>
          <w:sz w:val="32"/>
          <w:szCs w:val="32"/>
          <w:lang w:val="en-US" w:eastAsia="zh-CN" w:bidi="ar-SA"/>
        </w:rPr>
      </w:pPr>
      <w:r>
        <w:rPr>
          <w:rFonts w:ascii="仿宋_GB2312" w:eastAsia="仿宋_GB2312" w:hAnsi="仿宋_GB2312" w:cs="仿宋_GB2312" w:hint="eastAsia"/>
          <w:kern w:val="2"/>
          <w:sz w:val="32"/>
          <w:szCs w:val="32"/>
          <w:lang w:val="en-US" w:eastAsia="zh-CN" w:bidi="ar-SA"/>
        </w:rPr>
        <w:t>（三）整改情况：一是提高预算执行率，完成各项目标任务。二是加强内部控制管理，不断提高财务管理水平。</w:t>
      </w:r>
    </w:p>
    <w:p>
      <w:pPr>
        <w:pStyle w:val="ListParagraph"/>
        <w:keepNext w:val="0"/>
        <w:keepLines w:val="0"/>
        <w:pageBreakBefore w:val="0"/>
        <w:kinsoku/>
        <w:wordWrap/>
        <w:overflowPunct/>
        <w:topLinePunct w:val="0"/>
        <w:autoSpaceDE w:val="0"/>
        <w:autoSpaceDN w:val="0"/>
        <w:bidi w:val="0"/>
        <w:adjustRightInd/>
        <w:snapToGrid/>
        <w:spacing w:line="680" w:lineRule="exact"/>
        <w:ind w:right="0" w:rightChars="0"/>
        <w:jc w:val="both"/>
        <w:textAlignment w:val="auto"/>
        <w:outlineLvl w:val="9"/>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eastAsia="zh-CN"/>
        </w:rPr>
        <w:t>（四）绩效自评结果应用</w:t>
      </w:r>
    </w:p>
    <w:p>
      <w:pPr>
        <w:keepNext w:val="0"/>
        <w:keepLines w:val="0"/>
        <w:pageBreakBefore w:val="0"/>
        <w:kinsoku/>
        <w:wordWrap/>
        <w:overflowPunct/>
        <w:topLinePunct w:val="0"/>
        <w:autoSpaceDE w:val="0"/>
        <w:autoSpaceDN w:val="0"/>
        <w:bidi w:val="0"/>
        <w:adjustRightInd/>
        <w:snapToGrid/>
        <w:spacing w:line="680" w:lineRule="exact"/>
        <w:ind w:right="0" w:rightChars="0"/>
        <w:jc w:val="both"/>
        <w:textAlignment w:val="auto"/>
        <w:outlineLvl w:val="9"/>
        <w:rPr>
          <w:rFonts w:ascii="仿宋_GB2312" w:eastAsia="仿宋_GB2312" w:hAnsi="仿宋_GB2312" w:cs="仿宋_GB2312" w:hint="eastAsia"/>
          <w:sz w:val="30"/>
          <w:szCs w:val="30"/>
          <w:lang w:val="en-US" w:eastAsia="zh-CN"/>
        </w:rPr>
      </w:pPr>
      <w:r>
        <w:rPr>
          <w:rFonts w:ascii="仿宋_GB2312" w:eastAsia="仿宋_GB2312" w:hAnsi="仿宋_GB2312" w:cs="仿宋_GB2312" w:hint="eastAsia"/>
          <w:kern w:val="2"/>
          <w:sz w:val="32"/>
          <w:szCs w:val="32"/>
          <w:lang w:val="en-US" w:eastAsia="zh-CN" w:bidi="ar-SA"/>
        </w:rPr>
        <w:t xml:space="preserve">    针对绩效自评中存在的问题，提出改进的措施。针对本部门绩效自评中存在的问题，我单位及时调整和优化后续项目和以后年度预算支出的方向和结构，合理配置资源，加强财务管理，完善项目管理办法，切实提高项目管理水平、财政资金使用效益和部门工作效率，不断提供本部门预算绩效管理水平。</w:t>
      </w:r>
    </w:p>
    <w:p>
      <w:pPr>
        <w:widowControl/>
        <w:snapToGrid w:val="0"/>
        <w:spacing w:before="100" w:after="100" w:line="360" w:lineRule="auto"/>
        <w:ind w:firstLine="600"/>
        <w:jc w:val="left"/>
        <w:rPr>
          <w:rFonts w:ascii="仿宋_GB2312" w:eastAsia="仿宋_GB2312" w:hAnsi="仿宋_GB2312" w:cs="仿宋_GB2312" w:hint="eastAsia"/>
          <w:sz w:val="30"/>
          <w:szCs w:val="30"/>
          <w:highlight w:val="none"/>
          <w:lang w:val="en-US" w:eastAsia="zh-CN"/>
        </w:rPr>
      </w:pPr>
      <w:r>
        <w:rPr>
          <w:rFonts w:ascii="仿宋_GB2312" w:eastAsia="仿宋_GB2312" w:hAnsi="仿宋_GB2312" w:cs="仿宋_GB2312" w:hint="eastAsia"/>
          <w:sz w:val="30"/>
          <w:szCs w:val="30"/>
          <w:lang w:val="en-US" w:eastAsia="zh-CN"/>
        </w:rPr>
        <w:t>部门绩效自评情况详见附表</w:t>
      </w:r>
      <w:r>
        <w:rPr>
          <w:rFonts w:ascii="仿宋_GB2312" w:eastAsia="仿宋_GB2312" w:hAnsi="仿宋_GB2312" w:cs="仿宋_GB2312" w:hint="eastAsia"/>
          <w:sz w:val="30"/>
          <w:szCs w:val="30"/>
          <w:highlight w:val="none"/>
          <w:lang w:val="en-US" w:eastAsia="zh-CN"/>
        </w:rPr>
        <w:t>（附表10—附表14）。</w:t>
      </w:r>
    </w:p>
    <w:p>
      <w:pPr>
        <w:widowControl/>
        <w:numPr>
          <w:ilvl w:val="0"/>
          <w:numId w:val="3"/>
        </w:numPr>
        <w:snapToGrid w:val="0"/>
        <w:spacing w:before="100" w:after="100" w:line="360" w:lineRule="auto"/>
        <w:ind w:firstLine="600" w:firstLineChars="200"/>
        <w:jc w:val="left"/>
        <w:rPr>
          <w:rFonts w:ascii="黑体" w:eastAsia="黑体" w:hAnsi="黑体" w:cs="黑体" w:hint="eastAsia"/>
          <w:sz w:val="30"/>
          <w:szCs w:val="30"/>
          <w:lang w:val="en-US" w:eastAsia="zh-CN"/>
        </w:rPr>
      </w:pPr>
      <w:r>
        <w:rPr>
          <w:rFonts w:ascii="黑体" w:eastAsia="黑体" w:hAnsi="黑体" w:cs="黑体" w:hint="eastAsia"/>
          <w:sz w:val="30"/>
          <w:szCs w:val="30"/>
          <w:lang w:val="en-US" w:eastAsia="zh-CN"/>
        </w:rPr>
        <w:t>其他重要事项情况说明</w:t>
      </w:r>
    </w:p>
    <w:p>
      <w:pPr>
        <w:widowControl/>
        <w:numPr>
          <w:ilvl w:val="0"/>
          <w:numId w:val="0"/>
        </w:numPr>
        <w:snapToGrid w:val="0"/>
        <w:spacing w:before="100" w:after="100" w:line="360" w:lineRule="auto"/>
        <w:ind w:firstLine="960" w:firstLineChars="300"/>
        <w:jc w:val="left"/>
        <w:rPr>
          <w:rFonts w:ascii="仿宋_GB2312" w:eastAsia="仿宋_GB2312" w:hAnsi="仿宋_GB2312" w:cs="仿宋_GB2312" w:hint="eastAsia"/>
          <w:kern w:val="2"/>
          <w:sz w:val="32"/>
          <w:szCs w:val="32"/>
          <w:lang w:val="en-US" w:eastAsia="zh-CN" w:bidi="ar-SA"/>
        </w:rPr>
      </w:pPr>
      <w:r>
        <w:rPr>
          <w:rFonts w:ascii="仿宋_GB2312" w:eastAsia="仿宋_GB2312" w:hAnsi="仿宋_GB2312" w:cs="仿宋_GB2312" w:hint="eastAsia"/>
          <w:kern w:val="2"/>
          <w:sz w:val="32"/>
          <w:szCs w:val="32"/>
          <w:lang w:val="en-US" w:eastAsia="zh-CN" w:bidi="ar-SA"/>
        </w:rPr>
        <w:t>项目建立了保证项目顺利实施的相关制度和措施,项目实施之前制定相关工作方案，让项目参加人员提前掌握情况，保证项目按照要求开展工作。</w:t>
      </w:r>
    </w:p>
    <w:p>
      <w:pPr>
        <w:widowControl/>
        <w:snapToGrid w:val="0"/>
        <w:spacing w:before="100" w:after="100" w:line="360" w:lineRule="auto"/>
        <w:ind w:firstLine="600" w:firstLineChars="200"/>
        <w:jc w:val="left"/>
        <w:rPr>
          <w:rFonts w:ascii="黑体" w:eastAsia="黑体" w:hAnsi="黑体" w:cs="黑体" w:hint="eastAsia"/>
          <w:sz w:val="30"/>
          <w:szCs w:val="30"/>
          <w:lang w:val="en-US" w:eastAsia="zh-CN"/>
        </w:rPr>
      </w:pPr>
      <w:r>
        <w:rPr>
          <w:rFonts w:ascii="黑体" w:eastAsia="黑体" w:hAnsi="黑体" w:cs="黑体" w:hint="eastAsia"/>
          <w:sz w:val="30"/>
          <w:szCs w:val="30"/>
          <w:lang w:val="en-US" w:eastAsia="zh-CN"/>
        </w:rPr>
        <w:t>六、相关口径说明</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eastAsia="zh-CN"/>
        </w:rPr>
        <w:t>（一）</w:t>
      </w:r>
      <w:r>
        <w:rPr>
          <w:rFonts w:ascii="仿宋_GB2312" w:eastAsia="仿宋_GB2312" w:hAnsi="黑体" w:cs="方正小标宋简体" w:hint="eastAsia"/>
          <w:sz w:val="30"/>
          <w:szCs w:val="30"/>
        </w:rPr>
        <w:t>基本支出中人员经费包括工资福利支出和对个人和家庭的补助，日常公用支出包括商品和服务支出、资本性支出等人员经费以外的支出。</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eastAsia="zh-CN"/>
        </w:rPr>
        <w:t>（二）</w:t>
      </w:r>
      <w:r>
        <w:rPr>
          <w:rFonts w:ascii="仿宋_GB2312" w:eastAsia="仿宋_GB2312" w:hAnsi="黑体" w:cs="方正小标宋简体" w:hint="eastAsia"/>
          <w:sz w:val="30"/>
          <w:szCs w:val="30"/>
        </w:rPr>
        <w:t>机关运行经费指行政单位和参照公务员法管理的事业单位使用一般公共预算财政拨款安排的基本支出中的日常公用经费支出</w:t>
      </w:r>
      <w:r>
        <w:rPr>
          <w:rFonts w:ascii="仿宋_GB2312" w:eastAsia="仿宋_GB2312" w:hAnsi="黑体" w:cs="方正小标宋简体" w:hint="eastAsia"/>
          <w:sz w:val="30"/>
          <w:szCs w:val="30"/>
          <w:lang w:eastAsia="zh-CN"/>
        </w:rPr>
        <w:t>。</w:t>
      </w:r>
    </w:p>
    <w:p>
      <w:pPr>
        <w:ind w:firstLine="600" w:firstLineChars="200"/>
        <w:jc w:val="left"/>
        <w:rPr>
          <w:rFonts w:ascii="仿宋_GB2312" w:eastAsia="仿宋_GB2312" w:hAnsi="黑体" w:cs="方正小标宋简体" w:hint="eastAsia"/>
          <w:sz w:val="30"/>
          <w:szCs w:val="30"/>
          <w:highlight w:val="none"/>
        </w:rPr>
      </w:pPr>
      <w:r>
        <w:rPr>
          <w:rFonts w:ascii="仿宋_GB2312" w:eastAsia="仿宋_GB2312" w:hAnsi="黑体" w:cs="方正小标宋简体" w:hint="eastAsia"/>
          <w:sz w:val="30"/>
          <w:szCs w:val="30"/>
          <w:lang w:eastAsia="zh-CN"/>
        </w:rPr>
        <w:t>（三）</w:t>
      </w:r>
      <w:r>
        <w:rPr>
          <w:rFonts w:ascii="仿宋_GB2312" w:eastAsia="仿宋_GB2312" w:hAnsi="黑体" w:cs="方正小标宋简体" w:hint="eastAsia"/>
          <w:sz w:val="30"/>
          <w:szCs w:val="30"/>
        </w:rPr>
        <w:t>按照党中央、国务院有关文件及部门预算管理有关规定，“三公”经费包括因公出国（境）费、公务用车购置及运行维护费、公务接待费。</w:t>
      </w:r>
      <w:r>
        <w:rPr>
          <w:rFonts w:ascii="仿宋_GB2312" w:eastAsia="仿宋_GB2312" w:hAnsi="黑体" w:cs="方正小标宋简体" w:hint="eastAsia"/>
          <w:sz w:val="30"/>
          <w:szCs w:val="30"/>
          <w:highlight w:val="none"/>
        </w:rPr>
        <w:t>其中：因公出国（境）费，指单位工作人员公务出国（境）的国际旅费、国外城市间交通费、住宿费、伙食费、培训费、公杂费等支出；公务用车购置费，指单位公务用车车辆购置支出（含车辆购置税</w:t>
      </w:r>
      <w:r>
        <w:rPr>
          <w:rFonts w:ascii="仿宋_GB2312" w:eastAsia="仿宋_GB2312" w:hAnsi="黑体" w:cs="方正小标宋简体" w:hint="eastAsia"/>
          <w:sz w:val="30"/>
          <w:szCs w:val="30"/>
          <w:highlight w:val="none"/>
          <w:lang w:eastAsia="zh-CN"/>
        </w:rPr>
        <w:t>、牌照费等</w:t>
      </w:r>
      <w:r>
        <w:rPr>
          <w:rFonts w:ascii="仿宋_GB2312" w:eastAsia="仿宋_GB2312" w:hAnsi="黑体" w:cs="方正小标宋简体" w:hint="eastAsia"/>
          <w:sz w:val="30"/>
          <w:szCs w:val="30"/>
          <w:highlight w:val="none"/>
        </w:rPr>
        <w:t>）；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eastAsia="zh-CN"/>
        </w:rPr>
        <w:t>（四）</w:t>
      </w:r>
      <w:r>
        <w:rPr>
          <w:rFonts w:ascii="仿宋_GB2312" w:eastAsia="仿宋_GB2312" w:hAnsi="黑体" w:cs="方正小标宋简体" w:hint="eastAsia"/>
          <w:sz w:val="30"/>
          <w:szCs w:val="30"/>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ind w:firstLine="640" w:firstLineChars="200"/>
        <w:jc w:val="center"/>
        <w:rPr>
          <w:rFonts w:ascii="黑体" w:eastAsia="黑体" w:hAnsi="黑体" w:cs="方正小标宋简体" w:hint="eastAsia"/>
          <w:sz w:val="32"/>
          <w:szCs w:val="32"/>
        </w:rPr>
      </w:pPr>
      <w:bookmarkStart w:id="0" w:name="_GoBack"/>
      <w:r>
        <w:rPr>
          <w:rFonts w:ascii="黑体" w:eastAsia="黑体" w:hAnsi="黑体" w:cs="方正小标宋简体" w:hint="eastAsia"/>
          <w:sz w:val="32"/>
          <w:szCs w:val="32"/>
        </w:rPr>
        <w:t>第</w:t>
      </w:r>
      <w:r>
        <w:rPr>
          <w:rFonts w:ascii="黑体" w:eastAsia="黑体" w:hAnsi="黑体" w:cs="方正小标宋简体" w:hint="eastAsia"/>
          <w:sz w:val="32"/>
          <w:szCs w:val="32"/>
          <w:lang w:eastAsia="zh-CN"/>
        </w:rPr>
        <w:t>五</w:t>
      </w:r>
      <w:r>
        <w:rPr>
          <w:rFonts w:ascii="黑体" w:eastAsia="黑体" w:hAnsi="黑体" w:cs="方正小标宋简体" w:hint="eastAsia"/>
          <w:sz w:val="32"/>
          <w:szCs w:val="32"/>
        </w:rPr>
        <w:t>部分  名词解释</w:t>
      </w:r>
    </w:p>
    <w:p>
      <w:pPr>
        <w:rPr>
          <w:rFonts w:eastAsiaTheme="minorEastAsia" w:hint="eastAsia"/>
          <w:lang w:eastAsia="zh-CN"/>
        </w:rPr>
      </w:pPr>
      <w:bookmarkEnd w:id="0"/>
      <w:r>
        <w:rPr>
          <w:rFonts w:hint="eastAsia"/>
          <w:lang w:eastAsia="zh-CN"/>
        </w:rPr>
        <w:t>无</w:t>
      </w:r>
    </w:p>
    <w:p>
      <w:pPr>
        <w:rPr>
          <w:rFonts w:ascii="Arial" w:eastAsia="Arial" w:hAnsi="Arial" w:cs="Arial"/>
          <w:b/>
          <w:sz w:val="36"/>
        </w:rPr>
      </w:pPr>
      <w:r>
        <w:rPr>
          <w:rFonts w:ascii="Arial" w:eastAsia="Arial" w:hAnsi="Arial" w:cs="Arial"/>
          <w:b/>
          <w:sz w:val="36"/>
        </w:rPr>
        <w:t>监督索引号53262300132401111</w:t>
      </w:r>
    </w:p>
    <w:sectPr>
      <w:headerReference w:type="default" r:id="rId5"/>
      <w:footerReference w:type="even" r:id="rId6"/>
      <w:footerReference w:type="default" r:id="rId7"/>
      <w:pgSz w:w="11906" w:h="16838"/>
      <w:pgMar w:top="2098" w:right="1418" w:bottom="1588" w:left="1644"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8</w:t>
    </w:r>
    <w:r>
      <w:fldChar w:fldCharType="end"/>
    </w:r>
  </w:p>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DD24478"/>
    <w:multiLevelType w:val="singleLevel"/>
    <w:tmpl w:val="5DD24478"/>
    <w:lvl w:ilvl="0">
      <w:start w:val="1"/>
      <w:numFmt w:val="chineseCounting"/>
      <w:suff w:val="nothing"/>
      <w:lvlText w:val="%1、"/>
      <w:lvlJc w:val="left"/>
    </w:lvl>
  </w:abstractNum>
  <w:abstractNum w:abstractNumId="1">
    <w:nsid w:val="5DD27F54"/>
    <w:multiLevelType w:val="singleLevel"/>
    <w:tmpl w:val="5DD27F54"/>
    <w:lvl w:ilvl="0">
      <w:start w:val="1"/>
      <w:numFmt w:val="decimal"/>
      <w:suff w:val="nothing"/>
      <w:lvlText w:val="%1."/>
      <w:lvlJc w:val="left"/>
    </w:lvl>
  </w:abstractNum>
  <w:abstractNum w:abstractNumId="2">
    <w:nsid w:val="5DD294F7"/>
    <w:multiLevelType w:val="singleLevel"/>
    <w:tmpl w:val="5DD294F7"/>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19212EA"/>
    <w:rsid w:val="5EF418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TOAHeading">
    <w:name w:val="toa heading"/>
    <w:basedOn w:val="Normal"/>
    <w:next w:val="Normal"/>
    <w:pPr>
      <w:spacing w:before="120"/>
    </w:pPr>
    <w:rPr>
      <w:rFonts w:ascii="Cambria" w:hAnsi="Cambria" w:cs="Times New Roman"/>
      <w:sz w:val="24"/>
    </w:rPr>
  </w:style>
  <w:style w:type="paragraph" w:styleId="BodyText">
    <w:name w:val="Body Text"/>
    <w:basedOn w:val="Normal"/>
    <w:qFormat/>
    <w:pPr>
      <w:spacing w:before="93" w:beforeLines="30"/>
    </w:pPr>
    <w:rPr>
      <w:rFonts w:ascii="仿宋_GB2312" w:eastAsia="仿宋_GB2312"/>
      <w:sz w:val="30"/>
    </w:r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qFormat/>
  </w:style>
  <w:style w:type="character" w:customStyle="1" w:styleId="16">
    <w:name w:val="16"/>
    <w:basedOn w:val="DefaultParagraphFont"/>
    <w:qFormat/>
    <w:rPr>
      <w:rFonts w:ascii="仿宋_GB2312" w:eastAsia="仿宋_GB2312" w:hint="eastAsia"/>
      <w:spacing w:val="0"/>
      <w:sz w:val="28"/>
      <w:szCs w:val="28"/>
    </w:rPr>
  </w:style>
  <w:style w:type="paragraph" w:customStyle="1" w:styleId="ListParagraph">
    <w:name w:val="List Paragraph"/>
    <w:basedOn w:val="Normal"/>
    <w:uiPriority w:val="34"/>
    <w:qFormat/>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0</cp:revision>
  <dcterms:created xsi:type="dcterms:W3CDTF">2014-10-29T12:08:00Z</dcterms:created>
  <dcterms:modified xsi:type="dcterms:W3CDTF">2019-11-29T03:15:59Z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