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880" w:firstLineChars="200"/>
        <w:jc w:val="center"/>
        <w:textAlignment w:val="auto"/>
        <w:outlineLvl w:val="9"/>
        <w:rPr>
          <w:rFonts w:hint="eastAsia" w:ascii="宋体" w:hAnsi="宋体" w:eastAsia="方正小标宋_GBK" w:cs="方正小标宋_GBK"/>
          <w:sz w:val="44"/>
          <w:szCs w:val="44"/>
        </w:rPr>
      </w:pPr>
      <w:bookmarkStart w:id="0" w:name="_GoBack"/>
      <w:r>
        <w:rPr>
          <w:rFonts w:hint="eastAsia" w:ascii="宋体" w:hAnsi="宋体" w:eastAsia="方正小标宋_GBK" w:cs="方正小标宋_GBK"/>
          <w:kern w:val="0"/>
          <w:sz w:val="44"/>
          <w:szCs w:val="44"/>
          <w:shd w:val="clear" w:color="auto" w:fill="FFFFFF"/>
          <w:lang w:eastAsia="zh-CN"/>
        </w:rPr>
        <w:t>西畴县发展和改革局</w:t>
      </w:r>
      <w:r>
        <w:rPr>
          <w:rFonts w:hint="eastAsia" w:ascii="宋体" w:hAnsi="宋体" w:eastAsia="方正小标宋_GBK" w:cs="方正小标宋_GBK"/>
          <w:kern w:val="0"/>
          <w:sz w:val="44"/>
          <w:szCs w:val="44"/>
          <w:shd w:val="clear" w:color="auto" w:fill="FFFFFF"/>
        </w:rPr>
        <w:t>2018部门整体支出绩效自评报告</w:t>
      </w:r>
    </w:p>
    <w:bookmarkEnd w:id="0"/>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宋体" w:hAnsi="宋体" w:eastAsia="方正仿宋_GBK" w:cs="Times New Roman"/>
          <w:sz w:val="32"/>
          <w:szCs w:val="32"/>
        </w:rPr>
      </w:pPr>
      <w:r>
        <w:rPr>
          <w:rFonts w:hint="eastAsia" w:ascii="宋体" w:hAnsi="宋体" w:eastAsia="黑体" w:cs="Times New Roman"/>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黑体_GBK" w:cs="方正黑体_GBK"/>
          <w:sz w:val="32"/>
          <w:szCs w:val="32"/>
        </w:rPr>
      </w:pPr>
      <w:r>
        <w:rPr>
          <w:rFonts w:hint="eastAsia" w:ascii="宋体" w:hAnsi="宋体" w:eastAsia="方正黑体_GBK" w:cs="方正黑体_GBK"/>
          <w:sz w:val="32"/>
          <w:szCs w:val="32"/>
        </w:rPr>
        <w:t>一、部门基本情况</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宋体" w:hAnsi="宋体" w:eastAsia="方正楷体_GBK" w:cs="Times New Roman"/>
          <w:sz w:val="32"/>
          <w:szCs w:val="32"/>
        </w:rPr>
      </w:pPr>
      <w:r>
        <w:rPr>
          <w:rFonts w:hint="eastAsia" w:ascii="宋体" w:hAnsi="宋体" w:eastAsia="方正楷体_GBK" w:cs="Times New Roman"/>
          <w:sz w:val="32"/>
          <w:szCs w:val="32"/>
        </w:rPr>
        <w:t>（</w:t>
      </w:r>
      <w:r>
        <w:rPr>
          <w:rFonts w:hint="eastAsia" w:ascii="宋体" w:hAnsi="宋体" w:eastAsia="方正楷体_GBK" w:cs="Times New Roman"/>
          <w:sz w:val="32"/>
          <w:szCs w:val="32"/>
          <w:lang w:eastAsia="zh-CN"/>
        </w:rPr>
        <w:t>一</w:t>
      </w:r>
      <w:r>
        <w:rPr>
          <w:rFonts w:hint="eastAsia" w:ascii="宋体" w:hAnsi="宋体" w:eastAsia="方正楷体_GBK" w:cs="Times New Roman"/>
          <w:sz w:val="32"/>
          <w:szCs w:val="32"/>
        </w:rPr>
        <w:t>）部门概况</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 xml:space="preserve">西畴县发展和改革局为西畴县人民政府工作部门，正科级，加挂西畴县粮食局牌子，属于县级财政一级预算单位（无二级预算单位），内设8个股室，1个中心。2018年末在职在编实有行政人员15人（含行政工勤人员2人），事业人员7人（含参公管理事业人员0人）。实有车辆编制1辆，在编实有车辆1辆。  </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楷体_GBK" w:cs="Times New Roman"/>
          <w:sz w:val="32"/>
          <w:szCs w:val="32"/>
        </w:rPr>
      </w:pPr>
      <w:r>
        <w:rPr>
          <w:rFonts w:hint="eastAsia" w:ascii="宋体" w:hAnsi="宋体" w:eastAsia="方正楷体_GBK" w:cs="Times New Roman"/>
          <w:sz w:val="32"/>
          <w:szCs w:val="32"/>
        </w:rPr>
        <w:t>（二）部门绩效目标的设立情况</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西畴县发展和改革局部门绩效目标紧紧围绕部门职能职责设立，设立依据充分、符合客观实际，制定的绩效目标基本清晰、明确、可考量，反映了部门履职目标。部门绩效目标具体为：紧紧围绕和县委、县政府和以及省州发展改革委的工作部署和要求，着力稳增长、调结构、惠民生、控物价、抓改革、促和谐，扎实推进发展改革各项工作，确保各项目标任务圆满完成。</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ascii="宋体" w:hAnsi="宋体" w:eastAsia="方正楷体_GBK" w:cs="Times New Roman"/>
          <w:sz w:val="32"/>
          <w:szCs w:val="32"/>
        </w:rPr>
      </w:pPr>
      <w:r>
        <w:rPr>
          <w:rFonts w:hint="eastAsia" w:ascii="宋体" w:hAnsi="宋体" w:eastAsia="方正楷体_GBK" w:cs="Times New Roman"/>
          <w:sz w:val="32"/>
          <w:szCs w:val="32"/>
        </w:rPr>
        <w:t>（三）部门整体收支情况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西畴县发展和改革局2018年度收入合计4652.40万元。其中：财政拨款收入4656.56万元，占总收入的99.87%；其他收入5.84万元，占总收入的0.13%。西畴县发展和改革局2018年度支出合计4717.63万元。其中：基本支出531.64万元，占总支出的11.27％；项目支出4186万元，占总支出的88.73％</w:t>
      </w:r>
      <w:r>
        <w:rPr>
          <w:rFonts w:hint="eastAsia" w:ascii="宋体" w:hAnsi="宋体"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宋体" w:hAnsi="宋体" w:eastAsia="方正楷体_GBK" w:cs="Times New Roman"/>
          <w:sz w:val="32"/>
          <w:szCs w:val="32"/>
        </w:rPr>
      </w:pPr>
      <w:r>
        <w:rPr>
          <w:rFonts w:hint="eastAsia" w:ascii="宋体" w:hAnsi="宋体" w:eastAsia="方正楷体_GBK" w:cs="Times New Roman"/>
          <w:sz w:val="32"/>
          <w:szCs w:val="32"/>
        </w:rPr>
        <w:t>（四）部门预算管理制度建设情况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Times New Roman"/>
          <w:sz w:val="32"/>
          <w:szCs w:val="32"/>
        </w:rPr>
      </w:pPr>
      <w:r>
        <w:rPr>
          <w:rFonts w:hint="eastAsia" w:ascii="宋体" w:hAnsi="宋体" w:eastAsia="方正仿宋_GBK" w:cs="Times New Roman"/>
          <w:sz w:val="32"/>
          <w:szCs w:val="32"/>
        </w:rPr>
        <w:t>为确保部门预算管理合法、合规，西畴县发展和改革局制定了《西畴县发展和改革局日常工作管理制度》、《西畴县发展和改革局财务管理制度》和《西畴县发展和改革局绩效评价规章制度》，制度包括了财务管理、账务审签管理、公务用车管理、固定资产管理、经费预决算、会议支出、差旅费支出、公务接待支出、印章管理等内部控制管理制度和办法。通过强化内部控制制度建设，切实做到有章可行，有据可依。</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宋体" w:hAnsi="宋体" w:eastAsia="黑体" w:cs="Times New Roman"/>
          <w:sz w:val="32"/>
          <w:szCs w:val="32"/>
        </w:rPr>
      </w:pPr>
      <w:r>
        <w:rPr>
          <w:rFonts w:ascii="宋体" w:hAnsi="宋体" w:eastAsia="黑体" w:cs="Times New Roman"/>
          <w:sz w:val="32"/>
          <w:szCs w:val="32"/>
        </w:rPr>
        <w:t>二、绩效自评工作情况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宋体" w:hAnsi="宋体" w:eastAsia="方正楷体_GBK" w:cs="Times New Roman"/>
          <w:sz w:val="32"/>
          <w:szCs w:val="32"/>
        </w:rPr>
      </w:pPr>
      <w:r>
        <w:rPr>
          <w:rFonts w:hint="eastAsia" w:ascii="宋体" w:hAnsi="宋体" w:eastAsia="方正楷体_GBK" w:cs="Times New Roman"/>
          <w:sz w:val="32"/>
          <w:szCs w:val="32"/>
        </w:rPr>
        <w:t>（一）绩效自评的目的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Times New Roman"/>
          <w:sz w:val="32"/>
          <w:szCs w:val="32"/>
        </w:rPr>
      </w:pPr>
      <w:r>
        <w:rPr>
          <w:rFonts w:hint="eastAsia" w:ascii="宋体" w:hAnsi="宋体" w:eastAsia="方正仿宋_GBK" w:cs="Times New Roman"/>
          <w:sz w:val="32"/>
          <w:szCs w:val="32"/>
        </w:rPr>
        <w:t>通过开展绩效自评工作，全面掌握发改部门年度财政支出预算资金的执行、管理使用情况，以及取得的成绩和综合效果，促使资金使用科室和单位树立责任意识、绩效意识及风险控制意识，进一步加强预算支出及项目管理，保证财政资金管理的规范性、使用的安全性和有效性，提高财政专项资金的使用效益和管理水平。通过开展绩效自评工作，进一步提高预算执行中基础数据的准确性、人员经费的规范性、公用经费的合规性、项目经费的有效性和内控制度的完备性。</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宋体" w:hAnsi="宋体" w:eastAsia="方正楷体_GBK" w:cs="Times New Roman"/>
          <w:sz w:val="32"/>
          <w:szCs w:val="32"/>
        </w:rPr>
      </w:pPr>
      <w:r>
        <w:rPr>
          <w:rFonts w:hint="eastAsia" w:ascii="宋体" w:hAnsi="宋体" w:eastAsia="方正楷体_GBK" w:cs="Times New Roman"/>
          <w:sz w:val="32"/>
          <w:szCs w:val="32"/>
        </w:rPr>
        <w:t>（二）自评组织过程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宋体" w:hAnsi="宋体" w:eastAsia="方正仿宋_GBK" w:cs="Times New Roman"/>
          <w:sz w:val="32"/>
          <w:szCs w:val="32"/>
        </w:rPr>
      </w:pPr>
      <w:r>
        <w:rPr>
          <w:rFonts w:ascii="宋体" w:hAnsi="宋体" w:eastAsia="方正仿宋_GBK" w:cs="Times New Roman"/>
          <w:b/>
          <w:sz w:val="32"/>
          <w:szCs w:val="32"/>
        </w:rPr>
        <w:t>1.前期准备</w:t>
      </w:r>
      <w:r>
        <w:rPr>
          <w:rFonts w:hint="eastAsia" w:ascii="宋体" w:hAnsi="宋体" w:eastAsia="方正仿宋_GBK" w:cs="Times New Roman"/>
          <w:b/>
          <w:sz w:val="32"/>
          <w:szCs w:val="32"/>
          <w:lang w:eastAsia="zh-CN"/>
        </w:rPr>
        <w:t>。</w:t>
      </w:r>
      <w:r>
        <w:rPr>
          <w:rFonts w:hint="eastAsia" w:ascii="宋体" w:hAnsi="宋体" w:eastAsia="方正仿宋_GBK" w:cs="Times New Roman"/>
          <w:sz w:val="32"/>
          <w:szCs w:val="32"/>
        </w:rPr>
        <w:t>为进一步提高部门绩效管理质量，根据《中共中央 国务院关于全面实施预算绩效管理的意见》及县财政局项目资金绩效目标工作的要求，组织相关项目科室人员认真学习。</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宋体" w:hAnsi="宋体" w:eastAsia="方正仿宋_GBK" w:cs="Times New Roman"/>
          <w:sz w:val="32"/>
          <w:szCs w:val="32"/>
        </w:rPr>
      </w:pPr>
      <w:r>
        <w:rPr>
          <w:rFonts w:ascii="宋体" w:hAnsi="宋体" w:eastAsia="方正仿宋_GBK" w:cs="Times New Roman"/>
          <w:b/>
          <w:sz w:val="32"/>
          <w:szCs w:val="32"/>
        </w:rPr>
        <w:t>2.组织实施</w:t>
      </w:r>
      <w:r>
        <w:rPr>
          <w:rFonts w:hint="eastAsia" w:ascii="宋体" w:hAnsi="宋体" w:eastAsia="方正仿宋_GBK" w:cs="Times New Roman"/>
          <w:b/>
          <w:sz w:val="32"/>
          <w:szCs w:val="32"/>
          <w:lang w:eastAsia="zh-CN"/>
        </w:rPr>
        <w:t>。</w:t>
      </w:r>
      <w:r>
        <w:rPr>
          <w:rFonts w:hint="eastAsia" w:ascii="宋体" w:hAnsi="宋体" w:eastAsia="方正仿宋_GBK" w:cs="Times New Roman"/>
          <w:sz w:val="32"/>
          <w:szCs w:val="32"/>
        </w:rPr>
        <w:t>根据项目资金绩效目标自评要求，由分管财务的领导组织，及时布置绩效评价工作，严密分工，明确要求。主管项目业务科室先自评，最后相关工作成果由财务室汇总、审核上报。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宋体" w:hAnsi="宋体" w:eastAsia="黑体" w:cs="Times New Roman"/>
          <w:sz w:val="32"/>
          <w:szCs w:val="32"/>
        </w:rPr>
      </w:pPr>
      <w:r>
        <w:rPr>
          <w:rFonts w:ascii="宋体" w:hAnsi="宋体" w:eastAsia="黑体" w:cs="Times New Roman"/>
          <w:sz w:val="32"/>
          <w:szCs w:val="32"/>
        </w:rPr>
        <w:t>三、评价情况分析及综合评价结论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宋体" w:hAnsi="宋体" w:eastAsia="黑体" w:cs="Times New Roman"/>
          <w:sz w:val="32"/>
          <w:szCs w:val="32"/>
        </w:rPr>
      </w:pPr>
      <w:r>
        <w:rPr>
          <w:rFonts w:hint="eastAsia" w:ascii="宋体" w:hAnsi="宋体" w:eastAsia="方正仿宋_GBK" w:cs="Times New Roman"/>
          <w:sz w:val="32"/>
          <w:szCs w:val="32"/>
        </w:rPr>
        <w:t>2018年县发改</w:t>
      </w:r>
      <w:r>
        <w:rPr>
          <w:rFonts w:hint="eastAsia" w:ascii="宋体" w:hAnsi="宋体" w:eastAsia="方正仿宋_GBK" w:cs="Times New Roman"/>
          <w:sz w:val="32"/>
          <w:szCs w:val="32"/>
          <w:lang w:eastAsia="zh-CN"/>
        </w:rPr>
        <w:t>局</w:t>
      </w:r>
      <w:r>
        <w:rPr>
          <w:rFonts w:hint="eastAsia" w:ascii="宋体" w:hAnsi="宋体" w:eastAsia="方正仿宋_GBK" w:cs="Times New Roman"/>
          <w:sz w:val="32"/>
          <w:szCs w:val="32"/>
        </w:rPr>
        <w:t>项目，按照县委、县政府的决策部署，全力推进经济建设并取得积极成效，为全县经济社会发展作出了积极贡献。执行成效与年初编制预算所提出的任务相符合，在社会效益指标、产出指标、数量指标方面取得的成绩突出；预算执行有效合理，厉行节约，严格控制“三公经费”，圆满完成了对部门的预算管理、执行及监督监管等，基本完成了相关项目。</w:t>
      </w:r>
      <w:r>
        <w:rPr>
          <w:rFonts w:ascii="宋体" w:hAnsi="宋体" w:eastAsia="黑体" w:cs="Times New Roman"/>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宋体" w:hAnsi="宋体" w:eastAsia="黑体" w:cs="Times New Roman"/>
          <w:sz w:val="32"/>
          <w:szCs w:val="32"/>
        </w:rPr>
      </w:pPr>
      <w:r>
        <w:rPr>
          <w:rFonts w:ascii="宋体" w:hAnsi="宋体" w:eastAsia="黑体" w:cs="Times New Roman"/>
          <w:sz w:val="32"/>
          <w:szCs w:val="32"/>
        </w:rPr>
        <w:t>四、存在的问题和整改情况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Times New Roman"/>
          <w:sz w:val="32"/>
          <w:szCs w:val="32"/>
        </w:rPr>
      </w:pPr>
      <w:r>
        <w:rPr>
          <w:rFonts w:hint="eastAsia" w:ascii="宋体" w:hAnsi="宋体" w:eastAsia="方正楷体_GBK" w:cs="方正楷体_GBK"/>
          <w:sz w:val="32"/>
          <w:szCs w:val="32"/>
        </w:rPr>
        <w:t xml:space="preserve">（一）存在的问题  </w:t>
      </w:r>
      <w:r>
        <w:rPr>
          <w:rFonts w:hint="eastAsia" w:ascii="宋体" w:hAnsi="宋体" w:eastAsia="方正仿宋_GBK" w:cs="Times New Roman"/>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宋体" w:hAnsi="宋体" w:eastAsia="方正仿宋_GBK" w:cs="Times New Roman"/>
          <w:sz w:val="32"/>
          <w:szCs w:val="32"/>
        </w:rPr>
      </w:pPr>
      <w:r>
        <w:rPr>
          <w:rFonts w:hint="eastAsia" w:ascii="宋体" w:hAnsi="宋体" w:eastAsia="方正仿宋_GBK" w:cs="Times New Roman"/>
          <w:b/>
          <w:bCs/>
          <w:sz w:val="32"/>
          <w:szCs w:val="32"/>
        </w:rPr>
        <w:t>一是</w:t>
      </w:r>
      <w:r>
        <w:rPr>
          <w:rFonts w:hint="eastAsia" w:ascii="宋体" w:hAnsi="宋体" w:eastAsia="方正仿宋_GBK" w:cs="Times New Roman"/>
          <w:sz w:val="32"/>
          <w:szCs w:val="32"/>
        </w:rPr>
        <w:t>管理制度有待完善和健全。目前西畴县发展和改革局的内部管理制度还有待完善和健全，部分管理制度由于制定时间较早与现阶段管理工作不匹配或不适用，需要进一步修订；</w:t>
      </w:r>
      <w:r>
        <w:rPr>
          <w:rFonts w:hint="eastAsia" w:ascii="宋体" w:hAnsi="宋体" w:eastAsia="方正仿宋_GBK" w:cs="Times New Roman"/>
          <w:b/>
          <w:bCs/>
          <w:sz w:val="32"/>
          <w:szCs w:val="32"/>
        </w:rPr>
        <w:t>二是</w:t>
      </w:r>
      <w:r>
        <w:rPr>
          <w:rFonts w:hint="eastAsia" w:ascii="宋体" w:hAnsi="宋体" w:eastAsia="方正仿宋_GBK" w:cs="Times New Roman"/>
          <w:sz w:val="32"/>
          <w:szCs w:val="32"/>
        </w:rPr>
        <w:t>部分项目费用支出不够细化。项目支出中部分项目经费支出未进行预算分解和编制明细的费用预算，仅按总额进行费用预算。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Times New Roman"/>
          <w:sz w:val="32"/>
          <w:szCs w:val="32"/>
        </w:rPr>
      </w:pPr>
      <w:r>
        <w:rPr>
          <w:rFonts w:hint="eastAsia" w:ascii="宋体" w:hAnsi="宋体" w:eastAsia="方正楷体_GBK" w:cs="方正楷体_GBK"/>
          <w:sz w:val="32"/>
          <w:szCs w:val="32"/>
        </w:rPr>
        <w:t>（</w:t>
      </w:r>
      <w:r>
        <w:rPr>
          <w:rFonts w:hint="eastAsia" w:ascii="宋体" w:hAnsi="宋体" w:eastAsia="方正楷体_GBK" w:cs="方正楷体_GBK"/>
          <w:sz w:val="32"/>
          <w:szCs w:val="32"/>
          <w:lang w:eastAsia="zh-CN"/>
        </w:rPr>
        <w:t>二</w:t>
      </w:r>
      <w:r>
        <w:rPr>
          <w:rFonts w:hint="eastAsia" w:ascii="宋体" w:hAnsi="宋体" w:eastAsia="方正楷体_GBK" w:cs="方正楷体_GBK"/>
          <w:sz w:val="32"/>
          <w:szCs w:val="32"/>
        </w:rPr>
        <w:t xml:space="preserve">）整改情况    </w:t>
      </w:r>
      <w:r>
        <w:rPr>
          <w:rFonts w:hint="eastAsia" w:ascii="宋体" w:hAnsi="宋体" w:eastAsia="方正仿宋_GBK" w:cs="Times New Roman"/>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宋体" w:hAnsi="宋体" w:eastAsia="方正仿宋_GBK" w:cs="Times New Roman"/>
          <w:sz w:val="32"/>
          <w:szCs w:val="32"/>
        </w:rPr>
      </w:pPr>
      <w:r>
        <w:rPr>
          <w:rFonts w:hint="eastAsia" w:ascii="宋体" w:hAnsi="宋体" w:eastAsia="方正仿宋_GBK" w:cs="Times New Roman"/>
          <w:b/>
          <w:bCs/>
          <w:sz w:val="32"/>
          <w:szCs w:val="32"/>
        </w:rPr>
        <w:t>一是</w:t>
      </w:r>
      <w:r>
        <w:rPr>
          <w:rFonts w:hint="eastAsia" w:ascii="宋体" w:hAnsi="宋体" w:eastAsia="方正仿宋_GBK" w:cs="Times New Roman"/>
          <w:sz w:val="32"/>
          <w:szCs w:val="32"/>
        </w:rPr>
        <w:t>以建立和实施全面、完整、规范的内部控制制度为抓手，完善全面涵盖预算、收支、政府采购、资产、建设项目和合同六大业务控制的内部流程控制，对权力集中的部门和岗位实行分事行权、分岗设权、分级授权，定期轮岗，防止权力滥用；</w:t>
      </w:r>
      <w:r>
        <w:rPr>
          <w:rFonts w:hint="eastAsia" w:ascii="宋体" w:hAnsi="宋体" w:eastAsia="方正仿宋_GBK" w:cs="Times New Roman"/>
          <w:b/>
          <w:bCs/>
          <w:sz w:val="32"/>
          <w:szCs w:val="32"/>
        </w:rPr>
        <w:t>二是</w:t>
      </w:r>
      <w:r>
        <w:rPr>
          <w:rFonts w:hint="eastAsia" w:ascii="宋体" w:hAnsi="宋体" w:eastAsia="方正仿宋_GBK" w:cs="Times New Roman"/>
          <w:sz w:val="32"/>
          <w:szCs w:val="32"/>
        </w:rPr>
        <w:t>进一步加强预算管理,细化项目的实施方案，明确资金使用标准和依据，尽快完善项目资金管理及绩效评价规章制度。</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宋体" w:hAnsi="宋体" w:eastAsia="方正黑体_GBK" w:cs="Times New Roman"/>
          <w:sz w:val="32"/>
          <w:szCs w:val="32"/>
        </w:rPr>
      </w:pPr>
      <w:r>
        <w:rPr>
          <w:rFonts w:hint="eastAsia" w:ascii="宋体" w:hAnsi="宋体" w:eastAsia="方正黑体_GBK" w:cs="Times New Roman"/>
          <w:sz w:val="32"/>
          <w:szCs w:val="32"/>
        </w:rPr>
        <w:t>五、绩效自评结果应用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在深入开展项目绩效评价的基础上，科学合理运用评价结果，并以此促进下一年度的项目绩效评价工作。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（一）通过实施项目绩效管理工作，将项目绩效评价理念融入财政事业发展项目资金使用的全过程，将绩效评价结果作为资金管理和分配使用的重要因素。</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（二）根据绩效自评情况，不断补充完善项目绩效评价指标，全面反映部门项目绩效管理水平。</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（三）按制度、有计划地及时使用项目资金，加快项目资金支出进度。</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（四）规范资金使用与核算，加强对考试经费等项目资金的使用跟踪和监督检查。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（五）加强财务管理，完善项目管理办法，切实提高项目管理水平，提高财政资金使用效益。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宋体" w:hAnsi="宋体" w:eastAsia="方正黑体_GBK" w:cs="Times New Roman"/>
          <w:sz w:val="32"/>
          <w:szCs w:val="32"/>
        </w:rPr>
      </w:pPr>
      <w:r>
        <w:rPr>
          <w:rFonts w:hint="eastAsia" w:ascii="宋体" w:hAnsi="宋体" w:eastAsia="方正黑体_GBK" w:cs="Times New Roman"/>
          <w:sz w:val="32"/>
          <w:szCs w:val="32"/>
        </w:rPr>
        <w:t>六、主要经验及做法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Times New Roman"/>
          <w:sz w:val="32"/>
          <w:szCs w:val="32"/>
        </w:rPr>
      </w:pPr>
      <w:r>
        <w:rPr>
          <w:rFonts w:hint="eastAsia" w:ascii="宋体" w:hAnsi="宋体" w:eastAsia="方正楷体_GBK" w:cs="方正楷体_GBK"/>
          <w:sz w:val="32"/>
          <w:szCs w:val="32"/>
        </w:rPr>
        <w:t>（一）完善预算编报程序。</w:t>
      </w:r>
      <w:r>
        <w:rPr>
          <w:rFonts w:hint="eastAsia" w:ascii="宋体" w:hAnsi="宋体" w:eastAsia="方正仿宋_GBK" w:cs="Times New Roman"/>
          <w:sz w:val="32"/>
          <w:szCs w:val="32"/>
        </w:rPr>
        <w:t>严格按照预算法和财政部门的要求，提前完善项目库信息，及时将新项目录入项目库，每年的预算项目保证取源于项目库。在年初预算编报时，细化经费，完善信息，制定合法合理、科学可行的绩效目标。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Times New Roman"/>
          <w:sz w:val="32"/>
          <w:szCs w:val="32"/>
        </w:rPr>
      </w:pPr>
      <w:r>
        <w:rPr>
          <w:rFonts w:hint="eastAsia" w:ascii="宋体" w:hAnsi="宋体" w:eastAsia="方正楷体_GBK" w:cs="方正楷体_GBK"/>
          <w:sz w:val="32"/>
          <w:szCs w:val="32"/>
        </w:rPr>
        <w:t>（二）严格项目预算执行。</w:t>
      </w:r>
      <w:r>
        <w:rPr>
          <w:rFonts w:hint="eastAsia" w:ascii="宋体" w:hAnsi="宋体" w:eastAsia="方正仿宋_GBK" w:cs="Times New Roman"/>
          <w:sz w:val="32"/>
          <w:szCs w:val="32"/>
        </w:rPr>
        <w:t>在整个预算执行期内，严格按照年初制定的项目绩效目标，按进度使用项目资金，有效控制经费使用范围，科学合理使用项目资金。</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Times New Roman"/>
          <w:sz w:val="32"/>
          <w:szCs w:val="32"/>
        </w:rPr>
      </w:pPr>
      <w:r>
        <w:rPr>
          <w:rFonts w:hint="eastAsia" w:ascii="宋体" w:hAnsi="宋体" w:eastAsia="方正楷体_GBK" w:cs="方正楷体_GBK"/>
          <w:sz w:val="32"/>
          <w:szCs w:val="32"/>
        </w:rPr>
        <w:t>（</w:t>
      </w:r>
      <w:r>
        <w:rPr>
          <w:rFonts w:hint="eastAsia" w:ascii="宋体" w:hAnsi="宋体" w:eastAsia="方正楷体_GBK" w:cs="方正楷体_GBK"/>
          <w:sz w:val="32"/>
          <w:szCs w:val="32"/>
          <w:lang w:eastAsia="zh-CN"/>
        </w:rPr>
        <w:t>三</w:t>
      </w:r>
      <w:r>
        <w:rPr>
          <w:rFonts w:hint="eastAsia" w:ascii="宋体" w:hAnsi="宋体" w:eastAsia="方正楷体_GBK" w:cs="方正楷体_GBK"/>
          <w:sz w:val="32"/>
          <w:szCs w:val="32"/>
        </w:rPr>
        <w:t>）建立部门整改机制。</w:t>
      </w:r>
      <w:r>
        <w:rPr>
          <w:rFonts w:hint="eastAsia" w:ascii="宋体" w:hAnsi="宋体" w:eastAsia="方正仿宋_GBK" w:cs="Times New Roman"/>
          <w:sz w:val="32"/>
          <w:szCs w:val="32"/>
        </w:rPr>
        <w:t>针对项目绩效自评工作中存在的问题，积极建立整改机制，及时调整和优化后续项目和以后年度预算支出的方向和结构，进一步合理配置资源，完善项目管理办法，切实提高项目管理水平、财政资金使用效益和部门工作效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宋体" w:hAnsi="宋体" w:eastAsia="方正黑体_GBK" w:cs="Times New Roman"/>
          <w:sz w:val="32"/>
          <w:szCs w:val="32"/>
        </w:rPr>
      </w:pPr>
      <w:r>
        <w:rPr>
          <w:rFonts w:hint="eastAsia" w:ascii="宋体" w:hAnsi="宋体" w:eastAsia="方正黑体_GBK" w:cs="Times New Roman"/>
          <w:sz w:val="32"/>
          <w:szCs w:val="32"/>
        </w:rPr>
        <w:t>七、其他需说明的情况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宋体" w:hAnsi="宋体" w:eastAsia="方正仿宋_GBK" w:cs="Times New Roman"/>
          <w:sz w:val="32"/>
          <w:szCs w:val="32"/>
        </w:rPr>
      </w:pPr>
      <w:r>
        <w:rPr>
          <w:rFonts w:ascii="宋体" w:hAnsi="宋体" w:eastAsia="方正仿宋_GBK" w:cs="Times New Roman"/>
          <w:sz w:val="32"/>
          <w:szCs w:val="32"/>
        </w:rPr>
        <w:t>无</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宋体" w:hAnsi="宋体"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4480" w:firstLineChars="1400"/>
        <w:jc w:val="both"/>
        <w:textAlignment w:val="auto"/>
        <w:outlineLvl w:val="9"/>
        <w:rPr>
          <w:rFonts w:ascii="宋体" w:hAnsi="宋体" w:eastAsia="方正仿宋_GBK" w:cs="Times New Roman"/>
          <w:sz w:val="32"/>
          <w:szCs w:val="32"/>
        </w:rPr>
      </w:pPr>
      <w:r>
        <w:rPr>
          <w:rFonts w:hint="eastAsia" w:ascii="宋体" w:hAnsi="宋体" w:eastAsia="方正仿宋_GBK" w:cs="Times New Roman"/>
          <w:sz w:val="32"/>
          <w:szCs w:val="32"/>
          <w:lang w:eastAsia="zh-CN"/>
        </w:rPr>
        <w:t>西畴县</w:t>
      </w:r>
      <w:r>
        <w:rPr>
          <w:rFonts w:ascii="宋体" w:hAnsi="宋体" w:eastAsia="方正仿宋_GBK" w:cs="Times New Roman"/>
          <w:sz w:val="32"/>
          <w:szCs w:val="32"/>
        </w:rPr>
        <w:t>发展和改革</w:t>
      </w:r>
      <w:r>
        <w:rPr>
          <w:rFonts w:hint="eastAsia" w:ascii="宋体" w:hAnsi="宋体" w:eastAsia="方正仿宋_GBK" w:cs="Times New Roman"/>
          <w:sz w:val="32"/>
          <w:szCs w:val="32"/>
          <w:lang w:eastAsia="zh-CN"/>
        </w:rPr>
        <w:t>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宋体" w:hAnsi="宋体" w:eastAsia="方正仿宋_GBK" w:cs="Times New Roman"/>
          <w:sz w:val="30"/>
          <w:szCs w:val="30"/>
        </w:rPr>
      </w:pPr>
      <w:r>
        <w:rPr>
          <w:rFonts w:ascii="宋体" w:hAnsi="宋体" w:eastAsia="方正仿宋_GBK" w:cs="Times New Roman"/>
          <w:sz w:val="32"/>
          <w:szCs w:val="32"/>
        </w:rPr>
        <w:tab/>
      </w:r>
      <w:r>
        <w:rPr>
          <w:rFonts w:hint="eastAsia" w:ascii="宋体" w:hAnsi="宋体" w:eastAsia="方正仿宋_GBK" w:cs="Times New Roman"/>
          <w:sz w:val="32"/>
          <w:szCs w:val="32"/>
        </w:rPr>
        <w:t xml:space="preserve">                        </w:t>
      </w:r>
      <w:r>
        <w:rPr>
          <w:rFonts w:ascii="宋体" w:hAnsi="宋体" w:eastAsia="方正仿宋_GBK" w:cs="Times New Roman"/>
          <w:sz w:val="32"/>
          <w:szCs w:val="32"/>
        </w:rPr>
        <w:t>2019年</w:t>
      </w:r>
      <w:r>
        <w:rPr>
          <w:rFonts w:hint="eastAsia" w:ascii="宋体" w:hAnsi="宋体" w:eastAsia="方正仿宋_GBK" w:cs="Times New Roman"/>
          <w:sz w:val="32"/>
          <w:szCs w:val="32"/>
          <w:lang w:val="en-US" w:eastAsia="zh-CN"/>
        </w:rPr>
        <w:t>11</w:t>
      </w:r>
      <w:r>
        <w:rPr>
          <w:rFonts w:ascii="宋体" w:hAnsi="宋体" w:eastAsia="方正仿宋_GBK" w:cs="Times New Roman"/>
          <w:sz w:val="30"/>
          <w:szCs w:val="30"/>
        </w:rPr>
        <w:t>月2</w:t>
      </w:r>
      <w:r>
        <w:rPr>
          <w:rFonts w:hint="eastAsia" w:ascii="宋体" w:hAnsi="宋体" w:eastAsia="方正仿宋_GBK" w:cs="Times New Roman"/>
          <w:sz w:val="30"/>
          <w:szCs w:val="30"/>
          <w:lang w:val="en-US" w:eastAsia="zh-CN"/>
        </w:rPr>
        <w:t>1</w:t>
      </w:r>
      <w:r>
        <w:rPr>
          <w:rFonts w:ascii="宋体" w:hAnsi="宋体" w:eastAsia="方正仿宋_GBK" w:cs="Times New Roman"/>
          <w:sz w:val="30"/>
          <w:szCs w:val="30"/>
        </w:rPr>
        <w:t>日</w:t>
      </w:r>
    </w:p>
    <w:sectPr>
      <w:footerReference r:id="rId3" w:type="default"/>
      <w:footerReference r:id="rId4" w:type="even"/>
      <w:pgSz w:w="11906" w:h="16838"/>
      <w:pgMar w:top="1701" w:right="1531" w:bottom="153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0" w:usb3="00000000" w:csb0="00000093"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Theme="minorEastAsia" w:hAnsiTheme="minorEastAsia"/>
        <w:sz w:val="28"/>
        <w:szCs w:val="28"/>
      </w:rPr>
    </w:pPr>
    <w:r>
      <w:rPr>
        <w:rStyle w:val="7"/>
        <w:rFonts w:hint="eastAsia" w:asciiTheme="minorEastAsia" w:hAnsiTheme="minorEastAsia"/>
        <w:sz w:val="28"/>
        <w:szCs w:val="28"/>
      </w:rPr>
      <w:t>—</w:t>
    </w:r>
    <w:r>
      <w:rPr>
        <w:rStyle w:val="7"/>
        <w:rFonts w:asciiTheme="minorEastAsia" w:hAnsiTheme="minorEastAsia"/>
        <w:sz w:val="28"/>
        <w:szCs w:val="28"/>
      </w:rPr>
      <w:fldChar w:fldCharType="begin"/>
    </w:r>
    <w:r>
      <w:rPr>
        <w:rStyle w:val="7"/>
        <w:rFonts w:asciiTheme="minorEastAsia" w:hAnsiTheme="minorEastAsia"/>
        <w:sz w:val="28"/>
        <w:szCs w:val="28"/>
      </w:rPr>
      <w:instrText xml:space="preserve">PAGE  </w:instrText>
    </w:r>
    <w:r>
      <w:rPr>
        <w:rStyle w:val="7"/>
        <w:rFonts w:asciiTheme="minorEastAsia" w:hAnsiTheme="minorEastAsia"/>
        <w:sz w:val="28"/>
        <w:szCs w:val="28"/>
      </w:rPr>
      <w:fldChar w:fldCharType="separate"/>
    </w:r>
    <w:r>
      <w:rPr>
        <w:rStyle w:val="7"/>
        <w:rFonts w:asciiTheme="minorEastAsia" w:hAnsiTheme="minorEastAsia"/>
        <w:sz w:val="28"/>
        <w:szCs w:val="28"/>
      </w:rPr>
      <w:t>1</w:t>
    </w:r>
    <w:r>
      <w:rPr>
        <w:rStyle w:val="7"/>
        <w:rFonts w:asciiTheme="minorEastAsia" w:hAnsiTheme="minorEastAsia"/>
        <w:sz w:val="28"/>
        <w:szCs w:val="28"/>
      </w:rPr>
      <w:fldChar w:fldCharType="end"/>
    </w:r>
    <w:r>
      <w:rPr>
        <w:rStyle w:val="7"/>
        <w:rFonts w:hint="eastAsia" w:asciiTheme="minorEastAsia" w:hAnsiTheme="minorEastAsia"/>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34"/>
    <w:rsid w:val="00147DC7"/>
    <w:rsid w:val="00155FE3"/>
    <w:rsid w:val="0021539D"/>
    <w:rsid w:val="002578E2"/>
    <w:rsid w:val="00360BDE"/>
    <w:rsid w:val="00462DE2"/>
    <w:rsid w:val="00493301"/>
    <w:rsid w:val="00586F28"/>
    <w:rsid w:val="00590D77"/>
    <w:rsid w:val="006E69E0"/>
    <w:rsid w:val="0076290E"/>
    <w:rsid w:val="007F4734"/>
    <w:rsid w:val="008464E4"/>
    <w:rsid w:val="00C02596"/>
    <w:rsid w:val="00C31849"/>
    <w:rsid w:val="00F45971"/>
    <w:rsid w:val="00F63D4C"/>
    <w:rsid w:val="00FB10BF"/>
    <w:rsid w:val="123D1E61"/>
    <w:rsid w:val="26031B30"/>
    <w:rsid w:val="2B432ED7"/>
    <w:rsid w:val="58854D2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toc 1"/>
    <w:basedOn w:val="1"/>
    <w:next w:val="1"/>
    <w:unhideWhenUsed/>
    <w:uiPriority w:val="39"/>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after="150" w:line="315" w:lineRule="atLeast"/>
      <w:jc w:val="left"/>
    </w:pPr>
    <w:rPr>
      <w:rFonts w:ascii="Calibri" w:hAnsi="Calibri" w:eastAsia="宋体" w:cs="Times New Roman"/>
      <w:kern w:val="0"/>
      <w:szCs w:val="21"/>
    </w:rPr>
  </w:style>
  <w:style w:type="character" w:styleId="7">
    <w:name w:val="page number"/>
    <w:basedOn w:val="6"/>
    <w:unhideWhenUsed/>
    <w:qFormat/>
    <w:uiPriority w:val="99"/>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507</Words>
  <Characters>2894</Characters>
  <Lines>24</Lines>
  <Paragraphs>6</Paragraphs>
  <ScaleCrop>false</ScaleCrop>
  <LinksUpToDate>false</LinksUpToDate>
  <CharactersWithSpaces>3395</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2019-09-04T00:26:00Z</dcterms:created>
  <dc:creator>user</dc:creator>
  <cp:lastModifiedBy>Administrator</cp:lastModifiedBy>
  <cp:lastPrinted>2019-11-22T03:14:00Z</cp:lastPrinted>
  <dcterms:modified xsi:type="dcterms:W3CDTF">2019-11-22T08:43:58Z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