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12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国民经济主要指标</w:t>
      </w: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西畴县统计局   编制</w:t>
      </w:r>
    </w:p>
    <w:p>
      <w:pPr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目  录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简要分析………………………………………………………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地区生产总值…………………………………………………4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农    业………………………………………………………5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工    业………………………………………………………6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固定资产投资（不含农户）…………………………………7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财政收支………………………………………………………8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金    融………………………………………………………9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保    险………………………………………………………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10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国内贸易………………………………………………………1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能    源………………………………………………………1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.地区生产总值平稳增长。</w:t>
      </w:r>
      <w:r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根据省、州统计局统一核算反馈，2020年全县实现地区生产总值563525万元，同比增长6.3%。其中：第一产业实现增加值156861万元，增长5.5%，拉动GDP增长1.4个百分点；第二产业实现增加值139821万元，增长8.0%，拉动GDP增长2.3个百分点；第三产业实现增加值266843万元，增长5.6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，拉动GDP增长2.6个百分点。三次产业比重为27.8: 24.8 : 47.4。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.农业农村经济稳步发展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全年农业总产值257553万元，同比增长5.6%，实现农林牧渔业增加值同比增长5.6%。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3.工业经济稳定增长。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全年完成全部工业增加值同比增长4.1%。1—12月，完成规模以上工业增加值同比增长4.2%。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.固定资产投资高速增长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全年完成固定资产投资同比增长37.5%。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.社会消费品零售额降幅扩大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全年实现社会消费品零售总额303126万元，同比下降10.1%。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6.财政收支小幅增长。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全年完成财政总收入37700万元，同比增长3.9%。完成地方公共财政预算收入24808万元，同比增长3.3%。完成地方公共财政预算支出264895万元，同比增长1.5%。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.金融存贷款稳定增长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12月末，金融机构人民币存款余额576996万元，同比增长5.0%。金融机构人民币贷款余额为599651万元，同比增长13.9%。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.城乡居民收入稳步增长</w:t>
      </w:r>
      <w:r>
        <w:rPr>
          <w:rFonts w:hint="default" w:ascii="Times New Roman" w:hAnsi="Times New Roman" w:eastAsia="方正楷体_GBK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全年城镇常住居民人均可支配收入30758元，同比增长4.3%；全年农村常住居民人均可支配收入11495元，同比增长8.8%。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7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7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7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7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7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7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10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1513"/>
        <w:gridCol w:w="1618"/>
        <w:gridCol w:w="1694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762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地区生产总值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1—本季度累计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189449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563525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508901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一、第一产业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78736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156861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131873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3.林业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4.渔业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二、第二产业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44682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139821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128397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1.工业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2.建筑业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三、第三产业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66031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266843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248631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5.6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8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4"/>
        <w:gridCol w:w="223"/>
        <w:gridCol w:w="283"/>
        <w:gridCol w:w="67"/>
        <w:gridCol w:w="53"/>
        <w:gridCol w:w="165"/>
        <w:gridCol w:w="645"/>
        <w:gridCol w:w="109"/>
        <w:gridCol w:w="57"/>
        <w:gridCol w:w="344"/>
        <w:gridCol w:w="472"/>
        <w:gridCol w:w="53"/>
        <w:gridCol w:w="15"/>
        <w:gridCol w:w="765"/>
        <w:gridCol w:w="120"/>
        <w:gridCol w:w="285"/>
        <w:gridCol w:w="429"/>
        <w:gridCol w:w="138"/>
        <w:gridCol w:w="227"/>
        <w:gridCol w:w="361"/>
        <w:gridCol w:w="79"/>
        <w:gridCol w:w="40"/>
        <w:gridCol w:w="256"/>
        <w:gridCol w:w="1185"/>
        <w:gridCol w:w="15"/>
        <w:gridCol w:w="1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75" w:hRule="atLeast"/>
        </w:trPr>
        <w:tc>
          <w:tcPr>
            <w:tcW w:w="8725" w:type="dxa"/>
            <w:gridSpan w:val="2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 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480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8" w:type="dxa"/>
            <w:gridSpan w:val="2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单位：万元、万只、万头、吨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195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80" w:hRule="atLeast"/>
        </w:trPr>
        <w:tc>
          <w:tcPr>
            <w:tcW w:w="2577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1—本季度累计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49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一、农业产值</w:t>
            </w:r>
          </w:p>
        </w:tc>
        <w:tc>
          <w:tcPr>
            <w:tcW w:w="6148" w:type="dxa"/>
            <w:gridSpan w:val="2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82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总产值(不变价增速)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121632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257553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214161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2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1.农业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65073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118623</w:t>
            </w:r>
          </w:p>
        </w:tc>
        <w:tc>
          <w:tcPr>
            <w:tcW w:w="156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114553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9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35363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104279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70782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6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3.林业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15227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22710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18632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4.渔业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892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4117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3789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5077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7824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6405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74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6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94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60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8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6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99" w:hRule="atLeast"/>
        </w:trPr>
        <w:tc>
          <w:tcPr>
            <w:tcW w:w="8740" w:type="dxa"/>
            <w:gridSpan w:val="2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 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84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44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季)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84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54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69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规模以上工业销售产值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29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7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1、黄金（千克）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123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926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912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4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2、砖（万块）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1168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12326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14052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90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3、铁合金（吨）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28281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22107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4、自来水供量（万立方米）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176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167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5、锌（吨）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311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705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1028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6、蔗糖（吨）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14164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53049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48316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7、铝土（万吨）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12.8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135.2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129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45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8、塑木（吨）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161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2031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1251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104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9、商品混凝土（立方米）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12787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80621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146697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54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10、石材（平方米）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4000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44397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42773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19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11、钢结构(吨）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116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146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77" w:hRule="atLeast"/>
        </w:trPr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、锯材加工（立方米）</w:t>
            </w: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1439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12838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14334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25" w:hRule="atLeast"/>
        </w:trPr>
        <w:tc>
          <w:tcPr>
            <w:tcW w:w="8740" w:type="dxa"/>
            <w:gridSpan w:val="2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固定资产投资（不含农户）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30" w:hRule="atLeast"/>
        </w:trPr>
        <w:tc>
          <w:tcPr>
            <w:tcW w:w="3145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9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180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49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04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60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7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30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20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3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公共管理和社会团体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8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89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60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0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60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5"/>
                <w:rFonts w:hint="default" w:ascii="Times New Roman" w:hAnsi="Times New Roman" w:eastAsia="方正仿宋_GBK" w:cs="Times New Roman"/>
                <w:lang w:val="en-US" w:eastAsia="zh-CN" w:bidi="ar"/>
              </w:rPr>
              <w:t>二产业投资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0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_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3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61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72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95" w:hRule="atLeast"/>
        </w:trPr>
        <w:tc>
          <w:tcPr>
            <w:tcW w:w="3145" w:type="dxa"/>
            <w:gridSpan w:val="6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2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8770" w:type="dxa"/>
            <w:gridSpan w:val="2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一、财政总收入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2753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37700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36292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1、中央、省级收入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919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12892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12265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2、公共财政预算收入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1834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24808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24027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其中：税务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1394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21903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19901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财政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440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2905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4126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二、公共财政预算支出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15525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264895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260976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2485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22193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33785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909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7846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7255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5816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55630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57188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131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327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2022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文化体育与传媒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225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2284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206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1008.7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8570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48431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48018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3803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32654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27306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1699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13694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12606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城乡社区事务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-11333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18472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44826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农林水事务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2147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41557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15376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-105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2673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980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379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资源勘探、商业金融国土资源等事务</w:t>
            </w: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1159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18969</w:t>
            </w:r>
          </w:p>
        </w:tc>
        <w:tc>
          <w:tcPr>
            <w:tcW w:w="1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17688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0" w:type="dxa"/>
            <w:gridSpan w:val="2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  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2980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576996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549660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其中：单位存款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158029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164950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个人储蓄存款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416689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375222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34114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45309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农业银行存款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137417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136659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7942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1832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邮政存款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77858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74428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农村信用社存款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317513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281946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599651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526289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其中：短期贷款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120606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101705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中长期贷款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466846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418684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206862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201036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农业银行贷款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102231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94753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39831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438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8993.8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9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农村信用社贷款</w:t>
            </w:r>
          </w:p>
        </w:tc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250726</w:t>
            </w:r>
          </w:p>
        </w:tc>
        <w:tc>
          <w:tcPr>
            <w:tcW w:w="2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230062</w:t>
            </w:r>
          </w:p>
        </w:tc>
        <w:tc>
          <w:tcPr>
            <w:tcW w:w="1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8770" w:type="dxa"/>
            <w:gridSpan w:val="2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520" w:firstLineChars="1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    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27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</w:rPr>
              <w:t xml:space="preserve">3   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</w:rPr>
              <w:t xml:space="preserve">3  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5849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5584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328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307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2495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2519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3026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2758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2227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2195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101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89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1495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1334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631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772</w:t>
            </w:r>
          </w:p>
        </w:tc>
        <w:tc>
          <w:tcPr>
            <w:tcW w:w="2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75" w:hRule="atLeast"/>
        </w:trPr>
        <w:tc>
          <w:tcPr>
            <w:tcW w:w="8755" w:type="dxa"/>
            <w:gridSpan w:val="2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60" w:hRule="atLeast"/>
        </w:trPr>
        <w:tc>
          <w:tcPr>
            <w:tcW w:w="235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7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　同期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9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26767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303126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337190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8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一、按销售地区分：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5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1.城镇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13867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157201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174190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9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2.乡村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12900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145925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163000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4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二、按形态和成份分：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5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1.餐饮收入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4224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47692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53293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2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2.商品零售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22543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255434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283897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4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三、各行业收入：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7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8893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57566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55470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6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18230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141647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146159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3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912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1361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8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4.餐饮业营业额</w:t>
            </w: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3709</w:t>
            </w:r>
          </w:p>
        </w:tc>
        <w:tc>
          <w:tcPr>
            <w:tcW w:w="1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26365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28091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-6.1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10"/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0"/>
        <w:gridCol w:w="794"/>
        <w:gridCol w:w="591"/>
        <w:gridCol w:w="1440"/>
        <w:gridCol w:w="525"/>
        <w:gridCol w:w="975"/>
        <w:gridCol w:w="1440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劳动工资和居民生活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单位：人、万元、元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一、从业人员期末人数</w:t>
            </w:r>
          </w:p>
        </w:tc>
        <w:tc>
          <w:tcPr>
            <w:tcW w:w="255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1651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其他经济单位</w:t>
            </w:r>
          </w:p>
        </w:tc>
        <w:tc>
          <w:tcPr>
            <w:tcW w:w="255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1651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8550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8550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三、从业人员平均工资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52283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  其他经济单位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52283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30758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11495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06"/>
              </w:tabs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104.2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八、商品零售价格指数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102.7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九、农业生产资料价格指数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104.7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87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   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770" w:hRule="atLeast"/>
        </w:trPr>
        <w:tc>
          <w:tcPr>
            <w:tcW w:w="29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350" w:hRule="atLeast"/>
        </w:trPr>
        <w:tc>
          <w:tcPr>
            <w:tcW w:w="296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   标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1—本月累计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420" w:hRule="atLeast"/>
        </w:trPr>
        <w:tc>
          <w:tcPr>
            <w:tcW w:w="2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76376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67457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15" w:hRule="atLeast"/>
        </w:trPr>
        <w:tc>
          <w:tcPr>
            <w:tcW w:w="2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15596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13535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339" w:hRule="atLeast"/>
        </w:trPr>
        <w:tc>
          <w:tcPr>
            <w:tcW w:w="2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1.9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64" w:hRule="atLeast"/>
        </w:trPr>
        <w:tc>
          <w:tcPr>
            <w:tcW w:w="2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0.39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25" w:hRule="atLeast"/>
        </w:trPr>
        <w:tc>
          <w:tcPr>
            <w:tcW w:w="2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33420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80" w:hRule="atLeast"/>
        </w:trPr>
        <w:tc>
          <w:tcPr>
            <w:tcW w:w="29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40700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51823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-21.5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95" w:hRule="atLeast"/>
        </w:trPr>
        <w:tc>
          <w:tcPr>
            <w:tcW w:w="87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7" w:right="1587" w:bottom="1417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cs="Times New Roman"/>
        <w:sz w:val="28"/>
        <w:szCs w:val="28"/>
      </w:rPr>
    </w:pPr>
    <w:r>
      <w:rPr>
        <w:rStyle w:val="13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3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3"/>
        <w:rFonts w:cs="Times New Roman"/>
        <w:sz w:val="28"/>
        <w:szCs w:val="28"/>
        <w:lang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3"/>
        <w:rFonts w:cs="Times New Roman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3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3"/>
        <w:rFonts w:cs="Times New Roman"/>
        <w:sz w:val="28"/>
        <w:szCs w:val="28"/>
        <w:lang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3"/>
        <w:rFonts w:hint="eastAsia" w:cs="Times New Roman"/>
        <w:sz w:val="28"/>
        <w:szCs w:val="28"/>
      </w:rPr>
      <w:t>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0511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D1795A"/>
    <w:rsid w:val="05312BC5"/>
    <w:rsid w:val="058D3726"/>
    <w:rsid w:val="05954CAA"/>
    <w:rsid w:val="05F57710"/>
    <w:rsid w:val="06231973"/>
    <w:rsid w:val="062324A7"/>
    <w:rsid w:val="0640191C"/>
    <w:rsid w:val="067214D8"/>
    <w:rsid w:val="06A71B8C"/>
    <w:rsid w:val="06CC4DF6"/>
    <w:rsid w:val="07EA21F2"/>
    <w:rsid w:val="07F42807"/>
    <w:rsid w:val="08FE64F9"/>
    <w:rsid w:val="090B1FB3"/>
    <w:rsid w:val="09611307"/>
    <w:rsid w:val="0A612082"/>
    <w:rsid w:val="0BF60901"/>
    <w:rsid w:val="0C28753F"/>
    <w:rsid w:val="0C8426E5"/>
    <w:rsid w:val="0D59061B"/>
    <w:rsid w:val="0D976F15"/>
    <w:rsid w:val="0DAB3996"/>
    <w:rsid w:val="0DF76381"/>
    <w:rsid w:val="0E7F22A6"/>
    <w:rsid w:val="0E8545C1"/>
    <w:rsid w:val="0EB52E84"/>
    <w:rsid w:val="0EFD3A80"/>
    <w:rsid w:val="0F3B10EF"/>
    <w:rsid w:val="0F8F2DA9"/>
    <w:rsid w:val="0F95643E"/>
    <w:rsid w:val="10556D13"/>
    <w:rsid w:val="107D19EC"/>
    <w:rsid w:val="109B78C8"/>
    <w:rsid w:val="10AA20FA"/>
    <w:rsid w:val="10FE767A"/>
    <w:rsid w:val="11FB1C6A"/>
    <w:rsid w:val="12146087"/>
    <w:rsid w:val="128C01EA"/>
    <w:rsid w:val="1296184A"/>
    <w:rsid w:val="12AD2315"/>
    <w:rsid w:val="12B9026F"/>
    <w:rsid w:val="13261D94"/>
    <w:rsid w:val="1363088F"/>
    <w:rsid w:val="149427C2"/>
    <w:rsid w:val="152722B2"/>
    <w:rsid w:val="153A341E"/>
    <w:rsid w:val="154B28DB"/>
    <w:rsid w:val="157151B4"/>
    <w:rsid w:val="15F94C78"/>
    <w:rsid w:val="15FC2F2C"/>
    <w:rsid w:val="16774219"/>
    <w:rsid w:val="168C2AE3"/>
    <w:rsid w:val="1733482B"/>
    <w:rsid w:val="17536053"/>
    <w:rsid w:val="176E75B0"/>
    <w:rsid w:val="17E77829"/>
    <w:rsid w:val="17F97D3B"/>
    <w:rsid w:val="18D02496"/>
    <w:rsid w:val="197C272D"/>
    <w:rsid w:val="198A20F4"/>
    <w:rsid w:val="198D529B"/>
    <w:rsid w:val="19DA7091"/>
    <w:rsid w:val="19E7477E"/>
    <w:rsid w:val="1A144A04"/>
    <w:rsid w:val="1AB35CBE"/>
    <w:rsid w:val="1B170B16"/>
    <w:rsid w:val="1B2A0A6C"/>
    <w:rsid w:val="1B82444E"/>
    <w:rsid w:val="1B85520A"/>
    <w:rsid w:val="1BB30511"/>
    <w:rsid w:val="1BB87138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590F21"/>
    <w:rsid w:val="1EBE0030"/>
    <w:rsid w:val="1F295FFF"/>
    <w:rsid w:val="1F945A49"/>
    <w:rsid w:val="1FC63C6E"/>
    <w:rsid w:val="1FD922EB"/>
    <w:rsid w:val="1FE61349"/>
    <w:rsid w:val="200F40F3"/>
    <w:rsid w:val="20D15129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B23C32"/>
    <w:rsid w:val="26E35888"/>
    <w:rsid w:val="276D7075"/>
    <w:rsid w:val="27CF1547"/>
    <w:rsid w:val="27D876FC"/>
    <w:rsid w:val="27FE7724"/>
    <w:rsid w:val="28224FBF"/>
    <w:rsid w:val="28AB3902"/>
    <w:rsid w:val="28E551DF"/>
    <w:rsid w:val="29351217"/>
    <w:rsid w:val="29592F3E"/>
    <w:rsid w:val="2A4B5CAC"/>
    <w:rsid w:val="2A964B58"/>
    <w:rsid w:val="2B16517E"/>
    <w:rsid w:val="2BAB6C2E"/>
    <w:rsid w:val="2C0660CD"/>
    <w:rsid w:val="2C0A492B"/>
    <w:rsid w:val="2C152D68"/>
    <w:rsid w:val="2C61767A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D50A4"/>
    <w:rsid w:val="2EC6482D"/>
    <w:rsid w:val="2EC73F75"/>
    <w:rsid w:val="2FE5663F"/>
    <w:rsid w:val="304E0168"/>
    <w:rsid w:val="31274763"/>
    <w:rsid w:val="3149243E"/>
    <w:rsid w:val="314976A8"/>
    <w:rsid w:val="315C4847"/>
    <w:rsid w:val="31712A78"/>
    <w:rsid w:val="317A1C63"/>
    <w:rsid w:val="32710929"/>
    <w:rsid w:val="328929AC"/>
    <w:rsid w:val="32A22A5F"/>
    <w:rsid w:val="33086B41"/>
    <w:rsid w:val="336A318A"/>
    <w:rsid w:val="3374280E"/>
    <w:rsid w:val="33A10BAC"/>
    <w:rsid w:val="33CD40B2"/>
    <w:rsid w:val="33ED7EE7"/>
    <w:rsid w:val="33F35104"/>
    <w:rsid w:val="34CD61FC"/>
    <w:rsid w:val="34D3510E"/>
    <w:rsid w:val="355B0286"/>
    <w:rsid w:val="36610B8C"/>
    <w:rsid w:val="36A419B8"/>
    <w:rsid w:val="36D03CED"/>
    <w:rsid w:val="36EE015E"/>
    <w:rsid w:val="37405C87"/>
    <w:rsid w:val="376E286C"/>
    <w:rsid w:val="387257D6"/>
    <w:rsid w:val="388F5CEE"/>
    <w:rsid w:val="38B16D7D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3837E8"/>
    <w:rsid w:val="3B664EB8"/>
    <w:rsid w:val="3C5714CA"/>
    <w:rsid w:val="3C660AF7"/>
    <w:rsid w:val="3C78003B"/>
    <w:rsid w:val="3C807290"/>
    <w:rsid w:val="3CB8718D"/>
    <w:rsid w:val="3CBF392E"/>
    <w:rsid w:val="3CED7C42"/>
    <w:rsid w:val="3D2E093E"/>
    <w:rsid w:val="3D794F67"/>
    <w:rsid w:val="3DAE167E"/>
    <w:rsid w:val="3E0148B1"/>
    <w:rsid w:val="3E890B9C"/>
    <w:rsid w:val="3F0E65FB"/>
    <w:rsid w:val="3FEB101D"/>
    <w:rsid w:val="40CA7D7C"/>
    <w:rsid w:val="40CE4715"/>
    <w:rsid w:val="411D6A5D"/>
    <w:rsid w:val="41475B10"/>
    <w:rsid w:val="419F6F8A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6996F4B"/>
    <w:rsid w:val="46D203DA"/>
    <w:rsid w:val="46FC5937"/>
    <w:rsid w:val="479B0522"/>
    <w:rsid w:val="47A45AA1"/>
    <w:rsid w:val="48F4053D"/>
    <w:rsid w:val="49152A0A"/>
    <w:rsid w:val="4923096F"/>
    <w:rsid w:val="49636B12"/>
    <w:rsid w:val="49674FC7"/>
    <w:rsid w:val="4A433E8E"/>
    <w:rsid w:val="4A81664D"/>
    <w:rsid w:val="4A8A5A1E"/>
    <w:rsid w:val="4AA81FCA"/>
    <w:rsid w:val="4B1E4BE0"/>
    <w:rsid w:val="4B2256EF"/>
    <w:rsid w:val="4B6C4E75"/>
    <w:rsid w:val="4B7F5982"/>
    <w:rsid w:val="4BD7779F"/>
    <w:rsid w:val="4C767BD5"/>
    <w:rsid w:val="4C7E73A7"/>
    <w:rsid w:val="4C8D4EBC"/>
    <w:rsid w:val="4CF968FE"/>
    <w:rsid w:val="4D9277B0"/>
    <w:rsid w:val="4E1E6BF2"/>
    <w:rsid w:val="4E821F2D"/>
    <w:rsid w:val="4E89583B"/>
    <w:rsid w:val="4F3B323C"/>
    <w:rsid w:val="4F590315"/>
    <w:rsid w:val="4F5972FA"/>
    <w:rsid w:val="4F96751E"/>
    <w:rsid w:val="4FAF10E3"/>
    <w:rsid w:val="505C1CA3"/>
    <w:rsid w:val="507014CA"/>
    <w:rsid w:val="50B831FA"/>
    <w:rsid w:val="50CE65D5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B879E1"/>
    <w:rsid w:val="554B4C20"/>
    <w:rsid w:val="556C2A71"/>
    <w:rsid w:val="556E1AF8"/>
    <w:rsid w:val="56131C96"/>
    <w:rsid w:val="565C29A7"/>
    <w:rsid w:val="56D85521"/>
    <w:rsid w:val="57152C06"/>
    <w:rsid w:val="574C0F05"/>
    <w:rsid w:val="57C46FB9"/>
    <w:rsid w:val="57EE5DDF"/>
    <w:rsid w:val="58FF77F4"/>
    <w:rsid w:val="59360FA9"/>
    <w:rsid w:val="598445FA"/>
    <w:rsid w:val="59D75A09"/>
    <w:rsid w:val="5A247C32"/>
    <w:rsid w:val="5A717F36"/>
    <w:rsid w:val="5AFA19DD"/>
    <w:rsid w:val="5AFB1C3B"/>
    <w:rsid w:val="5B5A7F6F"/>
    <w:rsid w:val="5BBD2A0F"/>
    <w:rsid w:val="5BE701EA"/>
    <w:rsid w:val="5C243004"/>
    <w:rsid w:val="5C4C0E8F"/>
    <w:rsid w:val="5CBC5785"/>
    <w:rsid w:val="5D016A58"/>
    <w:rsid w:val="5D180554"/>
    <w:rsid w:val="5D8B7789"/>
    <w:rsid w:val="5DDE7D56"/>
    <w:rsid w:val="5EAD4CDD"/>
    <w:rsid w:val="5F377AFB"/>
    <w:rsid w:val="5FB33D4F"/>
    <w:rsid w:val="5FD202ED"/>
    <w:rsid w:val="600D534A"/>
    <w:rsid w:val="6033712B"/>
    <w:rsid w:val="60DF19E3"/>
    <w:rsid w:val="61220591"/>
    <w:rsid w:val="61240EB1"/>
    <w:rsid w:val="61CB488B"/>
    <w:rsid w:val="61D602F3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79214B"/>
    <w:rsid w:val="673D5E69"/>
    <w:rsid w:val="67453245"/>
    <w:rsid w:val="67516216"/>
    <w:rsid w:val="67744D5D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C74FC7"/>
    <w:rsid w:val="6CFB7CDE"/>
    <w:rsid w:val="6D3D6991"/>
    <w:rsid w:val="6D7E0BE9"/>
    <w:rsid w:val="6D8608FC"/>
    <w:rsid w:val="6ECD1366"/>
    <w:rsid w:val="6F202EE2"/>
    <w:rsid w:val="6F643BA2"/>
    <w:rsid w:val="6FA9195D"/>
    <w:rsid w:val="6FB12A76"/>
    <w:rsid w:val="6FF9248B"/>
    <w:rsid w:val="7022207B"/>
    <w:rsid w:val="70803CE0"/>
    <w:rsid w:val="715F731D"/>
    <w:rsid w:val="716807C8"/>
    <w:rsid w:val="71B07349"/>
    <w:rsid w:val="71EE4E62"/>
    <w:rsid w:val="72122206"/>
    <w:rsid w:val="72446CF4"/>
    <w:rsid w:val="733153B1"/>
    <w:rsid w:val="738F4890"/>
    <w:rsid w:val="73C91C4A"/>
    <w:rsid w:val="73F24728"/>
    <w:rsid w:val="74051A55"/>
    <w:rsid w:val="742469B9"/>
    <w:rsid w:val="74645FB0"/>
    <w:rsid w:val="7474293E"/>
    <w:rsid w:val="75A32B24"/>
    <w:rsid w:val="75EB59C1"/>
    <w:rsid w:val="76750E15"/>
    <w:rsid w:val="7747784E"/>
    <w:rsid w:val="77A87528"/>
    <w:rsid w:val="7814097C"/>
    <w:rsid w:val="78220224"/>
    <w:rsid w:val="78506B1C"/>
    <w:rsid w:val="789D4245"/>
    <w:rsid w:val="7914087C"/>
    <w:rsid w:val="79B64416"/>
    <w:rsid w:val="7A0B4E0A"/>
    <w:rsid w:val="7A740F00"/>
    <w:rsid w:val="7A7C5D8C"/>
    <w:rsid w:val="7AA57BBF"/>
    <w:rsid w:val="7B076A95"/>
    <w:rsid w:val="7B385380"/>
    <w:rsid w:val="7B5F3384"/>
    <w:rsid w:val="7BDE7B76"/>
    <w:rsid w:val="7BF41DB7"/>
    <w:rsid w:val="7D3028BD"/>
    <w:rsid w:val="7D3444AA"/>
    <w:rsid w:val="7DAF4F9F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26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方正仿宋简体"/>
      <w:sz w:val="32"/>
      <w:szCs w:val="24"/>
    </w:rPr>
  </w:style>
  <w:style w:type="paragraph" w:styleId="4">
    <w:name w:val="annotation text"/>
    <w:basedOn w:val="1"/>
    <w:link w:val="27"/>
    <w:semiHidden/>
    <w:uiPriority w:val="99"/>
    <w:pPr>
      <w:jc w:val="left"/>
    </w:pPr>
  </w:style>
  <w:style w:type="paragraph" w:styleId="5">
    <w:name w:val="Balloon Text"/>
    <w:basedOn w:val="1"/>
    <w:link w:val="23"/>
    <w:semiHidden/>
    <w:uiPriority w:val="99"/>
    <w:rPr>
      <w:sz w:val="18"/>
      <w:szCs w:val="18"/>
    </w:rPr>
  </w:style>
  <w:style w:type="paragraph" w:styleId="6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9">
    <w:name w:val="annotation subject"/>
    <w:basedOn w:val="4"/>
    <w:next w:val="4"/>
    <w:link w:val="21"/>
    <w:semiHidden/>
    <w:uiPriority w:val="99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locked/>
    <w:uiPriority w:val="99"/>
  </w:style>
  <w:style w:type="character" w:styleId="14">
    <w:name w:val="FollowedHyperlink"/>
    <w:basedOn w:val="11"/>
    <w:unhideWhenUsed/>
    <w:locked/>
    <w:uiPriority w:val="99"/>
    <w:rPr>
      <w:color w:val="000000"/>
      <w:u w:val="none"/>
    </w:rPr>
  </w:style>
  <w:style w:type="character" w:styleId="15">
    <w:name w:val="Hyperlink"/>
    <w:uiPriority w:val="99"/>
    <w:rPr>
      <w:color w:val="000000"/>
      <w:u w:val="none"/>
    </w:rPr>
  </w:style>
  <w:style w:type="character" w:styleId="16">
    <w:name w:val="annotation reference"/>
    <w:semiHidden/>
    <w:uiPriority w:val="99"/>
    <w:rPr>
      <w:sz w:val="21"/>
      <w:szCs w:val="21"/>
    </w:rPr>
  </w:style>
  <w:style w:type="paragraph" w:customStyle="1" w:styleId="17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18">
    <w:name w:val="正文 + 小四号 首行缩进:  2 字符"/>
    <w:basedOn w:val="1"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0">
    <w:name w:val="页眉 字符"/>
    <w:link w:val="7"/>
    <w:locked/>
    <w:uiPriority w:val="99"/>
    <w:rPr>
      <w:kern w:val="2"/>
      <w:sz w:val="18"/>
      <w:szCs w:val="18"/>
    </w:rPr>
  </w:style>
  <w:style w:type="character" w:customStyle="1" w:styleId="21">
    <w:name w:val="批注主题 字符"/>
    <w:link w:val="9"/>
    <w:locked/>
    <w:uiPriority w:val="99"/>
    <w:rPr>
      <w:b/>
      <w:bCs/>
      <w:kern w:val="2"/>
      <w:sz w:val="24"/>
      <w:szCs w:val="24"/>
    </w:rPr>
  </w:style>
  <w:style w:type="character" w:customStyle="1" w:styleId="22">
    <w:name w:val="页脚 字符"/>
    <w:link w:val="6"/>
    <w:locked/>
    <w:uiPriority w:val="99"/>
    <w:rPr>
      <w:kern w:val="2"/>
      <w:sz w:val="18"/>
      <w:szCs w:val="18"/>
    </w:rPr>
  </w:style>
  <w:style w:type="character" w:customStyle="1" w:styleId="23">
    <w:name w:val="批注框文本 字符"/>
    <w:link w:val="5"/>
    <w:locked/>
    <w:uiPriority w:val="99"/>
    <w:rPr>
      <w:kern w:val="2"/>
      <w:sz w:val="18"/>
      <w:szCs w:val="18"/>
    </w:rPr>
  </w:style>
  <w:style w:type="character" w:customStyle="1" w:styleId="24">
    <w:name w:val="font41"/>
    <w:basedOn w:val="11"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5">
    <w:name w:val="font51"/>
    <w:basedOn w:val="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标题 3 字符"/>
    <w:link w:val="3"/>
    <w:semiHidden/>
    <w:locked/>
    <w:uiPriority w:val="99"/>
    <w:rPr>
      <w:b/>
      <w:bCs/>
      <w:sz w:val="32"/>
      <w:szCs w:val="32"/>
    </w:rPr>
  </w:style>
  <w:style w:type="character" w:customStyle="1" w:styleId="27">
    <w:name w:val="批注文字 字符"/>
    <w:link w:val="4"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510</Words>
  <Characters>2911</Characters>
  <Lines>24</Lines>
  <Paragraphs>6</Paragraphs>
  <TotalTime>0</TotalTime>
  <ScaleCrop>false</ScaleCrop>
  <LinksUpToDate>false</LinksUpToDate>
  <CharactersWithSpaces>3415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2019-06-26T01:19:28Z</cp:lastPrinted>
  <dcterms:modified xsi:type="dcterms:W3CDTF">2021-02-01T09:15:13Z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