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71" w:lineRule="auto"/>
      </w:pPr>
    </w:p>
    <w:p>
      <w:pPr>
        <w:pStyle w:val="3"/>
        <w:spacing w:line="271" w:lineRule="auto"/>
      </w:pPr>
    </w:p>
    <w:p>
      <w:pPr>
        <w:pStyle w:val="3"/>
        <w:spacing w:line="271" w:lineRule="auto"/>
      </w:pPr>
    </w:p>
    <w:p>
      <w:pPr>
        <w:pStyle w:val="3"/>
        <w:spacing w:line="271" w:lineRule="auto"/>
      </w:pPr>
    </w:p>
    <w:p>
      <w:pPr>
        <w:pStyle w:val="3"/>
        <w:spacing w:line="271" w:lineRule="auto"/>
      </w:pPr>
    </w:p>
    <w:p>
      <w:pPr>
        <w:pStyle w:val="3"/>
        <w:spacing w:line="272" w:lineRule="auto"/>
      </w:pPr>
    </w:p>
    <w:p>
      <w:pPr>
        <w:pStyle w:val="3"/>
        <w:spacing w:line="272" w:lineRule="auto"/>
      </w:pPr>
    </w:p>
    <w:p>
      <w:pPr>
        <w:keepNext w:val="0"/>
        <w:keepLines w:val="0"/>
        <w:pageBreakBefore w:val="0"/>
        <w:widowControl/>
        <w:tabs>
          <w:tab w:val="left" w:pos="777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560" w:lineRule="exact"/>
        <w:ind w:left="0" w:leftChars="0" w:right="-23" w:rightChars="0" w:firstLine="0" w:firstLineChars="0"/>
        <w:jc w:val="center"/>
        <w:textAlignment w:val="baseline"/>
        <w:outlineLvl w:val="0"/>
        <w:rPr>
          <w:rFonts w:ascii="楷体" w:hAnsi="楷体" w:eastAsia="楷体" w:cs="楷体"/>
          <w:spacing w:val="-2"/>
          <w:sz w:val="48"/>
          <w:szCs w:val="48"/>
        </w:rPr>
      </w:pPr>
      <w:bookmarkStart w:id="0" w:name="_Toc22941"/>
      <w:r>
        <w:rPr>
          <w:rFonts w:hint="eastAsia" w:ascii="楷体" w:hAnsi="楷体" w:eastAsia="楷体" w:cs="楷体"/>
          <w:spacing w:val="-1"/>
          <w:sz w:val="48"/>
          <w:szCs w:val="48"/>
          <w:lang w:val="en-US" w:eastAsia="zh-CN"/>
        </w:rPr>
        <w:t>西畴县</w:t>
      </w:r>
      <w:bookmarkEnd w:id="0"/>
      <w:r>
        <w:rPr>
          <w:rFonts w:ascii="Times New Roman" w:hAnsi="Times New Roman" w:eastAsia="Times New Roman" w:cs="Times New Roman"/>
          <w:b/>
          <w:bCs/>
          <w:spacing w:val="-1"/>
          <w:sz w:val="48"/>
          <w:szCs w:val="48"/>
        </w:rPr>
        <w:t>202</w:t>
      </w:r>
      <w:r>
        <w:rPr>
          <w:rFonts w:hint="eastAsia" w:ascii="Times New Roman" w:hAnsi="Times New Roman" w:eastAsia="宋体" w:cs="Times New Roman"/>
          <w:b/>
          <w:bCs/>
          <w:spacing w:val="-1"/>
          <w:sz w:val="48"/>
          <w:szCs w:val="48"/>
          <w:lang w:val="en-US" w:eastAsia="zh-CN"/>
        </w:rPr>
        <w:t>3</w:t>
      </w:r>
      <w:r>
        <w:rPr>
          <w:rFonts w:ascii="楷体" w:hAnsi="楷体" w:eastAsia="楷体" w:cs="楷体"/>
          <w:spacing w:val="-1"/>
          <w:sz w:val="48"/>
          <w:szCs w:val="48"/>
        </w:rPr>
        <w:t>年</w:t>
      </w:r>
      <w:r>
        <w:rPr>
          <w:rFonts w:hint="eastAsia" w:ascii="楷体" w:hAnsi="楷体" w:eastAsia="楷体" w:cs="楷体"/>
          <w:spacing w:val="-1"/>
          <w:sz w:val="48"/>
          <w:szCs w:val="48"/>
          <w:lang w:eastAsia="zh-CN"/>
        </w:rPr>
        <w:t>园林草</w:t>
      </w:r>
      <w:r>
        <w:rPr>
          <w:rFonts w:ascii="楷体" w:hAnsi="楷体" w:eastAsia="楷体" w:cs="楷体"/>
          <w:spacing w:val="-2"/>
          <w:sz w:val="48"/>
          <w:szCs w:val="48"/>
        </w:rPr>
        <w:t>定级</w:t>
      </w:r>
      <w:r>
        <w:rPr>
          <w:rFonts w:hint="eastAsia" w:ascii="楷体" w:hAnsi="楷体" w:eastAsia="楷体" w:cs="楷体"/>
          <w:spacing w:val="-2"/>
          <w:sz w:val="48"/>
          <w:szCs w:val="48"/>
          <w:lang w:eastAsia="zh-CN"/>
        </w:rPr>
        <w:t>和基准地价</w:t>
      </w:r>
      <w:r>
        <w:rPr>
          <w:rFonts w:ascii="楷体" w:hAnsi="楷体" w:eastAsia="楷体" w:cs="楷体"/>
          <w:spacing w:val="-2"/>
          <w:sz w:val="48"/>
          <w:szCs w:val="48"/>
        </w:rPr>
        <w:t>成果</w:t>
      </w:r>
      <w:r>
        <w:rPr>
          <w:rFonts w:hint="eastAsia" w:ascii="楷体" w:hAnsi="楷体" w:eastAsia="楷体" w:cs="楷体"/>
          <w:spacing w:val="-2"/>
          <w:sz w:val="48"/>
          <w:szCs w:val="48"/>
          <w:lang w:eastAsia="zh-CN"/>
        </w:rPr>
        <w:t>（草案）</w:t>
      </w:r>
    </w:p>
    <w:p>
      <w:pPr>
        <w:keepNext w:val="0"/>
        <w:keepLines w:val="0"/>
        <w:pageBreakBefore w:val="0"/>
        <w:widowControl/>
        <w:tabs>
          <w:tab w:val="left" w:pos="777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560" w:lineRule="exact"/>
        <w:ind w:left="0" w:leftChars="0" w:right="-23" w:rightChars="0" w:firstLine="0" w:firstLineChars="0"/>
        <w:jc w:val="center"/>
        <w:textAlignment w:val="baseline"/>
        <w:outlineLvl w:val="9"/>
        <w:rPr>
          <w:rFonts w:ascii="楷体" w:hAnsi="楷体" w:eastAsia="楷体" w:cs="楷体"/>
          <w:spacing w:val="-2"/>
          <w:sz w:val="48"/>
          <w:szCs w:val="48"/>
        </w:rPr>
      </w:pPr>
      <w:bookmarkStart w:id="16" w:name="_GoBack"/>
      <w:bookmarkEnd w:id="16"/>
    </w:p>
    <w:p>
      <w:pPr>
        <w:keepNext w:val="0"/>
        <w:keepLines w:val="0"/>
        <w:pageBreakBefore w:val="0"/>
        <w:widowControl/>
        <w:tabs>
          <w:tab w:val="left" w:pos="777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560" w:lineRule="exact"/>
        <w:ind w:left="0" w:leftChars="0" w:right="-23" w:rightChars="0" w:firstLine="0" w:firstLineChars="0"/>
        <w:jc w:val="center"/>
        <w:textAlignment w:val="baseline"/>
        <w:outlineLvl w:val="9"/>
        <w:rPr>
          <w:rFonts w:ascii="楷体" w:hAnsi="楷体" w:eastAsia="楷体" w:cs="楷体"/>
          <w:spacing w:val="-2"/>
          <w:sz w:val="48"/>
          <w:szCs w:val="48"/>
        </w:rPr>
      </w:pPr>
    </w:p>
    <w:p>
      <w:pPr>
        <w:keepNext w:val="0"/>
        <w:keepLines w:val="0"/>
        <w:pageBreakBefore w:val="0"/>
        <w:widowControl/>
        <w:tabs>
          <w:tab w:val="left" w:pos="777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560" w:lineRule="exact"/>
        <w:ind w:left="0" w:leftChars="0" w:right="-23" w:rightChars="0" w:firstLine="0" w:firstLineChars="0"/>
        <w:jc w:val="center"/>
        <w:textAlignment w:val="baseline"/>
        <w:outlineLvl w:val="9"/>
        <w:rPr>
          <w:rFonts w:ascii="楷体" w:hAnsi="楷体" w:eastAsia="楷体" w:cs="楷体"/>
          <w:spacing w:val="-2"/>
          <w:sz w:val="48"/>
          <w:szCs w:val="48"/>
        </w:rPr>
      </w:pPr>
    </w:p>
    <w:p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/>
        <w:jc w:val="center"/>
        <w:textAlignment w:val="baseline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7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pStyle w:val="3"/>
        <w:spacing w:line="248" w:lineRule="auto"/>
        <w:jc w:val="center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left="2914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6"/>
          <w:position w:val="16"/>
          <w:sz w:val="31"/>
          <w:szCs w:val="31"/>
          <w:lang w:val="en-US" w:eastAsia="zh-CN"/>
        </w:rPr>
        <w:t>西畴县</w:t>
      </w:r>
      <w:r>
        <w:rPr>
          <w:rFonts w:ascii="仿宋" w:hAnsi="仿宋" w:eastAsia="仿宋" w:cs="仿宋"/>
          <w:spacing w:val="6"/>
          <w:position w:val="16"/>
          <w:sz w:val="31"/>
          <w:szCs w:val="31"/>
        </w:rPr>
        <w:t>自然资源局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3079"/>
        <w:jc w:val="left"/>
        <w:textAlignment w:val="baseline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二〇二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四</w:t>
      </w:r>
      <w:r>
        <w:rPr>
          <w:rFonts w:ascii="仿宋" w:hAnsi="仿宋" w:eastAsia="仿宋" w:cs="仿宋"/>
          <w:spacing w:val="5"/>
          <w:sz w:val="31"/>
          <w:szCs w:val="31"/>
        </w:rPr>
        <w:t>年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一</w:t>
      </w:r>
      <w:r>
        <w:rPr>
          <w:rFonts w:ascii="仿宋" w:hAnsi="仿宋" w:eastAsia="仿宋" w:cs="仿宋"/>
          <w:spacing w:val="5"/>
          <w:sz w:val="31"/>
          <w:szCs w:val="31"/>
        </w:rPr>
        <w:t>月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ascii="仿宋" w:hAnsi="仿宋" w:eastAsia="仿宋" w:cs="仿宋"/>
          <w:sz w:val="31"/>
          <w:szCs w:val="31"/>
        </w:rPr>
        <w:sectPr>
          <w:pgSz w:w="11907" w:h="16839"/>
          <w:pgMar w:top="1423" w:right="1785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>
      <w:pPr>
        <w:pStyle w:val="6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 w:val="28"/>
          <w:szCs w:val="28"/>
        </w:rPr>
        <w:fldChar w:fldCharType="begin"/>
      </w:r>
      <w:r>
        <w:rPr>
          <w:rFonts w:ascii="Times New Roman" w:hAnsi="Times New Roman" w:eastAsia="Times New Roman" w:cs="Times New Roman"/>
          <w:sz w:val="28"/>
          <w:szCs w:val="28"/>
        </w:rPr>
        <w:instrText xml:space="preserve">TOC \o "1-3" \h \u </w:instrText>
      </w:r>
      <w:r>
        <w:rPr>
          <w:rFonts w:ascii="Times New Roman" w:hAnsi="Times New Roman" w:eastAsia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_Toc24421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仿宋" w:hAnsi="仿宋" w:eastAsia="仿宋" w:cs="仿宋"/>
          <w:spacing w:val="-4"/>
          <w:szCs w:val="30"/>
        </w:rPr>
        <w:t>一、工作范围</w:t>
      </w:r>
      <w:r>
        <w:tab/>
      </w:r>
      <w:r>
        <w:fldChar w:fldCharType="begin"/>
      </w:r>
      <w:r>
        <w:instrText xml:space="preserve"> PAGEREF _Toc24421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_Toc28622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pacing w:val="-7"/>
          <w:szCs w:val="28"/>
        </w:rPr>
        <w:t>1.1</w:t>
      </w:r>
      <w:r>
        <w:rPr>
          <w:rFonts w:hint="eastAsia" w:ascii="仿宋" w:hAnsi="仿宋" w:eastAsia="仿宋" w:cs="仿宋"/>
          <w:bCs/>
          <w:spacing w:val="50"/>
          <w:szCs w:val="28"/>
        </w:rPr>
        <w:t xml:space="preserve"> </w:t>
      </w:r>
      <w:r>
        <w:rPr>
          <w:rFonts w:hint="eastAsia" w:ascii="仿宋" w:hAnsi="仿宋" w:eastAsia="仿宋" w:cs="仿宋"/>
          <w:spacing w:val="-7"/>
          <w:szCs w:val="28"/>
        </w:rPr>
        <w:t>园地工作范围</w:t>
      </w:r>
      <w:r>
        <w:tab/>
      </w:r>
      <w:r>
        <w:fldChar w:fldCharType="begin"/>
      </w:r>
      <w:r>
        <w:instrText xml:space="preserve"> PAGEREF _Toc28622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_Toc13508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Times New Roman" w:hAnsi="Times New Roman" w:eastAsia="Times New Roman" w:cs="Times New Roman"/>
          <w:bCs/>
          <w:spacing w:val="-2"/>
          <w:szCs w:val="28"/>
        </w:rPr>
        <w:t xml:space="preserve">1.2 </w:t>
      </w:r>
      <w:r>
        <w:rPr>
          <w:rFonts w:ascii="仿宋" w:hAnsi="仿宋" w:eastAsia="仿宋" w:cs="仿宋"/>
          <w:spacing w:val="-2"/>
          <w:szCs w:val="28"/>
        </w:rPr>
        <w:t>林地工作范围</w:t>
      </w:r>
      <w:r>
        <w:tab/>
      </w:r>
      <w:r>
        <w:fldChar w:fldCharType="begin"/>
      </w:r>
      <w:r>
        <w:instrText xml:space="preserve"> PAGEREF _Toc13508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_Toc12547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Times New Roman" w:hAnsi="Times New Roman" w:eastAsia="Times New Roman" w:cs="Times New Roman"/>
          <w:bCs/>
          <w:spacing w:val="-4"/>
          <w:szCs w:val="28"/>
        </w:rPr>
        <w:t>1.3</w:t>
      </w:r>
      <w:r>
        <w:rPr>
          <w:rFonts w:ascii="仿宋" w:hAnsi="仿宋" w:eastAsia="仿宋" w:cs="仿宋"/>
          <w:spacing w:val="-4"/>
          <w:szCs w:val="28"/>
        </w:rPr>
        <w:t>草地工作范围</w:t>
      </w:r>
      <w:r>
        <w:tab/>
      </w:r>
      <w:r>
        <w:fldChar w:fldCharType="begin"/>
      </w:r>
      <w:r>
        <w:instrText xml:space="preserve"> PAGEREF _Toc12547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_Toc4563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仿宋" w:hAnsi="仿宋" w:eastAsia="仿宋" w:cs="仿宋"/>
          <w:spacing w:val="-23"/>
          <w:szCs w:val="30"/>
        </w:rPr>
        <w:t>二、定级成果</w:t>
      </w:r>
      <w:r>
        <w:tab/>
      </w:r>
      <w:r>
        <w:fldChar w:fldCharType="begin"/>
      </w:r>
      <w:r>
        <w:instrText xml:space="preserve"> PAGEREF _Toc4563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_Toc2540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Times New Roman" w:hAnsi="Times New Roman" w:eastAsia="Times New Roman" w:cs="Times New Roman"/>
          <w:bCs/>
          <w:spacing w:val="-5"/>
          <w:szCs w:val="28"/>
        </w:rPr>
        <w:t>2.1</w:t>
      </w:r>
      <w:r>
        <w:rPr>
          <w:rFonts w:ascii="仿宋" w:hAnsi="仿宋" w:eastAsia="仿宋" w:cs="仿宋"/>
          <w:spacing w:val="-5"/>
          <w:szCs w:val="28"/>
        </w:rPr>
        <w:t>园地定级成果</w:t>
      </w:r>
      <w:r>
        <w:tab/>
      </w:r>
      <w:r>
        <w:fldChar w:fldCharType="begin"/>
      </w:r>
      <w:r>
        <w:instrText xml:space="preserve"> PAGEREF _Toc2540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_Toc16502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Times New Roman" w:hAnsi="Times New Roman" w:eastAsia="Times New Roman" w:cs="Times New Roman"/>
          <w:bCs/>
          <w:szCs w:val="28"/>
          <w:highlight w:val="none"/>
        </w:rPr>
        <w:t xml:space="preserve">2.2 </w:t>
      </w:r>
      <w:r>
        <w:rPr>
          <w:rFonts w:ascii="仿宋" w:hAnsi="仿宋" w:eastAsia="仿宋" w:cs="仿宋"/>
          <w:szCs w:val="28"/>
          <w:highlight w:val="none"/>
        </w:rPr>
        <w:t>林地定级成果</w:t>
      </w:r>
      <w:r>
        <w:tab/>
      </w:r>
      <w:r>
        <w:fldChar w:fldCharType="begin"/>
      </w:r>
      <w:r>
        <w:instrText xml:space="preserve"> PAGEREF _Toc16502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_Toc13575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ascii="Times New Roman" w:hAnsi="Times New Roman" w:eastAsia="Times New Roman" w:cs="Times New Roman"/>
          <w:bCs/>
          <w:szCs w:val="28"/>
          <w:highlight w:val="none"/>
        </w:rPr>
        <w:t>2.</w:t>
      </w:r>
      <w:r>
        <w:rPr>
          <w:rFonts w:hint="eastAsia" w:ascii="Times New Roman" w:hAnsi="Times New Roman" w:eastAsia="宋体" w:cs="Times New Roman"/>
          <w:bCs/>
          <w:szCs w:val="28"/>
          <w:highlight w:val="none"/>
          <w:lang w:val="en-US" w:eastAsia="zh-CN"/>
        </w:rPr>
        <w:t>3</w:t>
      </w:r>
      <w:r>
        <w:rPr>
          <w:rFonts w:ascii="Times New Roman" w:hAnsi="Times New Roman" w:eastAsia="Times New Roman" w:cs="Times New Roman"/>
          <w:bCs/>
          <w:szCs w:val="28"/>
          <w:highlight w:val="none"/>
        </w:rPr>
        <w:t xml:space="preserve"> </w:t>
      </w:r>
      <w:r>
        <w:rPr>
          <w:rFonts w:hint="eastAsia" w:ascii="仿宋" w:hAnsi="仿宋" w:eastAsia="仿宋" w:cs="仿宋"/>
          <w:szCs w:val="28"/>
          <w:highlight w:val="none"/>
          <w:lang w:eastAsia="zh-CN"/>
        </w:rPr>
        <w:t>草</w:t>
      </w:r>
      <w:r>
        <w:rPr>
          <w:rFonts w:ascii="仿宋" w:hAnsi="仿宋" w:eastAsia="仿宋" w:cs="仿宋"/>
          <w:szCs w:val="28"/>
          <w:highlight w:val="none"/>
        </w:rPr>
        <w:t>地定级成果</w:t>
      </w:r>
      <w:r>
        <w:tab/>
      </w:r>
      <w:r>
        <w:fldChar w:fldCharType="begin"/>
      </w:r>
      <w:r>
        <w:instrText xml:space="preserve"> PAGEREF _Toc13575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_Toc28854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仿宋" w:hAnsi="仿宋" w:eastAsia="仿宋" w:cs="仿宋"/>
          <w:spacing w:val="-23"/>
          <w:szCs w:val="30"/>
          <w:lang w:eastAsia="zh-CN"/>
        </w:rPr>
        <w:t>三</w:t>
      </w:r>
      <w:r>
        <w:rPr>
          <w:rFonts w:ascii="仿宋" w:hAnsi="仿宋" w:eastAsia="仿宋" w:cs="仿宋"/>
          <w:spacing w:val="-23"/>
          <w:szCs w:val="30"/>
        </w:rPr>
        <w:t>、定级成果</w:t>
      </w:r>
      <w:r>
        <w:tab/>
      </w:r>
      <w:r>
        <w:fldChar w:fldCharType="begin"/>
      </w:r>
      <w:r>
        <w:instrText xml:space="preserve"> PAGEREF _Toc28854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_Toc2997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Times New Roman" w:hAnsi="Times New Roman" w:eastAsia="宋体" w:cs="Times New Roman"/>
          <w:bCs/>
          <w:spacing w:val="-5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Cs/>
          <w:spacing w:val="-5"/>
          <w:szCs w:val="28"/>
        </w:rPr>
        <w:t>.1</w:t>
      </w:r>
      <w:r>
        <w:rPr>
          <w:rFonts w:ascii="仿宋" w:hAnsi="仿宋" w:eastAsia="仿宋" w:cs="仿宋"/>
          <w:spacing w:val="-5"/>
          <w:szCs w:val="28"/>
        </w:rPr>
        <w:t>园地</w:t>
      </w:r>
      <w:r>
        <w:rPr>
          <w:rFonts w:hint="eastAsia" w:ascii="仿宋" w:hAnsi="仿宋" w:eastAsia="仿宋" w:cs="仿宋"/>
          <w:spacing w:val="-5"/>
          <w:szCs w:val="28"/>
          <w:lang w:eastAsia="zh-CN"/>
        </w:rPr>
        <w:t>基准地价</w:t>
      </w:r>
      <w:r>
        <w:tab/>
      </w:r>
      <w:r>
        <w:fldChar w:fldCharType="begin"/>
      </w:r>
      <w:r>
        <w:instrText xml:space="preserve"> PAGEREF _Toc2997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_Toc16896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Times New Roman" w:hAnsi="Times New Roman" w:eastAsia="宋体" w:cs="Times New Roman"/>
          <w:bCs/>
          <w:spacing w:val="-5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Cs/>
          <w:spacing w:val="-5"/>
          <w:szCs w:val="28"/>
        </w:rPr>
        <w:t>.</w:t>
      </w:r>
      <w:r>
        <w:rPr>
          <w:rFonts w:hint="eastAsia" w:ascii="Times New Roman" w:hAnsi="Times New Roman" w:eastAsia="宋体" w:cs="Times New Roman"/>
          <w:bCs/>
          <w:spacing w:val="-5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-5"/>
          <w:szCs w:val="28"/>
          <w:lang w:eastAsia="zh-CN"/>
        </w:rPr>
        <w:t>林</w:t>
      </w:r>
      <w:r>
        <w:rPr>
          <w:rFonts w:ascii="仿宋" w:hAnsi="仿宋" w:eastAsia="仿宋" w:cs="仿宋"/>
          <w:spacing w:val="-5"/>
          <w:szCs w:val="28"/>
        </w:rPr>
        <w:t>地</w:t>
      </w:r>
      <w:r>
        <w:rPr>
          <w:rFonts w:hint="eastAsia" w:ascii="仿宋" w:hAnsi="仿宋" w:eastAsia="仿宋" w:cs="仿宋"/>
          <w:spacing w:val="-5"/>
          <w:szCs w:val="28"/>
          <w:lang w:eastAsia="zh-CN"/>
        </w:rPr>
        <w:t>基准地价</w:t>
      </w:r>
      <w:r>
        <w:tab/>
      </w:r>
      <w:r>
        <w:fldChar w:fldCharType="begin"/>
      </w:r>
      <w:r>
        <w:instrText xml:space="preserve"> PAGEREF _Toc16896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833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rPr>
          <w:rFonts w:ascii="Times New Roman" w:hAnsi="Times New Roman" w:eastAsia="Times New Roman" w:cs="Times New Roman"/>
          <w:szCs w:val="28"/>
        </w:rPr>
        <w:fldChar w:fldCharType="begin"/>
      </w:r>
      <w:r>
        <w:rPr>
          <w:rFonts w:ascii="Times New Roman" w:hAnsi="Times New Roman" w:eastAsia="Times New Roman" w:cs="Times New Roman"/>
          <w:szCs w:val="28"/>
        </w:rPr>
        <w:instrText xml:space="preserve"> HYPERLINK \l _Toc29947 </w:instrText>
      </w:r>
      <w:r>
        <w:rPr>
          <w:rFonts w:ascii="Times New Roman" w:hAnsi="Times New Roman" w:eastAsia="Times New Roman" w:cs="Times New Roman"/>
          <w:szCs w:val="28"/>
        </w:rPr>
        <w:fldChar w:fldCharType="separate"/>
      </w:r>
      <w:r>
        <w:rPr>
          <w:rFonts w:hint="eastAsia" w:ascii="Times New Roman" w:hAnsi="Times New Roman" w:eastAsia="宋体" w:cs="Times New Roman"/>
          <w:bCs/>
          <w:spacing w:val="-5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Cs/>
          <w:spacing w:val="-5"/>
          <w:szCs w:val="28"/>
        </w:rPr>
        <w:t>.</w:t>
      </w:r>
      <w:r>
        <w:rPr>
          <w:rFonts w:hint="eastAsia" w:ascii="Times New Roman" w:hAnsi="Times New Roman" w:eastAsia="宋体" w:cs="Times New Roman"/>
          <w:bCs/>
          <w:spacing w:val="-5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-5"/>
          <w:szCs w:val="28"/>
          <w:lang w:eastAsia="zh-CN"/>
        </w:rPr>
        <w:t>草</w:t>
      </w:r>
      <w:r>
        <w:rPr>
          <w:rFonts w:ascii="仿宋" w:hAnsi="仿宋" w:eastAsia="仿宋" w:cs="仿宋"/>
          <w:spacing w:val="-5"/>
          <w:szCs w:val="28"/>
        </w:rPr>
        <w:t>地</w:t>
      </w:r>
      <w:r>
        <w:rPr>
          <w:rFonts w:hint="eastAsia" w:ascii="仿宋" w:hAnsi="仿宋" w:eastAsia="仿宋" w:cs="仿宋"/>
          <w:spacing w:val="-5"/>
          <w:szCs w:val="28"/>
          <w:lang w:eastAsia="zh-CN"/>
        </w:rPr>
        <w:t>基准地价</w:t>
      </w:r>
      <w:r>
        <w:tab/>
      </w:r>
      <w:r>
        <w:fldChar w:fldCharType="begin"/>
      </w:r>
      <w:r>
        <w:instrText xml:space="preserve"> PAGEREF _Toc29947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spacing w:line="219" w:lineRule="auto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3" w:type="default"/>
          <w:pgSz w:w="11907" w:h="16839"/>
          <w:pgMar w:top="1431" w:right="1785" w:bottom="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720" w:num="1"/>
        </w:sectPr>
      </w:pPr>
      <w:r>
        <w:rPr>
          <w:rFonts w:ascii="Times New Roman" w:hAnsi="Times New Roman" w:eastAsia="Times New Roman" w:cs="Times New Roman"/>
          <w:szCs w:val="28"/>
        </w:rPr>
        <w:fldChar w:fldCharType="end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8" w:line="240" w:lineRule="auto"/>
        <w:ind w:left="51" w:firstLine="584" w:firstLineChars="200"/>
        <w:textAlignment w:val="baseline"/>
        <w:outlineLvl w:val="0"/>
        <w:rPr>
          <w:rFonts w:hint="eastAsia" w:ascii="仿宋" w:hAnsi="仿宋" w:eastAsia="仿宋" w:cs="仿宋"/>
          <w:sz w:val="30"/>
          <w:szCs w:val="30"/>
        </w:rPr>
      </w:pPr>
      <w:bookmarkStart w:id="1" w:name="_Toc24421"/>
      <w:r>
        <w:rPr>
          <w:rFonts w:hint="eastAsia" w:ascii="仿宋" w:hAnsi="仿宋" w:eastAsia="仿宋" w:cs="仿宋"/>
          <w:spacing w:val="-4"/>
          <w:sz w:val="30"/>
          <w:szCs w:val="30"/>
        </w:rPr>
        <w:t>一、工作范围</w:t>
      </w:r>
      <w:bookmarkEnd w:id="1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09" w:line="360" w:lineRule="auto"/>
        <w:ind w:left="47" w:firstLine="534" w:firstLineChars="200"/>
        <w:textAlignment w:val="baseline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2" w:name="_Toc28622"/>
      <w:r>
        <w:rPr>
          <w:rFonts w:hint="eastAsia" w:ascii="仿宋" w:hAnsi="仿宋" w:eastAsia="仿宋" w:cs="仿宋"/>
          <w:b/>
          <w:bCs/>
          <w:spacing w:val="-7"/>
          <w:sz w:val="28"/>
          <w:szCs w:val="28"/>
        </w:rPr>
        <w:t>1.1</w:t>
      </w:r>
      <w:r>
        <w:rPr>
          <w:rFonts w:hint="eastAsia" w:ascii="仿宋" w:hAnsi="仿宋" w:eastAsia="仿宋" w:cs="仿宋"/>
          <w:b/>
          <w:bCs/>
          <w:spacing w:val="5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7"/>
          <w:sz w:val="28"/>
          <w:szCs w:val="28"/>
        </w:rPr>
        <w:t>园地工作范围</w:t>
      </w:r>
      <w:bookmarkEnd w:id="2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67"/>
        <w:jc w:val="both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3" w:name="_Toc13508"/>
      <w:r>
        <w:rPr>
          <w:rFonts w:hint="eastAsia" w:ascii="仿宋" w:hAnsi="仿宋" w:eastAsia="仿宋" w:cs="仿宋"/>
          <w:spacing w:val="6"/>
          <w:sz w:val="28"/>
          <w:szCs w:val="28"/>
          <w:lang w:val="en-US" w:eastAsia="zh-CN"/>
        </w:rPr>
        <w:t>西畴县</w:t>
      </w:r>
      <w:r>
        <w:rPr>
          <w:rFonts w:hint="eastAsia" w:ascii="仿宋" w:hAnsi="仿宋" w:eastAsia="仿宋" w:cs="仿宋"/>
          <w:spacing w:val="6"/>
          <w:sz w:val="28"/>
          <w:szCs w:val="28"/>
        </w:rPr>
        <w:t>园地定级工作范围是</w:t>
      </w:r>
      <w:r>
        <w:rPr>
          <w:rFonts w:hint="eastAsia" w:ascii="仿宋" w:hAnsi="仿宋" w:eastAsia="仿宋" w:cs="仿宋"/>
          <w:spacing w:val="6"/>
          <w:sz w:val="28"/>
          <w:szCs w:val="28"/>
          <w:lang w:val="en-US" w:eastAsia="zh-CN"/>
        </w:rPr>
        <w:t>西畴县</w:t>
      </w:r>
      <w:r>
        <w:rPr>
          <w:rFonts w:hint="eastAsia" w:ascii="仿宋" w:hAnsi="仿宋" w:eastAsia="仿宋" w:cs="仿宋"/>
          <w:spacing w:val="6"/>
          <w:sz w:val="28"/>
          <w:szCs w:val="28"/>
        </w:rPr>
        <w:t>行政辖区范</w:t>
      </w:r>
      <w:r>
        <w:rPr>
          <w:rFonts w:hint="eastAsia" w:ascii="仿宋" w:hAnsi="仿宋" w:eastAsia="仿宋" w:cs="仿宋"/>
          <w:spacing w:val="-2"/>
          <w:sz w:val="28"/>
          <w:szCs w:val="28"/>
        </w:rPr>
        <w:t>围的</w:t>
      </w:r>
      <w:r>
        <w:rPr>
          <w:rFonts w:hint="eastAsia" w:ascii="仿宋" w:hAnsi="仿宋" w:eastAsia="仿宋" w:cs="仿宋"/>
          <w:spacing w:val="-2"/>
          <w:sz w:val="28"/>
          <w:szCs w:val="28"/>
          <w:lang w:eastAsia="zh-CN"/>
        </w:rPr>
        <w:t>现状</w:t>
      </w:r>
      <w:r>
        <w:rPr>
          <w:rFonts w:hint="eastAsia" w:ascii="仿宋" w:hAnsi="仿宋" w:eastAsia="仿宋" w:cs="仿宋"/>
          <w:spacing w:val="-2"/>
          <w:sz w:val="28"/>
          <w:szCs w:val="28"/>
        </w:rPr>
        <w:t>园地，根据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西畴县</w:t>
      </w:r>
      <w:r>
        <w:rPr>
          <w:rFonts w:hint="eastAsia" w:ascii="仿宋" w:hAnsi="仿宋" w:eastAsia="仿宋" w:cs="仿宋"/>
          <w:spacing w:val="-2"/>
          <w:sz w:val="28"/>
          <w:szCs w:val="28"/>
        </w:rPr>
        <w:t>202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-2"/>
          <w:sz w:val="28"/>
          <w:szCs w:val="28"/>
        </w:rPr>
        <w:t>年度国土变更调查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数据统计，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西畴</w:t>
      </w: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县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园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地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图斑公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4678个，</w:t>
      </w: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西畴县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园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地面积共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4328.3437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公顷，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其中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果园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1363.9482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公顷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茶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园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302.2953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公顷、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其他园地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2616.1002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公顷。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表</w:t>
      </w:r>
      <w:r>
        <w:rPr>
          <w:rFonts w:ascii="仿宋" w:hAnsi="仿宋" w:eastAsia="仿宋" w:cs="仿宋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1-1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西畴县</w:t>
      </w:r>
      <w:r>
        <w:rPr>
          <w:rFonts w:ascii="仿宋" w:hAnsi="仿宋" w:eastAsia="仿宋" w:cs="仿宋"/>
          <w:sz w:val="24"/>
          <w:szCs w:val="24"/>
        </w:rPr>
        <w:t>园地定级工作范围面积</w:t>
      </w:r>
      <w:r>
        <w:rPr>
          <w:rFonts w:ascii="仿宋" w:hAnsi="仿宋" w:eastAsia="仿宋" w:cs="仿宋"/>
          <w:spacing w:val="-1"/>
          <w:sz w:val="24"/>
          <w:szCs w:val="24"/>
        </w:rPr>
        <w:t>统计表</w:t>
      </w:r>
    </w:p>
    <w:p>
      <w:pPr>
        <w:spacing w:line="72" w:lineRule="exact"/>
      </w:pPr>
    </w:p>
    <w:tbl>
      <w:tblPr>
        <w:tblStyle w:val="15"/>
        <w:tblW w:w="839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1894"/>
        <w:gridCol w:w="1894"/>
        <w:gridCol w:w="2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89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3" w:line="220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用地类型</w:t>
            </w:r>
          </w:p>
        </w:tc>
        <w:tc>
          <w:tcPr>
            <w:tcW w:w="189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3" w:line="219" w:lineRule="auto"/>
              <w:jc w:val="center"/>
              <w:textAlignment w:val="baseline"/>
              <w:rPr>
                <w:rFonts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图斑数（个）</w:t>
            </w:r>
          </w:p>
        </w:tc>
        <w:tc>
          <w:tcPr>
            <w:tcW w:w="189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3" w:line="219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面积（公顷）</w:t>
            </w:r>
          </w:p>
        </w:tc>
        <w:tc>
          <w:tcPr>
            <w:tcW w:w="270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3" w:line="219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占园地面积比例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果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园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1214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1363.9482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31.85%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9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茶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园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170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302.2953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7.06%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其他园地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3294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2616.1002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61.09%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4678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4282.3437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18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100.00%</w:t>
            </w:r>
          </w:p>
        </w:tc>
      </w:tr>
      <w:bookmarkEnd w:id="3"/>
    </w:tbl>
    <w:p>
      <w:pPr>
        <w:spacing w:before="199" w:line="216" w:lineRule="auto"/>
        <w:ind w:left="47"/>
        <w:outlineLvl w:val="1"/>
        <w:rPr>
          <w:rFonts w:ascii="仿宋" w:hAnsi="仿宋" w:eastAsia="仿宋" w:cs="仿宋"/>
          <w:sz w:val="28"/>
          <w:szCs w:val="28"/>
        </w:rPr>
      </w:pPr>
      <w:bookmarkStart w:id="4" w:name="_Toc3039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 </w:t>
      </w:r>
      <w:r>
        <w:rPr>
          <w:rFonts w:ascii="仿宋" w:hAnsi="仿宋" w:eastAsia="仿宋" w:cs="仿宋"/>
          <w:spacing w:val="-2"/>
          <w:sz w:val="28"/>
          <w:szCs w:val="28"/>
        </w:rPr>
        <w:t>林地工作范围</w:t>
      </w:r>
      <w:bookmarkEnd w:id="4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67"/>
        <w:jc w:val="both"/>
        <w:textAlignment w:val="baseline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西畴县</w:t>
      </w:r>
      <w:r>
        <w:rPr>
          <w:rFonts w:ascii="仿宋" w:hAnsi="仿宋" w:eastAsia="仿宋" w:cs="仿宋"/>
          <w:spacing w:val="-4"/>
          <w:sz w:val="28"/>
          <w:szCs w:val="28"/>
        </w:rPr>
        <w:t>林地定级工作范围是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西畴县</w:t>
      </w:r>
      <w:r>
        <w:rPr>
          <w:rFonts w:ascii="仿宋" w:hAnsi="仿宋" w:eastAsia="仿宋" w:cs="仿宋"/>
          <w:spacing w:val="-4"/>
          <w:sz w:val="28"/>
          <w:szCs w:val="28"/>
        </w:rPr>
        <w:t>行政辖区范围的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现状</w:t>
      </w:r>
      <w:r>
        <w:rPr>
          <w:rFonts w:ascii="仿宋" w:hAnsi="仿宋" w:eastAsia="仿宋" w:cs="仿宋"/>
          <w:spacing w:val="-4"/>
          <w:sz w:val="28"/>
          <w:szCs w:val="28"/>
        </w:rPr>
        <w:t>林地，根据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西畴县</w:t>
      </w:r>
      <w:r>
        <w:rPr>
          <w:rFonts w:ascii="仿宋" w:hAnsi="仿宋" w:eastAsia="仿宋" w:cs="仿宋"/>
          <w:spacing w:val="-4"/>
          <w:sz w:val="28"/>
          <w:szCs w:val="28"/>
        </w:rPr>
        <w:t>202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年度国土变更调查数据统计，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西畴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县</w:t>
      </w:r>
      <w:r>
        <w:rPr>
          <w:rFonts w:ascii="仿宋" w:hAnsi="仿宋" w:eastAsia="仿宋" w:cs="仿宋"/>
          <w:spacing w:val="-4"/>
          <w:sz w:val="28"/>
          <w:szCs w:val="28"/>
        </w:rPr>
        <w:t>林地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图斑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25159个，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西畴县</w:t>
      </w:r>
      <w:r>
        <w:rPr>
          <w:rFonts w:ascii="仿宋" w:hAnsi="仿宋" w:eastAsia="仿宋" w:cs="仿宋"/>
          <w:spacing w:val="-4"/>
          <w:sz w:val="28"/>
          <w:szCs w:val="28"/>
        </w:rPr>
        <w:t>林地面积共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101494.4748</w:t>
      </w:r>
      <w:r>
        <w:rPr>
          <w:rFonts w:ascii="仿宋" w:hAnsi="仿宋" w:eastAsia="仿宋" w:cs="仿宋"/>
          <w:spacing w:val="-4"/>
          <w:sz w:val="28"/>
          <w:szCs w:val="28"/>
        </w:rPr>
        <w:t>公顷，其中按土地利用现状分类分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为</w:t>
      </w:r>
      <w:r>
        <w:rPr>
          <w:rFonts w:ascii="仿宋" w:hAnsi="仿宋" w:eastAsia="仿宋" w:cs="仿宋"/>
          <w:spacing w:val="-4"/>
          <w:sz w:val="28"/>
          <w:szCs w:val="28"/>
        </w:rPr>
        <w:t>乔木林地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59123.1602</w:t>
      </w:r>
      <w:r>
        <w:rPr>
          <w:rFonts w:ascii="仿宋" w:hAnsi="仿宋" w:eastAsia="仿宋" w:cs="仿宋"/>
          <w:spacing w:val="-4"/>
          <w:sz w:val="28"/>
          <w:szCs w:val="28"/>
        </w:rPr>
        <w:t>公顷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竹林地103.9432</w:t>
      </w:r>
      <w:r>
        <w:rPr>
          <w:rFonts w:ascii="仿宋" w:hAnsi="仿宋" w:eastAsia="仿宋" w:cs="仿宋"/>
          <w:spacing w:val="-4"/>
          <w:sz w:val="28"/>
          <w:szCs w:val="28"/>
        </w:rPr>
        <w:t>公顷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、灌木林地39275.8858公顷、其他林地2991.4856</w:t>
      </w:r>
      <w:r>
        <w:rPr>
          <w:rFonts w:ascii="仿宋" w:hAnsi="仿宋" w:eastAsia="仿宋" w:cs="仿宋"/>
          <w:spacing w:val="-4"/>
          <w:sz w:val="28"/>
          <w:szCs w:val="28"/>
        </w:rPr>
        <w:t>公顷；按地上林木主导功能分公益林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42270.5139公顷、</w:t>
      </w:r>
      <w:r>
        <w:rPr>
          <w:rFonts w:ascii="仿宋" w:hAnsi="仿宋" w:eastAsia="仿宋" w:cs="仿宋"/>
          <w:spacing w:val="-4"/>
          <w:sz w:val="28"/>
          <w:szCs w:val="28"/>
        </w:rPr>
        <w:t>商品林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59223.9609</w:t>
      </w:r>
      <w:r>
        <w:rPr>
          <w:rFonts w:ascii="仿宋" w:hAnsi="仿宋" w:eastAsia="仿宋" w:cs="仿宋"/>
          <w:spacing w:val="-4"/>
          <w:sz w:val="28"/>
          <w:szCs w:val="28"/>
        </w:rPr>
        <w:t>公顷。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 xml:space="preserve">表 1-2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z w:val="24"/>
          <w:szCs w:val="24"/>
        </w:rPr>
        <w:t>林地定级工作范围面积统计表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right"/>
        <w:textAlignment w:val="baseline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单位：个、公顷</w:t>
      </w:r>
    </w:p>
    <w:p>
      <w:pPr>
        <w:spacing w:line="72" w:lineRule="exact"/>
      </w:pPr>
    </w:p>
    <w:tbl>
      <w:tblPr>
        <w:tblStyle w:val="15"/>
        <w:tblW w:w="857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853"/>
        <w:gridCol w:w="1347"/>
        <w:gridCol w:w="1038"/>
        <w:gridCol w:w="1290"/>
        <w:gridCol w:w="1564"/>
        <w:gridCol w:w="92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553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287" w:line="22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用地类型</w:t>
            </w:r>
          </w:p>
        </w:tc>
        <w:tc>
          <w:tcPr>
            <w:tcW w:w="4528" w:type="dxa"/>
            <w:gridSpan w:val="4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84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主导功能分区</w:t>
            </w:r>
          </w:p>
        </w:tc>
        <w:tc>
          <w:tcPr>
            <w:tcW w:w="1564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131" w:line="229" w:lineRule="auto"/>
              <w:ind w:right="281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合计面积</w:t>
            </w:r>
          </w:p>
        </w:tc>
        <w:tc>
          <w:tcPr>
            <w:tcW w:w="925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spacing w:before="288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占林地总面积比例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553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77" w:line="218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  <w:t>图斑数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77" w:line="218" w:lineRule="auto"/>
              <w:jc w:val="center"/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  <w:t>公益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林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77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  <w:t>图斑数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77" w:line="218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</w:rPr>
              <w:t>商品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林</w:t>
            </w:r>
          </w:p>
        </w:tc>
        <w:tc>
          <w:tcPr>
            <w:tcW w:w="1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9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5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乔木林地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12658.0139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14714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46465.1463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59123.1602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58.25%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55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竹林地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9.6156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448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94.3276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103.9432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0.10%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5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灌木林地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1185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29215.2282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5214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10060.6576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39275.8858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38.70%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5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其他林地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387.6562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2381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2603.8294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2991.4856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2.95%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53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总计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2402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42270.5139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22757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59223.9609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101494.4748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217" w:lineRule="auto"/>
              <w:jc w:val="center"/>
              <w:textAlignment w:val="baseline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100.00%</w:t>
            </w:r>
          </w:p>
        </w:tc>
      </w:tr>
    </w:tbl>
    <w:p>
      <w:pPr>
        <w:spacing w:before="199" w:line="216" w:lineRule="auto"/>
        <w:ind w:left="47"/>
        <w:outlineLvl w:val="9"/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sectPr>
          <w:headerReference r:id="rId4" w:type="default"/>
          <w:footerReference r:id="rId5" w:type="default"/>
          <w:pgSz w:w="11907" w:h="16839"/>
          <w:pgMar w:top="1113" w:right="1769" w:bottom="1151" w:left="1771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</w:p>
    <w:p>
      <w:pPr>
        <w:spacing w:before="199" w:line="216" w:lineRule="auto"/>
        <w:ind w:left="47"/>
        <w:outlineLvl w:val="1"/>
        <w:rPr>
          <w:rFonts w:ascii="仿宋" w:hAnsi="仿宋" w:eastAsia="仿宋" w:cs="仿宋"/>
          <w:sz w:val="28"/>
          <w:szCs w:val="28"/>
        </w:rPr>
      </w:pPr>
      <w:bookmarkStart w:id="5" w:name="_Toc3633"/>
      <w:bookmarkStart w:id="6" w:name="_Toc4563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1.3</w:t>
      </w:r>
      <w:r>
        <w:rPr>
          <w:rFonts w:ascii="仿宋" w:hAnsi="仿宋" w:eastAsia="仿宋" w:cs="仿宋"/>
          <w:spacing w:val="-4"/>
          <w:sz w:val="28"/>
          <w:szCs w:val="28"/>
        </w:rPr>
        <w:t>草地工作范围</w:t>
      </w:r>
      <w:bookmarkEnd w:id="5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67"/>
        <w:jc w:val="both"/>
        <w:textAlignment w:val="baseline"/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西畴县草地定级工作范围是西畴县行政辖区范围的草地，根据西畴县2022年度国土变更调查数据统计，西畴县草地图斑共1823个，西畴县草地面积共1292.9583公顷，均为其他草地。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 xml:space="preserve">表 1-3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z w:val="24"/>
          <w:szCs w:val="24"/>
        </w:rPr>
        <w:t>草地定级工作范围面积统计表</w:t>
      </w:r>
    </w:p>
    <w:p>
      <w:pPr>
        <w:spacing w:line="71" w:lineRule="exact"/>
      </w:pPr>
    </w:p>
    <w:tbl>
      <w:tblPr>
        <w:tblStyle w:val="15"/>
        <w:tblW w:w="839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1894"/>
        <w:gridCol w:w="1894"/>
        <w:gridCol w:w="2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89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3" w:line="22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用地类型</w:t>
            </w:r>
          </w:p>
        </w:tc>
        <w:tc>
          <w:tcPr>
            <w:tcW w:w="189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3" w:line="219" w:lineRule="auto"/>
              <w:jc w:val="center"/>
              <w:rPr>
                <w:rFonts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189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3" w:line="219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面积（公顷）</w:t>
            </w:r>
          </w:p>
        </w:tc>
        <w:tc>
          <w:tcPr>
            <w:tcW w:w="270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84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占草地面积比例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3" w:line="217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2"/>
                <w:sz w:val="24"/>
                <w:szCs w:val="24"/>
              </w:rPr>
              <w:t>其他草地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1823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1292.9583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122" w:line="229" w:lineRule="auto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2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2"/>
              </w:rPr>
              <w:t>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898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1" w:line="21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2" w:line="188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1823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2" w:line="188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1292.9583</w:t>
            </w:r>
          </w:p>
        </w:tc>
        <w:tc>
          <w:tcPr>
            <w:tcW w:w="270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122" w:line="228" w:lineRule="auto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</w:rPr>
              <w:t>100%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5" w:line="218" w:lineRule="auto"/>
        <w:ind w:left="58" w:firstLine="508" w:firstLineChars="200"/>
        <w:textAlignment w:val="baseline"/>
        <w:outlineLvl w:val="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3"/>
          <w:sz w:val="30"/>
          <w:szCs w:val="30"/>
        </w:rPr>
        <w:t>二、定级成果</w:t>
      </w:r>
      <w:bookmarkEnd w:id="6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05" w:line="219" w:lineRule="auto"/>
        <w:ind w:left="35" w:firstLine="540" w:firstLineChars="200"/>
        <w:textAlignment w:val="baseline"/>
        <w:outlineLvl w:val="1"/>
        <w:rPr>
          <w:rFonts w:ascii="仿宋" w:hAnsi="仿宋" w:eastAsia="仿宋" w:cs="仿宋"/>
          <w:sz w:val="28"/>
          <w:szCs w:val="28"/>
        </w:rPr>
      </w:pPr>
      <w:bookmarkStart w:id="7" w:name="_Toc2540"/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2.1</w:t>
      </w:r>
      <w:r>
        <w:rPr>
          <w:rFonts w:ascii="仿宋" w:hAnsi="仿宋" w:eastAsia="仿宋" w:cs="仿宋"/>
          <w:spacing w:val="-5"/>
          <w:sz w:val="28"/>
          <w:szCs w:val="28"/>
        </w:rPr>
        <w:t>园地定级成果</w:t>
      </w:r>
      <w:bookmarkEnd w:id="7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（1）果园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果园定级单元综合分值分布在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47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到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86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，其中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定级单元综合分值较高的区域主要分布在兴街镇、莲花塘乡；定级单元综合分值较低的区域主要分布在莲花塘乡、鸡街乡。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对果园定级单元综合分值标准化处理后，采用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总分频率曲线法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划分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个果园级别。</w:t>
      </w:r>
    </w:p>
    <w:p>
      <w:pPr>
        <w:spacing w:before="136" w:line="217" w:lineRule="auto"/>
        <w:ind w:left="244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表</w:t>
      </w:r>
      <w:r>
        <w:rPr>
          <w:rFonts w:ascii="仿宋" w:hAnsi="仿宋" w:eastAsia="仿宋" w:cs="仿宋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2-1    </w:t>
      </w: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</w:rPr>
        <w:t>果园级别分值划分</w:t>
      </w:r>
    </w:p>
    <w:p>
      <w:pPr>
        <w:spacing w:line="85" w:lineRule="exact"/>
      </w:pPr>
    </w:p>
    <w:tbl>
      <w:tblPr>
        <w:tblStyle w:val="15"/>
        <w:tblW w:w="839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7"/>
        <w:gridCol w:w="2313"/>
        <w:gridCol w:w="2142"/>
        <w:gridCol w:w="214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9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</w:rPr>
              <w:t>级别</w:t>
            </w:r>
          </w:p>
        </w:tc>
        <w:tc>
          <w:tcPr>
            <w:tcW w:w="2313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级别分值区间</w:t>
            </w:r>
          </w:p>
        </w:tc>
        <w:tc>
          <w:tcPr>
            <w:tcW w:w="2142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142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36" w:line="207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pacing w:val="-4"/>
              </w:rPr>
              <w:t>Ⅰ级</w:t>
            </w:r>
          </w:p>
        </w:tc>
        <w:tc>
          <w:tcPr>
            <w:tcW w:w="2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7" w:line="176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（73，86]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104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161.9098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38" w:line="206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pacing w:val="-3"/>
              </w:rPr>
              <w:t>Ⅱ级</w:t>
            </w:r>
          </w:p>
        </w:tc>
        <w:tc>
          <w:tcPr>
            <w:tcW w:w="2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8" w:line="175" w:lineRule="auto"/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（65，73]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264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292.6436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7" w:line="21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3"/>
                <w:kern w:val="0"/>
                <w:sz w:val="24"/>
                <w:szCs w:val="24"/>
                <w:lang w:val="en-US" w:eastAsia="zh-CN" w:bidi="ar-SA"/>
              </w:rPr>
              <w:t>Ⅲ级</w:t>
            </w:r>
          </w:p>
        </w:tc>
        <w:tc>
          <w:tcPr>
            <w:tcW w:w="2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199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（47，75]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846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909.3948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7" w:line="210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313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199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/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1214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1363.9482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（2）茶园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default" w:ascii="仿宋" w:hAnsi="仿宋" w:eastAsia="仿宋" w:cs="仿宋"/>
          <w:spacing w:val="-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茶园定级单元综合分值分布在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42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到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73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，其中定级单元综合分值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主要分布在新马街乡、鸡街乡、柏林乡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ascii="仿宋" w:hAnsi="仿宋" w:eastAsia="仿宋" w:cs="仿宋"/>
          <w:spacing w:val="-3"/>
          <w:sz w:val="28"/>
          <w:szCs w:val="28"/>
          <w:highlight w:val="none"/>
        </w:rPr>
        <w:sectPr>
          <w:footerReference r:id="rId6" w:type="default"/>
          <w:pgSz w:w="11907" w:h="16839"/>
          <w:pgMar w:top="1113" w:right="1769" w:bottom="1151" w:left="1771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对茶园定级单元综合分值标准化处理后，采用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总分频率曲线法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划分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个茶园级别。</w:t>
      </w:r>
    </w:p>
    <w:p>
      <w:pPr>
        <w:spacing w:before="78" w:line="217" w:lineRule="auto"/>
        <w:ind w:left="244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表</w:t>
      </w:r>
      <w:r>
        <w:rPr>
          <w:rFonts w:ascii="仿宋" w:hAnsi="仿宋" w:eastAsia="仿宋" w:cs="仿宋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2-2    </w:t>
      </w: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</w:rPr>
        <w:t>茶园级别分值划分</w:t>
      </w:r>
    </w:p>
    <w:p>
      <w:pPr>
        <w:spacing w:line="87" w:lineRule="exact"/>
      </w:pPr>
    </w:p>
    <w:tbl>
      <w:tblPr>
        <w:tblStyle w:val="15"/>
        <w:tblW w:w="833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6"/>
        <w:gridCol w:w="2296"/>
        <w:gridCol w:w="2126"/>
        <w:gridCol w:w="21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786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</w:rPr>
              <w:t>级别</w:t>
            </w:r>
          </w:p>
        </w:tc>
        <w:tc>
          <w:tcPr>
            <w:tcW w:w="229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级别分值区间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8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36" w:line="207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pacing w:val="-4"/>
              </w:rPr>
              <w:t>Ⅰ级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7" w:line="176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pacing w:val="-5"/>
              </w:rPr>
              <w:t>[</w:t>
            </w:r>
            <w:r>
              <w:rPr>
                <w:rFonts w:hint="eastAsia" w:ascii="仿宋" w:hAnsi="仿宋" w:eastAsia="仿宋" w:cs="仿宋"/>
                <w:spacing w:val="-5"/>
                <w:lang w:val="en-US" w:eastAsia="zh-CN"/>
              </w:rPr>
              <w:t>47，78</w:t>
            </w:r>
            <w:r>
              <w:rPr>
                <w:rFonts w:hint="eastAsia" w:ascii="仿宋" w:hAnsi="仿宋" w:eastAsia="仿宋" w:cs="仿宋"/>
                <w:spacing w:val="-5"/>
              </w:rPr>
              <w:t>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4" w:line="188" w:lineRule="auto"/>
              <w:jc w:val="center"/>
              <w:rPr>
                <w:rFonts w:hint="default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170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124" w:line="188" w:lineRule="auto"/>
              <w:jc w:val="center"/>
              <w:rPr>
                <w:rFonts w:hint="eastAsia" w:ascii="仿宋" w:hAnsi="仿宋" w:eastAsia="仿宋" w:cs="仿宋"/>
                <w:spacing w:val="-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302.2953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86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199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/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4" w:line="188" w:lineRule="auto"/>
              <w:jc w:val="center"/>
              <w:rPr>
                <w:rFonts w:hint="default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170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124" w:line="188" w:lineRule="auto"/>
              <w:jc w:val="center"/>
              <w:rPr>
                <w:rFonts w:hint="eastAsia" w:ascii="仿宋" w:hAnsi="仿宋" w:eastAsia="仿宋" w:cs="仿宋"/>
                <w:spacing w:val="-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302.2953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（3）其他园地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67"/>
        <w:jc w:val="both"/>
        <w:textAlignment w:val="baseline"/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其他园地定级单元综合分值分布在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44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到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83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，其中定级单元综合分值较高的区域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主要分布在兴街镇、莲花塘乡、新马街乡；定级单元综合分值较低的区域主要分布在蚌谷乡、柏林乡、鸡街乡。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对其他园地定级单元综合分值标准化处理后，采用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总分频率曲线法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划分为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个级别。</w:t>
      </w:r>
    </w:p>
    <w:p>
      <w:pPr>
        <w:spacing w:before="135" w:line="217" w:lineRule="auto"/>
        <w:ind w:left="220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表</w:t>
      </w:r>
      <w:r>
        <w:rPr>
          <w:rFonts w:ascii="仿宋" w:hAnsi="仿宋" w:eastAsia="仿宋" w:cs="仿宋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2-3    </w:t>
      </w: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</w:rPr>
        <w:t>其他园地级别分值划分</w:t>
      </w:r>
    </w:p>
    <w:p>
      <w:pPr>
        <w:spacing w:line="87" w:lineRule="exact"/>
      </w:pPr>
    </w:p>
    <w:tbl>
      <w:tblPr>
        <w:tblStyle w:val="15"/>
        <w:tblW w:w="833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2298"/>
        <w:gridCol w:w="2126"/>
        <w:gridCol w:w="21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8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级别</w:t>
            </w:r>
          </w:p>
        </w:tc>
        <w:tc>
          <w:tcPr>
            <w:tcW w:w="229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级别分值区间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38" w:line="20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36" w:line="207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Ⅰ级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7" w:line="17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（74，83]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79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78.0530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37" w:line="20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Ⅱ级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7" w:line="175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（65，74]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546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457.0934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7" w:line="210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3"/>
                <w:kern w:val="0"/>
                <w:sz w:val="24"/>
                <w:szCs w:val="24"/>
                <w:lang w:val="en-US" w:eastAsia="zh-CN" w:bidi="ar-SA"/>
              </w:rPr>
              <w:t>Ⅲ级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199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（44，65]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2669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2080.9538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7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199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3294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2616.1002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9" w:lineRule="auto"/>
        <w:ind w:left="0" w:firstLine="560" w:firstLineChars="200"/>
        <w:textAlignment w:val="baseline"/>
        <w:outlineLvl w:val="1"/>
        <w:rPr>
          <w:rFonts w:ascii="仿宋" w:hAnsi="仿宋" w:eastAsia="仿宋" w:cs="仿宋"/>
          <w:sz w:val="28"/>
          <w:szCs w:val="28"/>
          <w:highlight w:val="none"/>
        </w:rPr>
      </w:pPr>
      <w:bookmarkStart w:id="8" w:name="_Toc16502"/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2.2 </w:t>
      </w:r>
      <w:r>
        <w:rPr>
          <w:rFonts w:ascii="仿宋" w:hAnsi="仿宋" w:eastAsia="仿宋" w:cs="仿宋"/>
          <w:sz w:val="28"/>
          <w:szCs w:val="28"/>
          <w:highlight w:val="none"/>
        </w:rPr>
        <w:t>林地定级成果</w:t>
      </w:r>
      <w:bookmarkEnd w:id="8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（1）商品林地与公益林地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据商品林地定级单元综合分值计算结果，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eastAsia="zh-CN"/>
        </w:rPr>
        <w:t>西畴县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商品林地定级单元综合分值分布在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40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到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100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，定级单元综合分值较高的区域主要分布在</w:t>
      </w: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莲花塘乡、新马街乡、柏林乡、鸡街乡；较低的区域主要分布在兴街镇。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对商品林地定级单元综合分值标准量化处理后，采用等间距法划分为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sz w:val="28"/>
          <w:szCs w:val="28"/>
          <w:highlight w:val="none"/>
        </w:rPr>
        <w:t>个级别。</w:t>
      </w:r>
    </w:p>
    <w:p>
      <w:pPr>
        <w:spacing w:before="135" w:line="217" w:lineRule="auto"/>
        <w:ind w:left="2202"/>
        <w:rPr>
          <w:rFonts w:ascii="仿宋" w:hAnsi="仿宋" w:eastAsia="仿宋" w:cs="仿宋"/>
          <w:sz w:val="24"/>
          <w:szCs w:val="24"/>
          <w:highlight w:val="none"/>
        </w:rPr>
      </w:pPr>
      <w:r>
        <w:rPr>
          <w:rFonts w:ascii="仿宋" w:hAnsi="仿宋" w:eastAsia="仿宋" w:cs="仿宋"/>
          <w:spacing w:val="-1"/>
          <w:sz w:val="24"/>
          <w:szCs w:val="24"/>
          <w:highlight w:val="none"/>
        </w:rPr>
        <w:t>表</w:t>
      </w:r>
      <w:r>
        <w:rPr>
          <w:rFonts w:ascii="仿宋" w:hAnsi="仿宋" w:eastAsia="仿宋" w:cs="仿宋"/>
          <w:spacing w:val="-43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highlight w:val="none"/>
        </w:rPr>
        <w:t xml:space="preserve">2-4    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  <w:highlight w:val="none"/>
        </w:rPr>
        <w:t>商品林地级别分值划分</w:t>
      </w:r>
    </w:p>
    <w:p>
      <w:pPr>
        <w:spacing w:line="84" w:lineRule="exact"/>
        <w:rPr>
          <w:highlight w:val="none"/>
        </w:rPr>
      </w:pPr>
    </w:p>
    <w:tbl>
      <w:tblPr>
        <w:tblStyle w:val="15"/>
        <w:tblW w:w="833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2298"/>
        <w:gridCol w:w="2126"/>
        <w:gridCol w:w="21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78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4" w:line="219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级别</w:t>
            </w:r>
          </w:p>
        </w:tc>
        <w:tc>
          <w:tcPr>
            <w:tcW w:w="229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4" w:line="219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级别分值区间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4" w:line="219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84" w:line="219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0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Ⅰ级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0" w:line="185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(86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2466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3566.6420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8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Ⅱ级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19" w:line="182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(70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86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15147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38162.7587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Ⅲ级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2" w:line="182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(40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70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5144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17494.5602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3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7" w:line="22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highlight w:val="none"/>
              </w:rPr>
              <w:t>/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22757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59223.9609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default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根据公益林地定级单元综合分值计算结果，西畴县公益林地定级单元综合分值分布在37到100，定级单元综合分值较高的区域主要分布在下西洒镇、法斗乡、董马乡；较低的区域主要分布在蚌谷乡、法斗乡、董马乡。对公益林地定级单元综合分值标准量化处理后，采用等间距法划分3个公益林地级别。</w:t>
      </w:r>
    </w:p>
    <w:p>
      <w:pPr>
        <w:spacing w:before="133" w:line="217" w:lineRule="auto"/>
        <w:ind w:left="2531"/>
        <w:rPr>
          <w:rFonts w:ascii="仿宋" w:hAnsi="仿宋" w:eastAsia="仿宋" w:cs="仿宋"/>
          <w:sz w:val="24"/>
          <w:szCs w:val="24"/>
          <w:highlight w:val="none"/>
        </w:rPr>
      </w:pPr>
      <w:r>
        <w:rPr>
          <w:rFonts w:ascii="仿宋" w:hAnsi="仿宋" w:eastAsia="仿宋" w:cs="仿宋"/>
          <w:spacing w:val="-1"/>
          <w:sz w:val="24"/>
          <w:szCs w:val="24"/>
          <w:highlight w:val="none"/>
        </w:rPr>
        <w:t>表</w:t>
      </w:r>
      <w:r>
        <w:rPr>
          <w:rFonts w:ascii="仿宋" w:hAnsi="仿宋" w:eastAsia="仿宋" w:cs="仿宋"/>
          <w:spacing w:val="-43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highlight w:val="none"/>
        </w:rPr>
        <w:t xml:space="preserve">2-5    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  <w:highlight w:val="none"/>
        </w:rPr>
        <w:t>公益林地级别分值划分</w:t>
      </w:r>
    </w:p>
    <w:p>
      <w:pPr>
        <w:spacing w:line="87" w:lineRule="exact"/>
        <w:rPr>
          <w:highlight w:val="none"/>
        </w:rPr>
      </w:pPr>
    </w:p>
    <w:tbl>
      <w:tblPr>
        <w:tblStyle w:val="15"/>
        <w:tblW w:w="833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1"/>
        <w:gridCol w:w="2461"/>
        <w:gridCol w:w="1682"/>
        <w:gridCol w:w="228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11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级别</w:t>
            </w:r>
          </w:p>
        </w:tc>
        <w:tc>
          <w:tcPr>
            <w:tcW w:w="246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40" w:line="20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级别分值区间</w:t>
            </w:r>
          </w:p>
        </w:tc>
        <w:tc>
          <w:tcPr>
            <w:tcW w:w="1682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84" w:line="219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spacing w:val="-3"/>
                <w:kern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28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40" w:line="20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11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0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Ⅰ级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0" w:line="185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(86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99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889.3384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911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8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Ⅱ级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19" w:line="182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(70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86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1163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14361.7604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11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1" w:line="22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Ⅲ级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122" w:line="182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(37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  <w:t>70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]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1140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27019.4151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11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39" w:line="208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83" w:line="197" w:lineRule="auto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highlight w:val="none"/>
              </w:rPr>
              <w:t>/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2402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42270.5139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（2）细分利用类型级别成果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t>结合商品林、公益林级别成果，进一步细分利用类型，统计林地级别面积如下。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center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4"/>
          <w:szCs w:val="24"/>
          <w:highlight w:val="none"/>
        </w:rPr>
        <w:t>表</w:t>
      </w:r>
      <w:r>
        <w:rPr>
          <w:rFonts w:hint="eastAsia" w:ascii="仿宋" w:hAnsi="仿宋" w:eastAsia="仿宋" w:cs="仿宋"/>
          <w:spacing w:val="-46"/>
          <w:sz w:val="24"/>
          <w:szCs w:val="24"/>
          <w:highlight w:val="none"/>
        </w:rPr>
        <w:t xml:space="preserve"> </w:t>
      </w:r>
      <w:r>
        <w:rPr>
          <w:rFonts w:hint="eastAsia" w:ascii="仿宋" w:hAnsi="仿宋" w:eastAsia="仿宋" w:cs="仿宋"/>
          <w:b/>
          <w:bCs/>
          <w:spacing w:val="-1"/>
          <w:sz w:val="24"/>
          <w:szCs w:val="24"/>
          <w:highlight w:val="none"/>
        </w:rPr>
        <w:t xml:space="preserve">2-6  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  <w:lang w:eastAsia="zh-CN"/>
        </w:rPr>
        <w:t>西畴县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</w:rPr>
        <w:t>林地级别面积统计表</w:t>
      </w:r>
    </w:p>
    <w:tbl>
      <w:tblPr>
        <w:tblStyle w:val="8"/>
        <w:tblW w:w="85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1210"/>
        <w:gridCol w:w="1598"/>
        <w:gridCol w:w="1598"/>
        <w:gridCol w:w="1598"/>
        <w:gridCol w:w="156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166" w:type="dxa"/>
            <w:gridSpan w:val="2"/>
            <w:tcBorders>
              <w:tl2br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      级别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类型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Ⅰ级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Ⅱ级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Ⅲ级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商品林</w:t>
            </w: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乔木林地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3559.7914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32228.3984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10676.9565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46465.1463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0.4886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54.1321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39.7069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94.3276 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灌木林地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6.3621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4507.3317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5546.9638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10060.6576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0.0000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1372.8964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1230.9330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2603.8294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3566.6421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38162.7586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17494.5602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59223.9609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公益林</w:t>
            </w: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乔木林地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888.8025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6582.2869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5186.9245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12658.0139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0.0000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3.7041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5.9115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9.6156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灌木林地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0.5358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7550.3873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21664.3051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29215.2282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其他林地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0.0000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225.3821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162.2741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387.6562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6" w:type="dxa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889.3383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14361.7604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27019.4152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42270.5139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66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4455.9804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52524.5190</w:t>
            </w:r>
          </w:p>
        </w:tc>
        <w:tc>
          <w:tcPr>
            <w:tcW w:w="159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44513.9754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101494.4748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7"/>
        <w:textAlignment w:val="baseline"/>
        <w:rPr>
          <w:rFonts w:hint="eastAsia" w:ascii="仿宋" w:hAnsi="仿宋" w:eastAsia="仿宋" w:cs="仿宋"/>
          <w:spacing w:val="-4"/>
          <w:sz w:val="28"/>
          <w:szCs w:val="28"/>
          <w:highlight w:val="none"/>
          <w:lang w:val="en-US" w:eastAsia="zh-CN"/>
        </w:rPr>
        <w:sectPr>
          <w:headerReference r:id="rId7" w:type="default"/>
          <w:footerReference r:id="rId8" w:type="default"/>
          <w:pgSz w:w="11907" w:h="16839"/>
          <w:pgMar w:top="1440" w:right="1800" w:bottom="1440" w:left="1800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9" w:lineRule="auto"/>
        <w:ind w:left="0" w:firstLine="560" w:firstLineChars="200"/>
        <w:textAlignment w:val="baseline"/>
        <w:outlineLvl w:val="1"/>
        <w:rPr>
          <w:rFonts w:ascii="仿宋" w:hAnsi="仿宋" w:eastAsia="仿宋" w:cs="仿宋"/>
          <w:sz w:val="28"/>
          <w:szCs w:val="28"/>
          <w:highlight w:val="none"/>
        </w:rPr>
      </w:pPr>
      <w:bookmarkStart w:id="9" w:name="_Toc13575"/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>2.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highlight w:val="none"/>
          <w:lang w:val="en-US" w:eastAsia="zh-CN"/>
        </w:rPr>
        <w:t>3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草</w:t>
      </w:r>
      <w:r>
        <w:rPr>
          <w:rFonts w:ascii="仿宋" w:hAnsi="仿宋" w:eastAsia="仿宋" w:cs="仿宋"/>
          <w:sz w:val="28"/>
          <w:szCs w:val="28"/>
          <w:highlight w:val="none"/>
        </w:rPr>
        <w:t>地定级成果</w:t>
      </w:r>
      <w:bookmarkEnd w:id="9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其他草地定级单元综合分值分布在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37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到9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，其中定级单元综合分值较高的区域主要分布在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兴街镇、莲花塘乡；定级单元综合分值较低的其他草地主要分布在法斗乡、鸡街乡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。对其他草地定级单元综合分值标准化处理后，采用等间距法划分为2个级别。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238" w:firstLineChars="100"/>
        <w:jc w:val="center"/>
        <w:textAlignment w:val="baseline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表</w:t>
      </w:r>
      <w:r>
        <w:rPr>
          <w:rFonts w:ascii="仿宋" w:hAnsi="仿宋" w:eastAsia="仿宋" w:cs="仿宋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2-7    </w:t>
      </w: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西畴县</w:t>
      </w:r>
      <w:r>
        <w:rPr>
          <w:rFonts w:ascii="仿宋" w:hAnsi="仿宋" w:eastAsia="仿宋" w:cs="仿宋"/>
          <w:spacing w:val="-1"/>
          <w:sz w:val="24"/>
          <w:szCs w:val="24"/>
        </w:rPr>
        <w:t>其他草地级别分值划分</w:t>
      </w:r>
    </w:p>
    <w:p>
      <w:pPr>
        <w:spacing w:line="86" w:lineRule="exact"/>
      </w:pPr>
    </w:p>
    <w:tbl>
      <w:tblPr>
        <w:tblStyle w:val="15"/>
        <w:tblW w:w="833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2298"/>
        <w:gridCol w:w="2126"/>
        <w:gridCol w:w="21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78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55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</w:rPr>
              <w:t>级别</w:t>
            </w:r>
          </w:p>
        </w:tc>
        <w:tc>
          <w:tcPr>
            <w:tcW w:w="229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55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级别分值区间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55" w:line="218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eastAsia="zh-CN"/>
              </w:rPr>
              <w:t>图斑数（个）</w:t>
            </w:r>
          </w:p>
        </w:tc>
        <w:tc>
          <w:tcPr>
            <w:tcW w:w="212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55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级别面积（公顷）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48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Ⅰ级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(68,91]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314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469.9302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53" w:line="21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Ⅱ级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8" w:line="182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(37,68]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1509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823.0551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784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54" w:line="218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229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91" w:line="215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highlight w:val="none"/>
              </w:rPr>
              <w:t>/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1823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pStyle w:val="11"/>
              <w:spacing w:before="74" w:line="185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1292.9853</w:t>
            </w:r>
          </w:p>
        </w:tc>
      </w:tr>
    </w:tbl>
    <w:p>
      <w:pPr>
        <w:pStyle w:val="3"/>
      </w:pPr>
      <w:bookmarkStart w:id="10" w:name="bookmark10"/>
      <w:bookmarkEnd w:id="10"/>
      <w:bookmarkStart w:id="11" w:name="bookmark9"/>
      <w:bookmarkEnd w:id="11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08" w:firstLineChars="200"/>
        <w:textAlignment w:val="baseline"/>
        <w:outlineLvl w:val="0"/>
        <w:rPr>
          <w:rFonts w:hint="default" w:ascii="仿宋" w:hAnsi="仿宋" w:eastAsia="仿宋" w:cs="仿宋"/>
          <w:sz w:val="30"/>
          <w:szCs w:val="30"/>
          <w:lang w:val="en-US"/>
        </w:rPr>
      </w:pPr>
      <w:bookmarkStart w:id="12" w:name="_Toc28854"/>
      <w:r>
        <w:rPr>
          <w:rFonts w:hint="eastAsia" w:ascii="仿宋" w:hAnsi="仿宋" w:eastAsia="仿宋" w:cs="仿宋"/>
          <w:spacing w:val="-23"/>
          <w:sz w:val="30"/>
          <w:szCs w:val="30"/>
          <w:lang w:eastAsia="zh-CN"/>
        </w:rPr>
        <w:t>三</w:t>
      </w:r>
      <w:r>
        <w:rPr>
          <w:rFonts w:ascii="仿宋" w:hAnsi="仿宋" w:eastAsia="仿宋" w:cs="仿宋"/>
          <w:spacing w:val="-23"/>
          <w:sz w:val="30"/>
          <w:szCs w:val="30"/>
        </w:rPr>
        <w:t>、</w:t>
      </w:r>
      <w:bookmarkEnd w:id="12"/>
      <w:r>
        <w:rPr>
          <w:rFonts w:hint="eastAsia" w:ascii="仿宋" w:hAnsi="仿宋" w:eastAsia="仿宋" w:cs="仿宋"/>
          <w:spacing w:val="-23"/>
          <w:sz w:val="30"/>
          <w:szCs w:val="30"/>
          <w:lang w:val="en-US" w:eastAsia="zh-CN"/>
        </w:rPr>
        <w:t>基准地价成果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2" w:firstLineChars="200"/>
        <w:textAlignment w:val="baseline"/>
        <w:outlineLvl w:val="1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13" w:name="_Toc2997"/>
      <w:r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.1</w:t>
      </w:r>
      <w:r>
        <w:rPr>
          <w:rFonts w:ascii="仿宋" w:hAnsi="仿宋" w:eastAsia="仿宋" w:cs="仿宋"/>
          <w:spacing w:val="-5"/>
          <w:sz w:val="28"/>
          <w:szCs w:val="28"/>
        </w:rPr>
        <w:t>园地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基准地价</w:t>
      </w:r>
      <w:bookmarkEnd w:id="13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园地基准地价是根据政府需求对园地不同级别或不同均质地域，正常市场水平(平均利用水平和生产力水平)及平均基础设施条件下，按照果园、茶园、其他园地分别评估的在估价期日2023年1月1日，承包经营年期30年的价格。</w:t>
      </w:r>
    </w:p>
    <w:p>
      <w:pP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default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表3-1 西畴县园地基准地价内涵表</w:t>
      </w:r>
    </w:p>
    <w:tbl>
      <w:tblPr>
        <w:tblStyle w:val="8"/>
        <w:tblW w:w="836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36"/>
        <w:gridCol w:w="1755"/>
        <w:gridCol w:w="4973"/>
      </w:tblGrid>
      <w:tr>
        <w:tblPrEx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分类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内涵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价格类别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经济价值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园地权利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权利年期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30年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  <w:t>估价期日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val="en-US" w:eastAsia="zh-CN"/>
              </w:rPr>
              <w:t>2023年1月1日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果园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主导作物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橘子/梨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76/74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茶园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主导作物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灌丛型茶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亩均丛数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900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其他园地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主导作物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砂仁</w:t>
            </w: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/草果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300/210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园地设施状况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宗地所在区域通路、水源供给有保障，宗地内土地较平整、有基本的排水与灌溉设施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eastAsia="zh-CN"/>
        </w:rPr>
        <w:t>表</w:t>
      </w: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3-2 园地级别基准地价表</w:t>
      </w:r>
    </w:p>
    <w:tbl>
      <w:tblPr>
        <w:tblStyle w:val="9"/>
        <w:tblW w:w="852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8"/>
        <w:gridCol w:w="1218"/>
        <w:gridCol w:w="1218"/>
        <w:gridCol w:w="121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243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果园基准地价</w:t>
            </w:r>
          </w:p>
        </w:tc>
        <w:tc>
          <w:tcPr>
            <w:tcW w:w="243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茶园基准地价</w:t>
            </w:r>
          </w:p>
        </w:tc>
        <w:tc>
          <w:tcPr>
            <w:tcW w:w="243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其他园地基准地价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一级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28.95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27.75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26.1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二级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24.3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19.05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三级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17.4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13.5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2" w:firstLineChars="200"/>
        <w:textAlignment w:val="baseline"/>
        <w:outlineLvl w:val="9"/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2" w:firstLineChars="200"/>
        <w:textAlignment w:val="baseline"/>
        <w:outlineLvl w:val="1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14" w:name="_Toc16896"/>
      <w:r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</w:t>
      </w:r>
      <w:r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林</w:t>
      </w:r>
      <w:r>
        <w:rPr>
          <w:rFonts w:ascii="仿宋" w:hAnsi="仿宋" w:eastAsia="仿宋" w:cs="仿宋"/>
          <w:spacing w:val="-5"/>
          <w:sz w:val="28"/>
          <w:szCs w:val="28"/>
        </w:rPr>
        <w:t>地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基准地价</w:t>
      </w:r>
      <w:bookmarkEnd w:id="14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林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地基准地价是根据政府需求对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林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地不同级别或不同均质地域，正常市场水平(平均利用水平和生产力水平)及平均基础设施条件下，按照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乔木林地、灌木林地、竹林地、其他林地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分别评估的在估价期日2023年1月1日，承包经营年期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0年的价格。</w:t>
      </w:r>
    </w:p>
    <w:p>
      <w:pP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default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表3-3 西畴县林地基准地价内涵表</w:t>
      </w:r>
    </w:p>
    <w:tbl>
      <w:tblPr>
        <w:tblStyle w:val="8"/>
        <w:tblW w:w="836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36"/>
        <w:gridCol w:w="1755"/>
        <w:gridCol w:w="49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分类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内涵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价格类别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经济价值（含林木价值）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林地权利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权利年期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70年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  <w:t>估价期日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val="en-US" w:eastAsia="zh-CN"/>
              </w:rPr>
              <w:t>2023年1月1日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乔木林地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优势树种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杉树/桉树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树龄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21/16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100/100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竹林地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优势树种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毛竹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树龄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167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灌木林地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优势树种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松树/杉树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树龄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16/21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100/100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其他林地</w:t>
            </w: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优势树种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杉树/冬瓜树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树龄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21/16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亩均株数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100/167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林地设施状况</w:t>
            </w:r>
          </w:p>
        </w:tc>
        <w:tc>
          <w:tcPr>
            <w:tcW w:w="49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宗地所在区域道路通达，宗地内有集材道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表3-4 灌木林地和其他林地修正系数表</w:t>
      </w:r>
    </w:p>
    <w:tbl>
      <w:tblPr>
        <w:tblStyle w:val="9"/>
        <w:tblW w:w="852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426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地类</w:t>
            </w:r>
          </w:p>
        </w:tc>
        <w:tc>
          <w:tcPr>
            <w:tcW w:w="426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修正系数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426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乔木林地</w:t>
            </w:r>
          </w:p>
        </w:tc>
        <w:tc>
          <w:tcPr>
            <w:tcW w:w="426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1.00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426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灌木林地</w:t>
            </w:r>
          </w:p>
        </w:tc>
        <w:tc>
          <w:tcPr>
            <w:tcW w:w="426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0.86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426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其他林地</w:t>
            </w:r>
          </w:p>
        </w:tc>
        <w:tc>
          <w:tcPr>
            <w:tcW w:w="426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0.83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sectPr>
          <w:pgSz w:w="11907" w:h="16839"/>
          <w:pgMar w:top="1440" w:right="1800" w:bottom="1440" w:left="1800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表3-5 林地级别基准地价表</w:t>
      </w:r>
    </w:p>
    <w:tbl>
      <w:tblPr>
        <w:tblStyle w:val="9"/>
        <w:tblW w:w="852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967"/>
        <w:gridCol w:w="969"/>
        <w:gridCol w:w="968"/>
        <w:gridCol w:w="969"/>
        <w:gridCol w:w="968"/>
        <w:gridCol w:w="969"/>
        <w:gridCol w:w="968"/>
        <w:gridCol w:w="97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93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乔木林地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基准地价</w:t>
            </w:r>
          </w:p>
        </w:tc>
        <w:tc>
          <w:tcPr>
            <w:tcW w:w="193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竹林地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基准地价</w:t>
            </w:r>
          </w:p>
        </w:tc>
        <w:tc>
          <w:tcPr>
            <w:tcW w:w="193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灌木林地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基准地价</w:t>
            </w:r>
          </w:p>
        </w:tc>
        <w:tc>
          <w:tcPr>
            <w:tcW w:w="194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其他林地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基准地价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9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一级</w:t>
            </w:r>
          </w:p>
        </w:tc>
        <w:tc>
          <w:tcPr>
            <w:tcW w:w="9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24.3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23.1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9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二级</w:t>
            </w:r>
          </w:p>
        </w:tc>
        <w:tc>
          <w:tcPr>
            <w:tcW w:w="9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20.1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19.2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17.25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16.65</w:t>
            </w:r>
          </w:p>
        </w:tc>
        <w:tc>
          <w:tcPr>
            <w:tcW w:w="9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三级</w:t>
            </w:r>
          </w:p>
        </w:tc>
        <w:tc>
          <w:tcPr>
            <w:tcW w:w="9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16.2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14.4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13.95</w:t>
            </w:r>
          </w:p>
        </w:tc>
        <w:tc>
          <w:tcPr>
            <w:tcW w:w="9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13.5</w:t>
            </w:r>
          </w:p>
        </w:tc>
        <w:tc>
          <w:tcPr>
            <w:tcW w:w="9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2" w:firstLineChars="200"/>
        <w:textAlignment w:val="baseline"/>
        <w:outlineLvl w:val="1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15" w:name="_Toc29947"/>
      <w:r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  <w:t>3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</w:t>
      </w:r>
      <w:r>
        <w:rPr>
          <w:rFonts w:hint="eastAsia" w:ascii="Times New Roman" w:hAnsi="Times New Roman" w:eastAsia="宋体" w:cs="Times New Roman"/>
          <w:b/>
          <w:bCs/>
          <w:spacing w:val="-5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草</w:t>
      </w:r>
      <w:r>
        <w:rPr>
          <w:rFonts w:ascii="仿宋" w:hAnsi="仿宋" w:eastAsia="仿宋" w:cs="仿宋"/>
          <w:spacing w:val="-5"/>
          <w:sz w:val="28"/>
          <w:szCs w:val="28"/>
        </w:rPr>
        <w:t>地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基准地价</w:t>
      </w:r>
      <w:bookmarkEnd w:id="15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草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地基准地价是根据政府需求对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草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地不同级别或不同均质地域，正常市场水平(平均利用水平和生产力水平)及平均基础设施条件下，按照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eastAsia="zh-CN"/>
        </w:rPr>
        <w:t>其他草地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评估的在估价期日2023年1月1日，承包经营年期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position w:val="14"/>
          <w:sz w:val="28"/>
          <w:szCs w:val="28"/>
        </w:rPr>
        <w:t>0年的价格。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default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表3-6 西畴县草地基准地价内涵表</w:t>
      </w:r>
    </w:p>
    <w:tbl>
      <w:tblPr>
        <w:tblStyle w:val="8"/>
        <w:tblW w:w="836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36"/>
        <w:gridCol w:w="1755"/>
        <w:gridCol w:w="49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分类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/>
                <w:sz w:val="24"/>
                <w:szCs w:val="24"/>
                <w:lang w:eastAsia="zh-CN"/>
              </w:rPr>
              <w:t>内涵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价格类别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经济价值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草地权利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权利年期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承包经营权</w:t>
            </w: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val="en-US" w:eastAsia="zh-CN"/>
              </w:rPr>
              <w:t>30年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eastAsia="zh-CN"/>
              </w:rPr>
              <w:t>估价期日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sz w:val="24"/>
                <w:szCs w:val="24"/>
                <w:lang w:val="en-US" w:eastAsia="zh-CN"/>
              </w:rPr>
              <w:t>2023年1月1日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16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其他草地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作物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kern w:val="0"/>
                <w:sz w:val="24"/>
                <w:szCs w:val="24"/>
                <w:lang w:val="en-US" w:eastAsia="zh-CN" w:bidi="ar-SA"/>
              </w:rPr>
              <w:t>皇竹草/甜象草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</w:trPr>
        <w:tc>
          <w:tcPr>
            <w:tcW w:w="33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草地设施状况</w:t>
            </w:r>
          </w:p>
        </w:tc>
        <w:tc>
          <w:tcPr>
            <w:tcW w:w="497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333333"/>
                <w:sz w:val="24"/>
                <w:szCs w:val="24"/>
                <w:lang w:eastAsia="zh-CN"/>
              </w:rPr>
              <w:t>宗地所在区域通路，水源供给有保障，宗地内土地较平整、有基本的排水设施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466" w:firstLineChars="200"/>
        <w:jc w:val="center"/>
        <w:textAlignment w:val="baseline"/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4"/>
          <w:position w:val="14"/>
          <w:sz w:val="24"/>
          <w:szCs w:val="24"/>
          <w:lang w:val="en-US" w:eastAsia="zh-CN"/>
        </w:rPr>
        <w:t>表3-7 草地级别基准地价表</w:t>
      </w:r>
    </w:p>
    <w:tbl>
      <w:tblPr>
        <w:tblStyle w:val="9"/>
        <w:tblW w:w="852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4"/>
        <w:gridCol w:w="2555"/>
        <w:gridCol w:w="359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614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其他草地基准地价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元/m</w:t>
            </w: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35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万元/亩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一级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9.75</w:t>
            </w:r>
          </w:p>
        </w:tc>
        <w:tc>
          <w:tcPr>
            <w:tcW w:w="35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  <w:t>二级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</w:t>
            </w:r>
          </w:p>
        </w:tc>
        <w:tc>
          <w:tcPr>
            <w:tcW w:w="35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pacing w:val="-4"/>
                <w:position w:val="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0" w:firstLineChars="200"/>
        <w:textAlignment w:val="baseline"/>
        <w:outlineLvl w:val="1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sectPr>
          <w:pgSz w:w="11907" w:h="16839"/>
          <w:pgMar w:top="1440" w:right="1800" w:bottom="1440" w:left="1800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0" w:firstLineChars="200"/>
        <w:textAlignment w:val="baseline"/>
        <w:outlineLvl w:val="1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附件：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1.西畴县园地定级和基准地价制定成果图；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2.西畴县林地定级和基准地价制定成果图；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4" w:firstLineChars="200"/>
        <w:textAlignment w:val="baseline"/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sectPr>
          <w:pgSz w:w="11907" w:h="16839"/>
          <w:pgMar w:top="1440" w:right="1800" w:bottom="1440" w:left="1800" w:header="879" w:footer="9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t>3.西畴县草地定级和基准地价制定成果图。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ascii="仿宋" w:hAnsi="仿宋" w:eastAsia="仿宋" w:cs="仿宋"/>
          <w:spacing w:val="-4"/>
          <w:position w:val="14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drawing>
          <wp:inline distT="0" distB="0" distL="114300" distR="114300">
            <wp:extent cx="8397240" cy="8397240"/>
            <wp:effectExtent l="0" t="0" r="3810" b="3810"/>
            <wp:docPr id="1" name="图片 3" descr="园地级别图（成果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园地级别图（成果图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drawing>
          <wp:inline distT="0" distB="0" distL="114300" distR="114300">
            <wp:extent cx="8397240" cy="8397240"/>
            <wp:effectExtent l="0" t="0" r="3810" b="3810"/>
            <wp:docPr id="2" name="图片 4" descr="林地级别图（成果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林地级别图（成果图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-4"/>
          <w:position w:val="14"/>
          <w:sz w:val="28"/>
          <w:szCs w:val="28"/>
          <w:lang w:val="en-US" w:eastAsia="zh-CN"/>
        </w:rPr>
        <w:drawing>
          <wp:inline distT="0" distB="0" distL="114300" distR="114300">
            <wp:extent cx="8397240" cy="8397240"/>
            <wp:effectExtent l="0" t="0" r="3810" b="3810"/>
            <wp:docPr id="3" name="图片 5" descr="草地级别图（成果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草地级别图（成果图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79" w:footer="99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168"/>
        <w:tab w:val="clear" w:pos="415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hint="eastAsia" w:ascii="Times New Roman" w:hAnsi="Times New Roman" w:eastAsia="宋体" w:cs="Times New Roman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24LBYbAgAAIwQAAA4AAABkcnMvZTJvRG9jLnhtbK1Ty47TMBTdI/EP&#10;lvc0aYFR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24LBY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jc w:val="both"/>
      <w:rPr>
        <w:rFonts w:hint="default" w:ascii="Times New Roman" w:hAnsi="Times New Roman" w:eastAsia="宋体" w:cs="Times New Roman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CwKZlM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6979"/>
      </w:tabs>
      <w:spacing w:line="171" w:lineRule="auto"/>
      <w:jc w:val="both"/>
      <w:rPr>
        <w:rFonts w:hint="default" w:ascii="Times New Roman" w:hAnsi="Times New Roman" w:eastAsia="宋体" w:cs="Times New Roman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5u89kbAgAAIwQAAA4AAABkcnMvZTJvRG9jLnhtbK1Ty47TMBTdI/EP&#10;lvc0aRFD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G5u89k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line="215" w:lineRule="auto"/>
      <w:rPr>
        <w:rFonts w:ascii="仿宋" w:hAnsi="仿宋" w:eastAsia="仿宋" w:cs="仿宋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line="215" w:lineRule="auto"/>
      <w:rPr>
        <w:rFonts w:ascii="仿宋" w:hAnsi="仿宋" w:eastAsia="仿宋" w:cs="仿宋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isplayBackgroundShape w:val="1"/>
  <w:bordersDoNotSurroundHeader w:val="0"/>
  <w:bordersDoNotSurroundFooter w:val="0"/>
  <w:documentProtection w:enforcement="0"/>
  <w:defaultTabStop w:val="500"/>
  <w:hyphenationZone w:val="36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mMjk0MmU5MWU3MjQ5YzIwNDczNGE1MDY3YjE5MTUifQ=="/>
  </w:docVars>
  <w:rsids>
    <w:rsidRoot w:val="00000000"/>
    <w:rsid w:val="07A16D4E"/>
    <w:rsid w:val="14C36CD2"/>
    <w:rsid w:val="15C25635"/>
    <w:rsid w:val="1BD23224"/>
    <w:rsid w:val="293715E5"/>
    <w:rsid w:val="2B8C70D4"/>
    <w:rsid w:val="2BEF61A7"/>
    <w:rsid w:val="2C8D1C48"/>
    <w:rsid w:val="309913F4"/>
    <w:rsid w:val="3646769D"/>
    <w:rsid w:val="38A02D03"/>
    <w:rsid w:val="3947009D"/>
    <w:rsid w:val="397B72CC"/>
    <w:rsid w:val="3D777EC3"/>
    <w:rsid w:val="40121429"/>
    <w:rsid w:val="40C35648"/>
    <w:rsid w:val="46843954"/>
    <w:rsid w:val="4A1E7F2C"/>
    <w:rsid w:val="4A477E25"/>
    <w:rsid w:val="4A5D0A54"/>
    <w:rsid w:val="4AA36E08"/>
    <w:rsid w:val="4ACE44A6"/>
    <w:rsid w:val="4BB25D15"/>
    <w:rsid w:val="532C3CF4"/>
    <w:rsid w:val="5A5828CE"/>
    <w:rsid w:val="5C845647"/>
    <w:rsid w:val="670C0B8E"/>
    <w:rsid w:val="6712276E"/>
    <w:rsid w:val="69A578CA"/>
    <w:rsid w:val="6EA05930"/>
    <w:rsid w:val="740416EC"/>
    <w:rsid w:val="74BA4B4A"/>
    <w:rsid w:val="763A5367"/>
    <w:rsid w:val="78EC0DC6"/>
    <w:rsid w:val="79773376"/>
    <w:rsid w:val="7B453DC4"/>
    <w:rsid w:val="7D0050EB"/>
    <w:rsid w:val="7E067631"/>
    <w:rsid w:val="7E0F3E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table" w:customStyle="1" w:styleId="15">
    <w:name w:val="Table Normal"/>
    <w:unhideWhenUsed/>
    <w:qFormat/>
    <w:uiPriority w:val="0"/>
    <w:tblPr>
      <w:tblStyle w:val="8"/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23</TotalTime>
  <ScaleCrop>false</ScaleCrop>
  <LinksUpToDate>false</LinksUpToDate>
  <Application>WPS Office_11.8.6.8722_F1E327BC-269C-435d-A152-05C5408002CA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2023-06-19T15:09:00Z</dcterms:created>
  <dc:creator>Administrator</dc:creator>
  <cp:lastModifiedBy>Administrator</cp:lastModifiedBy>
  <dcterms:modified xsi:type="dcterms:W3CDTF">2024-01-10T08:03:56Z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2023-10-18T15:15:49Z</vt:filetime>
  </property>
  <property fmtid="{D5CDD505-2E9C-101B-9397-08002B2CF9AE}" pid="4" name="KSOProductBuildVer">
    <vt:lpwstr>2052-11.8.6.8722</vt:lpwstr>
  </property>
  <property fmtid="{D5CDD505-2E9C-101B-9397-08002B2CF9AE}" pid="5" name="ICV">
    <vt:lpwstr>7A409D32B4B54C91A221AE8AACBE6B91_13</vt:lpwstr>
  </property>
</Properties>
</file>