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年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lang w:val="en-US" w:eastAsia="zh-CN"/>
        </w:rPr>
        <w:t>月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lang w:val="en-US" w:eastAsia="zh-CN"/>
        </w:rPr>
        <w:t>国民经济主要指标</w:t>
      </w:r>
    </w:p>
    <w:p>
      <w:pPr>
        <w:jc w:val="center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西畴县统计局   编制</w:t>
      </w:r>
    </w:p>
    <w:p>
      <w:pPr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jc w:val="center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目  录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lang w:val="en-US" w:eastAsia="zh-CN"/>
        </w:rPr>
        <w:t>简要分析………………………………………………………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地区生产总值…………………………………………………4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农    业………………………………………………………5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工    业………………………………………………………6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固定资产投资（不含农户）…………………………………7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财政收支………………………………………………………8</w:t>
      </w:r>
    </w:p>
    <w:p>
      <w:pPr>
        <w:jc w:val="both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金    融………………………………………………………9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保    险………………………………………………………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10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国内贸易………………………………………………………1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能    源………………………………………………………1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初步核算，上半年，全县完成地区生产总值254530万元，增长16.3%，两年平均增长7.6%。分产业看，第一产业增加值42465万元，增长9.4%，两年平均增长5.1%；第二产业增加值81609万元，增长34.4%，两年平均增长15.5%；第三产业增加值130456万元，同比增长9.9%，两年平均增长4.4%。三次产业结构为16.7 : 32.1 : 51.2，三次产业分别拉动地区生产总值增长1.7、9.2、5.4个百分点，对地区生产总值增长的贡献率分别为10.6%、56.2%、33.2%。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1.农业生产稳步回升。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上半年，实现农林牧渔业总产值总产值78078万元，增长11.6%，两年平均增长6.2%。农林牧渔业增加值同比增长9.3%，两年平均增长5.0%。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2.工业经济平稳增长。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上半年，实现全部工业增加值增长9.1%。1—6月，规模以上工业增加值增长12.0%，两年平均增长7.7%。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3.固定资产投资高速增长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上半年，实现固定资产投资增长38.3%，两年平均增长31.8%。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4.社会消费品零售总额小幅回落。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上半年，实现社会消费品零售总额161734万元，增长13.6%，两年平均增长1.2%。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5.财政支出压力大。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上半年，完成财政总收入21539万元，增长47.5%，两年平均增长12.7%，其中，地方一般公共财政预算收入13406万元，增长63.8%，两年平均增长14.7%；地方一般公共财政预算支出132628万元，增长0.1%，两年平均下降11.2%。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6.金融存贷稳定增长</w:t>
      </w:r>
      <w:r>
        <w:rPr>
          <w:rFonts w:hint="default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6月末，金融机构人民币存款余额625938万元，增长9.0%，两年平均增长5.1%；金融机构人民币贷款余额为611492万元，增长9.0%，两年平均增长8.9%。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宋体"/>
          <w:b w:val="0"/>
          <w:bCs w:val="0"/>
          <w:color w:val="000000"/>
          <w:sz w:val="32"/>
          <w:szCs w:val="32"/>
          <w:highlight w:val="none"/>
          <w:lang w:val="en-US" w:eastAsia="zh-CN"/>
        </w:rPr>
        <w:t>7.城乡居民收入稳步提高</w:t>
      </w:r>
      <w:r>
        <w:rPr>
          <w:rFonts w:hint="default" w:ascii="Times New Roman" w:hAnsi="Times New Roman" w:eastAsia="方正楷体_GBK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上半年，城镇常住居民人均可支配收入12409元，增长12.4%，两年平均增长8.0%，增幅比全国、全省、全州分别高1.0、1.4、1.5个百分点；农村常住居民人均可支配收入5472元，增长15.4%，两年平均增长11.0%，增幅比全国、全省、全州分别高0.8、0.7、1.5个百分点。</w:t>
      </w:r>
    </w:p>
    <w:p>
      <w:pPr>
        <w:pStyle w:val="18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18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11"/>
        <w:tblW w:w="87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1513"/>
        <w:gridCol w:w="1618"/>
        <w:gridCol w:w="1694"/>
        <w:gridCol w:w="1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8762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地区生产总值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00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126128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254530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216129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一、第一产业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17590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42465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39857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3.林业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4.渔业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二、第二产业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47585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81609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57649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1.工业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2.建筑业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0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三、第三产业</w:t>
            </w:r>
          </w:p>
        </w:tc>
        <w:tc>
          <w:tcPr>
            <w:tcW w:w="15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60953</w:t>
            </w:r>
          </w:p>
        </w:tc>
        <w:tc>
          <w:tcPr>
            <w:tcW w:w="16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130456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118623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9.9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pStyle w:val="5"/>
        <w:rPr>
          <w:rFonts w:hint="eastAsia"/>
          <w:lang w:val="en-US" w:eastAsia="zh-CN"/>
        </w:rPr>
      </w:pPr>
    </w:p>
    <w:tbl>
      <w:tblPr>
        <w:tblStyle w:val="11"/>
        <w:tblW w:w="8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4"/>
        <w:gridCol w:w="223"/>
        <w:gridCol w:w="350"/>
        <w:gridCol w:w="53"/>
        <w:gridCol w:w="532"/>
        <w:gridCol w:w="387"/>
        <w:gridCol w:w="509"/>
        <w:gridCol w:w="364"/>
        <w:gridCol w:w="370"/>
        <w:gridCol w:w="43"/>
        <w:gridCol w:w="420"/>
        <w:gridCol w:w="120"/>
        <w:gridCol w:w="399"/>
        <w:gridCol w:w="453"/>
        <w:gridCol w:w="227"/>
        <w:gridCol w:w="183"/>
        <w:gridCol w:w="178"/>
        <w:gridCol w:w="79"/>
        <w:gridCol w:w="40"/>
        <w:gridCol w:w="350"/>
        <w:gridCol w:w="1091"/>
        <w:gridCol w:w="15"/>
        <w:gridCol w:w="15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75" w:hRule="atLeast"/>
        </w:trPr>
        <w:tc>
          <w:tcPr>
            <w:tcW w:w="8725" w:type="dxa"/>
            <w:gridSpan w:val="2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 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480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48" w:type="dxa"/>
            <w:gridSpan w:val="1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单位：万元、万只、万头、吨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195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1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80" w:hRule="atLeast"/>
        </w:trPr>
        <w:tc>
          <w:tcPr>
            <w:tcW w:w="2577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季度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49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一、农业产值</w:t>
            </w:r>
          </w:p>
        </w:tc>
        <w:tc>
          <w:tcPr>
            <w:tcW w:w="6148" w:type="dxa"/>
            <w:gridSpan w:val="19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82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总产值(不变价增速)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27187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78078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72551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2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1.农业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6520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22557</w:t>
            </w:r>
          </w:p>
        </w:tc>
        <w:tc>
          <w:tcPr>
            <w:tcW w:w="156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17330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9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15290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46171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48356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6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3.林业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2969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5140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3233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4.渔业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1611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1853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1835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880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2357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1797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74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bottom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76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94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9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60" w:hRule="atLeast"/>
        </w:trPr>
        <w:tc>
          <w:tcPr>
            <w:tcW w:w="257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580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45" w:type="dxa"/>
          <w:trHeight w:val="635" w:hRule="atLeast"/>
        </w:trPr>
        <w:tc>
          <w:tcPr>
            <w:tcW w:w="2577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99" w:hRule="atLeast"/>
        </w:trPr>
        <w:tc>
          <w:tcPr>
            <w:tcW w:w="8740" w:type="dxa"/>
            <w:gridSpan w:val="2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   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8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4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季)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8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5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69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329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7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1、黄金（千克）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92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490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423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4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2、砖（万块）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1028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5107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6363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90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3、铁合金（吨）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1319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1319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17247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-92.4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4、自来水供量（万立方米）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82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5、锌（吨）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259.3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99.7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6、蔗糖（吨）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48146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38885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9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7、铝土（万吨）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10.2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68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60.2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45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8、塑木（吨）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65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521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161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10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9、商品混凝土（立方米）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6135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40084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30406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54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10、石材（平方米）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1000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9100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15424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419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11、钢结构(吨）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77" w:hRule="atLeast"/>
        </w:trPr>
        <w:tc>
          <w:tcPr>
            <w:tcW w:w="351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、锯材加工（立方米）</w:t>
            </w:r>
          </w:p>
        </w:tc>
        <w:tc>
          <w:tcPr>
            <w:tcW w:w="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1370</w:t>
            </w:r>
          </w:p>
        </w:tc>
        <w:tc>
          <w:tcPr>
            <w:tcW w:w="1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6565</w:t>
            </w:r>
          </w:p>
        </w:tc>
        <w:tc>
          <w:tcPr>
            <w:tcW w:w="15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5745</w:t>
            </w:r>
          </w:p>
        </w:tc>
        <w:tc>
          <w:tcPr>
            <w:tcW w:w="1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25" w:hRule="atLeast"/>
        </w:trPr>
        <w:tc>
          <w:tcPr>
            <w:tcW w:w="8740" w:type="dxa"/>
            <w:gridSpan w:val="2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固定资产投资（不含农户）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30" w:hRule="atLeast"/>
        </w:trPr>
        <w:tc>
          <w:tcPr>
            <w:tcW w:w="351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8" w:type="dxa"/>
            <w:gridSpan w:val="1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9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18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49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204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6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7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3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2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3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公共管理和社会团体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58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89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6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0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660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4"/>
                <w:rFonts w:hint="default" w:ascii="Times New Roman" w:hAnsi="Times New Roman" w:eastAsia="方正仿宋_GBK" w:cs="Times New Roman"/>
                <w:lang w:val="en-US" w:eastAsia="zh-CN" w:bidi="ar"/>
              </w:rPr>
              <w:t>二产业投资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0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3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39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30" w:type="dxa"/>
          <w:trHeight w:val="795" w:hRule="atLeast"/>
        </w:trPr>
        <w:tc>
          <w:tcPr>
            <w:tcW w:w="3512" w:type="dxa"/>
            <w:gridSpan w:val="5"/>
            <w:tcBorders>
              <w:top w:val="single" w:color="000000" w:sz="4" w:space="0"/>
              <w:left w:val="single" w:color="FFFFFF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67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8770" w:type="dxa"/>
            <w:gridSpan w:val="2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0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一、财政总收入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3907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21539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14603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1、中央、省级收入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8133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6119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楷体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2、公共财政预算收入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3290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13406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8184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其中：税务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3271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10581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7094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财政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2825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1090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二、公共财政预算支出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50581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132628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132508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877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8717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11669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公共安全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729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3505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4124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4774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30178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31909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153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77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文化体育与传媒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687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1087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14967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28098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26721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3842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21951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8774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节能环保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2198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2333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3932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城乡社区事务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3343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5856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4898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农林水事务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12755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17215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30664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-43.9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1613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1752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1209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440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资源勘探、商业金融国土资源等事务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5376</w:t>
            </w:r>
          </w:p>
        </w:tc>
        <w:tc>
          <w:tcPr>
            <w:tcW w:w="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12183</w:t>
            </w:r>
          </w:p>
        </w:tc>
        <w:tc>
          <w:tcPr>
            <w:tcW w:w="1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7434</w:t>
            </w:r>
          </w:p>
        </w:tc>
        <w:tc>
          <w:tcPr>
            <w:tcW w:w="11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770" w:type="dxa"/>
            <w:gridSpan w:val="2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    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2980" w:type="dxa"/>
            <w:gridSpan w:val="4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625938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574140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其中：单位存款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165983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162871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个人储蓄存款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452092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404554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30045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30844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农业银行存款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143324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138038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11649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10055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邮政存款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80613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76955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农村信用社存款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352598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311534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611492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561189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其中：短期贷款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135177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116894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中长期贷款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464637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433646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204119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204345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农业银行贷款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106476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102843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42815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5946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980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农村信用社贷款</w:t>
            </w:r>
          </w:p>
        </w:tc>
        <w:tc>
          <w:tcPr>
            <w:tcW w:w="1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258082</w:t>
            </w:r>
          </w:p>
        </w:tc>
        <w:tc>
          <w:tcPr>
            <w:tcW w:w="20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248055</w:t>
            </w:r>
          </w:p>
        </w:tc>
        <w:tc>
          <w:tcPr>
            <w:tcW w:w="19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</w:trPr>
        <w:tc>
          <w:tcPr>
            <w:tcW w:w="8770" w:type="dxa"/>
            <w:gridSpan w:val="2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pStyle w:val="5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520" w:firstLineChars="1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    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927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3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3387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3139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201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178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1384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1265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1802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1696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1061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1081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67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621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692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292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8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373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1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348</w:t>
            </w:r>
          </w:p>
        </w:tc>
        <w:tc>
          <w:tcPr>
            <w:tcW w:w="21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ind w:right="20" w:rightChars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75" w:hRule="atLeast"/>
        </w:trPr>
        <w:tc>
          <w:tcPr>
            <w:tcW w:w="8755" w:type="dxa"/>
            <w:gridSpan w:val="23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60" w:hRule="atLeast"/>
        </w:trPr>
        <w:tc>
          <w:tcPr>
            <w:tcW w:w="235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7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9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27114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161734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142406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8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一、按销售地区分：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5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1.城镇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14081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84866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74852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9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2.乡村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13033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76868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67554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4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二、按形态和成份分：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5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1.餐饮收入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4325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25450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22267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72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2.商品零售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22789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136284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120139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104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三、各行业收入：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7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4095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19817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18877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6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15277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76558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64851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30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81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435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352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885" w:hRule="atLeast"/>
        </w:trPr>
        <w:tc>
          <w:tcPr>
            <w:tcW w:w="235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4.餐饮业营业额</w:t>
            </w:r>
          </w:p>
        </w:tc>
        <w:tc>
          <w:tcPr>
            <w:tcW w:w="1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4222</w:t>
            </w:r>
          </w:p>
        </w:tc>
        <w:tc>
          <w:tcPr>
            <w:tcW w:w="17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13174</w:t>
            </w:r>
          </w:p>
        </w:tc>
        <w:tc>
          <w:tcPr>
            <w:tcW w:w="16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10253</w:t>
            </w:r>
          </w:p>
        </w:tc>
        <w:tc>
          <w:tcPr>
            <w:tcW w:w="15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28.5</w:t>
            </w:r>
          </w:p>
        </w:tc>
      </w:tr>
    </w:tbl>
    <w:p>
      <w:pPr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</w:p>
    <w:tbl>
      <w:tblPr>
        <w:tblStyle w:val="11"/>
        <w:tblW w:w="87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0"/>
        <w:gridCol w:w="134"/>
        <w:gridCol w:w="848"/>
        <w:gridCol w:w="1392"/>
        <w:gridCol w:w="316"/>
        <w:gridCol w:w="1163"/>
        <w:gridCol w:w="1252"/>
        <w:gridCol w:w="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75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劳动工资和居民生活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单位：人、万元、元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1—本季度累计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一、从业人员期末人数</w:t>
            </w:r>
          </w:p>
        </w:tc>
        <w:tc>
          <w:tcPr>
            <w:tcW w:w="255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1514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其他经济单位</w:t>
            </w:r>
          </w:p>
        </w:tc>
        <w:tc>
          <w:tcPr>
            <w:tcW w:w="2556" w:type="dxa"/>
            <w:gridSpan w:val="3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1514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-3.9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总额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4160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其他经济单位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4160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三、从业人员平均工资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26770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　集体经济单位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  其他经济单位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26770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12409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5472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tabs>
                <w:tab w:val="left" w:pos="406"/>
              </w:tabs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</w:rPr>
              <w:t>10</w:t>
            </w: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0.8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375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、商品零售价格指数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101.8</w:t>
            </w:r>
          </w:p>
        </w:tc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555" w:hRule="atLeast"/>
        </w:trPr>
        <w:tc>
          <w:tcPr>
            <w:tcW w:w="87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能    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770" w:hRule="atLeast"/>
        </w:trPr>
        <w:tc>
          <w:tcPr>
            <w:tcW w:w="362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2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350" w:hRule="atLeast"/>
        </w:trPr>
        <w:tc>
          <w:tcPr>
            <w:tcW w:w="362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   标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1—本月累计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420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39" w:leftChars="114" w:firstLine="0" w:firstLine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吨标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16587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44164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15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3431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9600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339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吨标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准煤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0.91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en-US" w:eastAsia="zh-CN"/>
              </w:rPr>
              <w:t>2.71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64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kern w:val="28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28"/>
                <w:sz w:val="24"/>
                <w:szCs w:val="24"/>
                <w:highlight w:val="none"/>
                <w:lang w:val="en-US" w:eastAsia="zh-CN"/>
              </w:rPr>
              <w:t>0.19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0.56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-68.1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25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9673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8855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280" w:hRule="atLeast"/>
        </w:trPr>
        <w:tc>
          <w:tcPr>
            <w:tcW w:w="3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kern w:val="28"/>
                <w:sz w:val="24"/>
                <w:szCs w:val="24"/>
                <w:highlight w:val="none"/>
                <w:lang w:val="en-US" w:eastAsia="zh-CN"/>
              </w:rPr>
              <w:t>13427</w:t>
            </w:r>
          </w:p>
        </w:tc>
        <w:tc>
          <w:tcPr>
            <w:tcW w:w="1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en-US" w:eastAsia="zh-CN"/>
              </w:rPr>
              <w:t>13597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highlight w:val="none"/>
                <w:lang w:val="en-US" w:eastAsia="zh-CN"/>
              </w:rPr>
              <w:t>-1.2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0" w:type="dxa"/>
          <w:trHeight w:val="1795" w:hRule="atLeast"/>
        </w:trPr>
        <w:tc>
          <w:tcPr>
            <w:tcW w:w="87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7" w:right="1587" w:bottom="1417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  <w:rFonts w:cs="Times New Roman"/>
        <w:sz w:val="28"/>
        <w:szCs w:val="28"/>
      </w:rPr>
    </w:pPr>
    <w:r>
      <w:rPr>
        <w:rStyle w:val="14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4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4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4"/>
        <w:rFonts w:cs="Times New Roman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4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4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4"/>
        <w:rFonts w:hint="eastAsia" w:cs="Times New Roman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0511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D1795A"/>
    <w:rsid w:val="05312BC5"/>
    <w:rsid w:val="058D3726"/>
    <w:rsid w:val="05954CAA"/>
    <w:rsid w:val="05F57710"/>
    <w:rsid w:val="06231973"/>
    <w:rsid w:val="062324A7"/>
    <w:rsid w:val="0640191C"/>
    <w:rsid w:val="067214D8"/>
    <w:rsid w:val="06A71B8C"/>
    <w:rsid w:val="06CC4DF6"/>
    <w:rsid w:val="07EA21F2"/>
    <w:rsid w:val="07F42807"/>
    <w:rsid w:val="08FE64F9"/>
    <w:rsid w:val="090B1FB3"/>
    <w:rsid w:val="09611307"/>
    <w:rsid w:val="09672223"/>
    <w:rsid w:val="0A612082"/>
    <w:rsid w:val="0B0E7F25"/>
    <w:rsid w:val="0BF60901"/>
    <w:rsid w:val="0C28753F"/>
    <w:rsid w:val="0C8426E5"/>
    <w:rsid w:val="0D59061B"/>
    <w:rsid w:val="0D976F15"/>
    <w:rsid w:val="0DAB3996"/>
    <w:rsid w:val="0DF76381"/>
    <w:rsid w:val="0E7F22A6"/>
    <w:rsid w:val="0E8545C1"/>
    <w:rsid w:val="0EB52E84"/>
    <w:rsid w:val="0EFD3A80"/>
    <w:rsid w:val="0F3B10EF"/>
    <w:rsid w:val="0F8F2DA9"/>
    <w:rsid w:val="0F95643E"/>
    <w:rsid w:val="10556D13"/>
    <w:rsid w:val="10656020"/>
    <w:rsid w:val="107D19EC"/>
    <w:rsid w:val="109B78C8"/>
    <w:rsid w:val="10AA20FA"/>
    <w:rsid w:val="10FE767A"/>
    <w:rsid w:val="11FB1C6A"/>
    <w:rsid w:val="12146087"/>
    <w:rsid w:val="128C01EA"/>
    <w:rsid w:val="1296184A"/>
    <w:rsid w:val="12AD2315"/>
    <w:rsid w:val="12B9026F"/>
    <w:rsid w:val="13261D94"/>
    <w:rsid w:val="1363088F"/>
    <w:rsid w:val="138B1885"/>
    <w:rsid w:val="149427C2"/>
    <w:rsid w:val="152722B2"/>
    <w:rsid w:val="153A341E"/>
    <w:rsid w:val="154B28DB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97D3B"/>
    <w:rsid w:val="18D02496"/>
    <w:rsid w:val="197C272D"/>
    <w:rsid w:val="198A20F4"/>
    <w:rsid w:val="198D529B"/>
    <w:rsid w:val="19DA7091"/>
    <w:rsid w:val="19E7477E"/>
    <w:rsid w:val="1A144A04"/>
    <w:rsid w:val="1AB35CBE"/>
    <w:rsid w:val="1B170B16"/>
    <w:rsid w:val="1B2A0A6C"/>
    <w:rsid w:val="1B82444E"/>
    <w:rsid w:val="1B85520A"/>
    <w:rsid w:val="1BB30511"/>
    <w:rsid w:val="1BB87138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590F21"/>
    <w:rsid w:val="1EBE0030"/>
    <w:rsid w:val="1F295FFF"/>
    <w:rsid w:val="1F945A49"/>
    <w:rsid w:val="1FC63C6E"/>
    <w:rsid w:val="1FD922EB"/>
    <w:rsid w:val="1FE61349"/>
    <w:rsid w:val="200F40F3"/>
    <w:rsid w:val="20D15129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677038"/>
    <w:rsid w:val="26E35888"/>
    <w:rsid w:val="274A0136"/>
    <w:rsid w:val="275B6401"/>
    <w:rsid w:val="276D7075"/>
    <w:rsid w:val="27CF1547"/>
    <w:rsid w:val="27D876FC"/>
    <w:rsid w:val="27FE7724"/>
    <w:rsid w:val="28224FBF"/>
    <w:rsid w:val="28AB3902"/>
    <w:rsid w:val="28E551DF"/>
    <w:rsid w:val="29351217"/>
    <w:rsid w:val="29592F3E"/>
    <w:rsid w:val="2A4B5CAC"/>
    <w:rsid w:val="2A964B58"/>
    <w:rsid w:val="2B16517E"/>
    <w:rsid w:val="2BAB6C2E"/>
    <w:rsid w:val="2C0660CD"/>
    <w:rsid w:val="2C0A492B"/>
    <w:rsid w:val="2C152D68"/>
    <w:rsid w:val="2C61767A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D50A4"/>
    <w:rsid w:val="2EC6482D"/>
    <w:rsid w:val="2EC73F75"/>
    <w:rsid w:val="2FE5663F"/>
    <w:rsid w:val="304E0168"/>
    <w:rsid w:val="31274763"/>
    <w:rsid w:val="3149243E"/>
    <w:rsid w:val="314976A8"/>
    <w:rsid w:val="315C4847"/>
    <w:rsid w:val="31712A78"/>
    <w:rsid w:val="317A1C63"/>
    <w:rsid w:val="32710929"/>
    <w:rsid w:val="328929AC"/>
    <w:rsid w:val="32A22A5F"/>
    <w:rsid w:val="33086B41"/>
    <w:rsid w:val="336A318A"/>
    <w:rsid w:val="3374280E"/>
    <w:rsid w:val="33A10BAC"/>
    <w:rsid w:val="33A8542A"/>
    <w:rsid w:val="33CD40B2"/>
    <w:rsid w:val="33ED7EE7"/>
    <w:rsid w:val="33F35104"/>
    <w:rsid w:val="34CD61FC"/>
    <w:rsid w:val="34D3510E"/>
    <w:rsid w:val="34F20B31"/>
    <w:rsid w:val="355B0286"/>
    <w:rsid w:val="35C948A2"/>
    <w:rsid w:val="36610B8C"/>
    <w:rsid w:val="36A419B8"/>
    <w:rsid w:val="36D03CED"/>
    <w:rsid w:val="36EE015E"/>
    <w:rsid w:val="37405C87"/>
    <w:rsid w:val="376E286C"/>
    <w:rsid w:val="387257D6"/>
    <w:rsid w:val="388F5CEE"/>
    <w:rsid w:val="38B16D7D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94F67"/>
    <w:rsid w:val="3DAE167E"/>
    <w:rsid w:val="3E0148B1"/>
    <w:rsid w:val="3E890B9C"/>
    <w:rsid w:val="3F0E65FB"/>
    <w:rsid w:val="3FEB101D"/>
    <w:rsid w:val="40CA7D7C"/>
    <w:rsid w:val="40CE4715"/>
    <w:rsid w:val="411D6A5D"/>
    <w:rsid w:val="41475B10"/>
    <w:rsid w:val="419F6F8A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996F4B"/>
    <w:rsid w:val="46D203DA"/>
    <w:rsid w:val="46FC5937"/>
    <w:rsid w:val="47321B58"/>
    <w:rsid w:val="476E39D6"/>
    <w:rsid w:val="479B0522"/>
    <w:rsid w:val="47A45AA1"/>
    <w:rsid w:val="480B63CF"/>
    <w:rsid w:val="48F4053D"/>
    <w:rsid w:val="49152A0A"/>
    <w:rsid w:val="4923096F"/>
    <w:rsid w:val="4956788D"/>
    <w:rsid w:val="49636B12"/>
    <w:rsid w:val="49674FC7"/>
    <w:rsid w:val="4A433E8E"/>
    <w:rsid w:val="4A81664D"/>
    <w:rsid w:val="4A8A5A1E"/>
    <w:rsid w:val="4AA81FCA"/>
    <w:rsid w:val="4B1E4BE0"/>
    <w:rsid w:val="4B2256EF"/>
    <w:rsid w:val="4B6C4E75"/>
    <w:rsid w:val="4B7F5982"/>
    <w:rsid w:val="4BD7779F"/>
    <w:rsid w:val="4C075D4B"/>
    <w:rsid w:val="4C767BD5"/>
    <w:rsid w:val="4C7E73A7"/>
    <w:rsid w:val="4C8D4EBC"/>
    <w:rsid w:val="4CF968FE"/>
    <w:rsid w:val="4D9277B0"/>
    <w:rsid w:val="4E1E6BF2"/>
    <w:rsid w:val="4E821F2D"/>
    <w:rsid w:val="4E89583B"/>
    <w:rsid w:val="4F3B323C"/>
    <w:rsid w:val="4F590315"/>
    <w:rsid w:val="4F5972FA"/>
    <w:rsid w:val="4F96751E"/>
    <w:rsid w:val="4FAF10E3"/>
    <w:rsid w:val="505C1CA3"/>
    <w:rsid w:val="507014CA"/>
    <w:rsid w:val="50B831FA"/>
    <w:rsid w:val="50CE65D5"/>
    <w:rsid w:val="50D82F72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0731D"/>
    <w:rsid w:val="554B4C20"/>
    <w:rsid w:val="556C2A71"/>
    <w:rsid w:val="556E1AF8"/>
    <w:rsid w:val="56131C96"/>
    <w:rsid w:val="565C29A7"/>
    <w:rsid w:val="56D85521"/>
    <w:rsid w:val="57152C06"/>
    <w:rsid w:val="574C0F05"/>
    <w:rsid w:val="57C46FB9"/>
    <w:rsid w:val="57EE5DDF"/>
    <w:rsid w:val="58FF77F4"/>
    <w:rsid w:val="59360FA9"/>
    <w:rsid w:val="598445FA"/>
    <w:rsid w:val="59D75A09"/>
    <w:rsid w:val="5A247C32"/>
    <w:rsid w:val="5A717F36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F19E3"/>
    <w:rsid w:val="61220591"/>
    <w:rsid w:val="61240EB1"/>
    <w:rsid w:val="61CB488B"/>
    <w:rsid w:val="61D602F3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79214B"/>
    <w:rsid w:val="670334C3"/>
    <w:rsid w:val="673D5E69"/>
    <w:rsid w:val="67453245"/>
    <w:rsid w:val="67516216"/>
    <w:rsid w:val="67744D5D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EA6537"/>
    <w:rsid w:val="6CFB7CDE"/>
    <w:rsid w:val="6D3D6991"/>
    <w:rsid w:val="6D7E0BE9"/>
    <w:rsid w:val="6D8608FC"/>
    <w:rsid w:val="6ECD1366"/>
    <w:rsid w:val="6ED603D4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B07349"/>
    <w:rsid w:val="71EE4E62"/>
    <w:rsid w:val="72122206"/>
    <w:rsid w:val="72446CF4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EB59C1"/>
    <w:rsid w:val="76750E15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A57BBF"/>
    <w:rsid w:val="7B076A95"/>
    <w:rsid w:val="7B385380"/>
    <w:rsid w:val="7B5F3384"/>
    <w:rsid w:val="7BDE7B76"/>
    <w:rsid w:val="7BF41DB7"/>
    <w:rsid w:val="7D3028BD"/>
    <w:rsid w:val="7D3444AA"/>
    <w:rsid w:val="7DAF4F9F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0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7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2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locked/>
    <w:uiPriority w:val="0"/>
    <w:pPr>
      <w:spacing w:afterLines="100"/>
    </w:pPr>
    <w:rPr>
      <w:rFonts w:ascii="Arial" w:hAnsi="Arial" w:eastAsia="仿宋"/>
      <w:sz w:val="32"/>
      <w:szCs w:val="22"/>
    </w:rPr>
  </w:style>
  <w:style w:type="paragraph" w:styleId="4">
    <w:name w:val="annotation text"/>
    <w:basedOn w:val="1"/>
    <w:link w:val="26"/>
    <w:semiHidden/>
    <w:uiPriority w:val="99"/>
    <w:pPr>
      <w:jc w:val="left"/>
    </w:pPr>
  </w:style>
  <w:style w:type="paragraph" w:styleId="5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方正仿宋简体"/>
      <w:sz w:val="32"/>
      <w:szCs w:val="24"/>
    </w:rPr>
  </w:style>
  <w:style w:type="paragraph" w:styleId="6">
    <w:name w:val="Balloon Text"/>
    <w:basedOn w:val="1"/>
    <w:link w:val="25"/>
    <w:semiHidden/>
    <w:uiPriority w:val="99"/>
    <w:rPr>
      <w:sz w:val="18"/>
      <w:szCs w:val="18"/>
    </w:rPr>
  </w:style>
  <w:style w:type="paragraph" w:styleId="7">
    <w:name w:val="footer"/>
    <w:basedOn w:val="1"/>
    <w:link w:val="2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4"/>
    <w:next w:val="4"/>
    <w:link w:val="21"/>
    <w:semiHidden/>
    <w:uiPriority w:val="99"/>
    <w:rPr>
      <w:b/>
      <w:bCs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locked/>
    <w:uiPriority w:val="99"/>
  </w:style>
  <w:style w:type="character" w:styleId="15">
    <w:name w:val="FollowedHyperlink"/>
    <w:basedOn w:val="12"/>
    <w:unhideWhenUsed/>
    <w:locked/>
    <w:uiPriority w:val="99"/>
    <w:rPr>
      <w:color w:val="000000"/>
      <w:u w:val="none"/>
    </w:rPr>
  </w:style>
  <w:style w:type="character" w:styleId="16">
    <w:name w:val="Hyperlink"/>
    <w:uiPriority w:val="99"/>
    <w:rPr>
      <w:color w:val="000000"/>
      <w:u w:val="none"/>
    </w:rPr>
  </w:style>
  <w:style w:type="character" w:styleId="17">
    <w:name w:val="annotation reference"/>
    <w:semiHidden/>
    <w:uiPriority w:val="99"/>
    <w:rPr>
      <w:sz w:val="21"/>
      <w:szCs w:val="21"/>
    </w:rPr>
  </w:style>
  <w:style w:type="paragraph" w:customStyle="1" w:styleId="18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0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21">
    <w:name w:val="批注主题 字符"/>
    <w:link w:val="10"/>
    <w:locked/>
    <w:uiPriority w:val="99"/>
    <w:rPr>
      <w:b/>
      <w:bCs/>
      <w:kern w:val="2"/>
      <w:sz w:val="24"/>
      <w:szCs w:val="24"/>
    </w:rPr>
  </w:style>
  <w:style w:type="character" w:customStyle="1" w:styleId="22">
    <w:name w:val="页眉 字符"/>
    <w:link w:val="8"/>
    <w:locked/>
    <w:uiPriority w:val="99"/>
    <w:rPr>
      <w:kern w:val="2"/>
      <w:sz w:val="18"/>
      <w:szCs w:val="18"/>
    </w:rPr>
  </w:style>
  <w:style w:type="character" w:customStyle="1" w:styleId="23">
    <w:name w:val="font41"/>
    <w:basedOn w:val="12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4">
    <w:name w:val="font51"/>
    <w:basedOn w:val="1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批注框文本 字符"/>
    <w:link w:val="6"/>
    <w:locked/>
    <w:uiPriority w:val="99"/>
    <w:rPr>
      <w:kern w:val="2"/>
      <w:sz w:val="18"/>
      <w:szCs w:val="18"/>
    </w:rPr>
  </w:style>
  <w:style w:type="character" w:customStyle="1" w:styleId="26">
    <w:name w:val="批注文字 字符"/>
    <w:link w:val="4"/>
    <w:locked/>
    <w:uiPriority w:val="99"/>
    <w:rPr>
      <w:kern w:val="2"/>
      <w:sz w:val="24"/>
      <w:szCs w:val="24"/>
    </w:rPr>
  </w:style>
  <w:style w:type="character" w:customStyle="1" w:styleId="27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8">
    <w:name w:val="页脚 字符"/>
    <w:link w:val="7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510</Words>
  <Characters>2911</Characters>
  <Lines>24</Lines>
  <Paragraphs>6</Paragraphs>
  <TotalTime>0</TotalTime>
  <ScaleCrop>false</ScaleCrop>
  <LinksUpToDate>false</LinksUpToDate>
  <CharactersWithSpaces>3415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2019-06-26T01:19:28Z</cp:lastPrinted>
  <dcterms:modified xsi:type="dcterms:W3CDTF">2021-07-28T09:10:22Z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